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10"/>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w:t>
      </w:r>
    </w:p>
    <w:p>
      <w:pPr>
        <w:pStyle w:val="10"/>
        <w:spacing w:line="600" w:lineRule="exact"/>
        <w:jc w:val="center"/>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eastAsia="zh-CN"/>
        </w:rPr>
        <w:t>2022年政务大厅运行工作和聘请行风监督员项目</w:t>
      </w:r>
      <w:r>
        <w:rPr>
          <w:rFonts w:hint="eastAsia" w:ascii="FangSong_GB2312" w:hAnsi="SimSun" w:eastAsia="FangSong_GB2312"/>
          <w:color w:val="auto"/>
          <w:kern w:val="2"/>
          <w:sz w:val="32"/>
          <w:szCs w:val="32"/>
        </w:rPr>
        <w:t>）</w:t>
      </w:r>
    </w:p>
    <w:p>
      <w:pPr>
        <w:pStyle w:val="10"/>
        <w:spacing w:line="600" w:lineRule="exact"/>
        <w:ind w:firstLine="640"/>
        <w:jc w:val="center"/>
        <w:rPr>
          <w:rFonts w:ascii="SimSun" w:hAnsi="SimSun"/>
          <w:color w:val="auto"/>
          <w:kern w:val="2"/>
          <w:sz w:val="32"/>
          <w:szCs w:val="32"/>
        </w:rPr>
      </w:pPr>
    </w:p>
    <w:p>
      <w:pPr>
        <w:numPr>
          <w:ilvl w:val="0"/>
          <w:numId w:val="0"/>
        </w:numPr>
        <w:adjustRightInd w:val="0"/>
        <w:snapToGrid w:val="0"/>
        <w:spacing w:line="600" w:lineRule="exact"/>
        <w:ind w:firstLine="320" w:firstLineChars="100"/>
        <w:rPr>
          <w:rFonts w:ascii="SimHei" w:hAnsi="SimSun" w:eastAsia="SimHei"/>
          <w:color w:val="000000" w:themeColor="text1"/>
          <w:lang w:val="zh-CN"/>
          <w14:textFill>
            <w14:solidFill>
              <w14:schemeClr w14:val="tx1"/>
            </w14:solidFill>
          </w14:textFill>
        </w:rPr>
      </w:pPr>
      <w:r>
        <w:rPr>
          <w:rFonts w:hint="eastAsia" w:ascii="SimHei" w:hAnsi="SimSun" w:eastAsia="SimHei"/>
          <w:color w:val="000000" w:themeColor="text1"/>
          <w14:textFill>
            <w14:solidFill>
              <w14:schemeClr w14:val="tx1"/>
            </w14:solidFill>
          </w14:textFill>
        </w:rPr>
        <w:t>一、</w:t>
      </w:r>
      <w:r>
        <w:rPr>
          <w:rFonts w:hint="eastAsia" w:ascii="SimHei" w:hAnsi="SimSun" w:eastAsia="SimHei"/>
          <w:color w:val="000000" w:themeColor="text1"/>
          <w:lang w:val="zh-CN"/>
          <w14:textFill>
            <w14:solidFill>
              <w14:schemeClr w14:val="tx1"/>
            </w14:solidFill>
          </w14:textFill>
        </w:rPr>
        <w:t>项目概况</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（一）项目基本情况。</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1．说明项目主管部门（单位）在该项目管理中的职能。</w:t>
      </w:r>
    </w:p>
    <w:p>
      <w:pPr>
        <w:adjustRightInd w:val="0"/>
        <w:snapToGrid w:val="0"/>
        <w:spacing w:line="600" w:lineRule="exact"/>
        <w:rPr>
          <w:rFonts w:hint="eastAsia" w:ascii="FangSong_GB2312" w:hAnsi="SimSun"/>
          <w:color w:val="000000" w:themeColor="text1"/>
          <w:lang w:val="zh-CN" w:eastAsia="zh-CN"/>
          <w14:textFill>
            <w14:solidFill>
              <w14:schemeClr w14:val="tx1"/>
            </w14:solidFill>
          </w14:textFill>
        </w:rPr>
      </w:pPr>
      <w:r>
        <w:rPr>
          <w:rFonts w:hint="eastAsia" w:ascii="FangSong_GB2312" w:hAnsi="SimSun"/>
          <w:color w:val="000000" w:themeColor="text1"/>
          <w:lang w:val="zh-CN" w:eastAsia="zh-CN"/>
          <w14:textFill>
            <w14:solidFill>
              <w14:schemeClr w14:val="tx1"/>
            </w14:solidFill>
          </w14:textFill>
        </w:rPr>
        <w:t>根据行政审批局三定方案职能职责范围，为</w:t>
      </w:r>
      <w:r>
        <w:rPr>
          <w:rFonts w:hint="eastAsia" w:ascii="FangSong_GB2312" w:hAnsi="SimSun"/>
          <w:color w:val="000000" w:themeColor="text1"/>
          <w:lang w:val="en-US" w:eastAsia="zh-CN"/>
          <w14:textFill>
            <w14:solidFill>
              <w14:schemeClr w14:val="tx1"/>
            </w14:solidFill>
          </w14:textFill>
        </w:rPr>
        <w:t>不断提高政务服务效率，全面推动我县营商环境指标提升、网上政务服务能力提升、政务服务提质增效，有效激发市场活力和社会创造力。</w:t>
      </w:r>
      <w:r>
        <w:rPr>
          <w:rFonts w:hint="eastAsia" w:ascii="FangSong_GB2312" w:hAnsi="SimSun"/>
          <w:color w:val="000000" w:themeColor="text1"/>
          <w:lang w:val="zh-CN" w:eastAsia="zh-CN"/>
          <w14:textFill>
            <w14:solidFill>
              <w14:schemeClr w14:val="tx1"/>
            </w14:solidFill>
          </w14:textFill>
        </w:rPr>
        <w:t>20</w:t>
      </w:r>
      <w:r>
        <w:rPr>
          <w:rFonts w:hint="eastAsia" w:ascii="FangSong_GB2312" w:hAnsi="SimSun"/>
          <w:color w:val="000000" w:themeColor="text1"/>
          <w:lang w:val="en-US" w:eastAsia="zh-CN"/>
          <w14:textFill>
            <w14:solidFill>
              <w14:schemeClr w14:val="tx1"/>
            </w14:solidFill>
          </w14:textFill>
        </w:rPr>
        <w:t>22</w:t>
      </w:r>
      <w:r>
        <w:rPr>
          <w:rFonts w:hint="eastAsia" w:ascii="FangSong_GB2312" w:hAnsi="SimSun"/>
          <w:color w:val="000000" w:themeColor="text1"/>
          <w:lang w:val="zh-CN" w:eastAsia="zh-CN"/>
          <w14:textFill>
            <w14:solidFill>
              <w14:schemeClr w14:val="tx1"/>
            </w14:solidFill>
          </w14:textFill>
        </w:rPr>
        <w:t>年政务大厅运行工作经费项目预算资金</w:t>
      </w:r>
      <w:r>
        <w:rPr>
          <w:rFonts w:hint="eastAsia" w:ascii="FangSong_GB2312" w:hAnsi="SimSun"/>
          <w:color w:val="000000" w:themeColor="text1"/>
          <w:lang w:val="en-US" w:eastAsia="zh-CN"/>
          <w14:textFill>
            <w14:solidFill>
              <w14:schemeClr w14:val="tx1"/>
            </w14:solidFill>
          </w14:textFill>
        </w:rPr>
        <w:t>34.32万元</w:t>
      </w:r>
      <w:r>
        <w:rPr>
          <w:rFonts w:hint="eastAsia" w:ascii="FangSong_GB2312" w:hAnsi="SimSun"/>
          <w:color w:val="000000" w:themeColor="text1"/>
          <w:lang w:val="zh-CN" w:eastAsia="zh-CN"/>
          <w14:textFill>
            <w14:solidFill>
              <w14:schemeClr w14:val="tx1"/>
            </w14:solidFill>
          </w14:textFill>
        </w:rPr>
        <w:t>；聘请</w:t>
      </w:r>
      <w:r>
        <w:rPr>
          <w:rFonts w:hint="eastAsia" w:ascii="FangSong_GB2312" w:hAnsi="SimSun" w:eastAsia="FangSong_GB2312"/>
          <w:color w:val="auto"/>
          <w:kern w:val="2"/>
          <w:sz w:val="32"/>
          <w:szCs w:val="32"/>
          <w:lang w:eastAsia="zh-CN"/>
        </w:rPr>
        <w:t>行风监督员</w:t>
      </w:r>
      <w:r>
        <w:rPr>
          <w:rFonts w:hint="eastAsia" w:ascii="FangSong_GB2312" w:hAnsi="SimSun"/>
          <w:color w:val="000000" w:themeColor="text1"/>
          <w:lang w:val="zh-CN" w:eastAsia="zh-CN"/>
          <w14:textFill>
            <w14:solidFill>
              <w14:schemeClr w14:val="tx1"/>
            </w14:solidFill>
          </w14:textFill>
        </w:rPr>
        <w:t>预算资金</w:t>
      </w:r>
      <w:r>
        <w:rPr>
          <w:rFonts w:hint="eastAsia" w:ascii="FangSong_GB2312" w:hAnsi="SimSun"/>
          <w:color w:val="000000" w:themeColor="text1"/>
          <w:lang w:val="en-US" w:eastAsia="zh-CN"/>
          <w14:textFill>
            <w14:solidFill>
              <w14:schemeClr w14:val="tx1"/>
            </w14:solidFill>
          </w14:textFill>
        </w:rPr>
        <w:t>12.77万元。</w:t>
      </w:r>
      <w:r>
        <w:rPr>
          <w:rFonts w:hint="eastAsia" w:ascii="FangSong_GB2312" w:hAnsi="SimSun" w:eastAsia="FangSong_GB2312"/>
          <w:color w:val="auto"/>
          <w:kern w:val="2"/>
          <w:sz w:val="32"/>
          <w:szCs w:val="32"/>
          <w:lang w:eastAsia="zh-CN"/>
        </w:rPr>
        <w:t>项目</w:t>
      </w:r>
      <w:r>
        <w:rPr>
          <w:rFonts w:hint="eastAsia" w:ascii="FangSong_GB2312" w:hAnsi="SimSun"/>
          <w:color w:val="000000" w:themeColor="text1"/>
          <w:lang w:val="zh-CN" w:eastAsia="zh-CN"/>
          <w14:textFill>
            <w14:solidFill>
              <w14:schemeClr w14:val="tx1"/>
            </w14:solidFill>
          </w14:textFill>
        </w:rPr>
        <w:t>主要用于政务大厅服务中心行政审批服务事项办理平台的网络运行、设备更新维护、进驻窗口人员日常办公，行风监督员费等。资金申报以电信出具的增值税普通发票及相关费用明细清单为依据。根据电信公司网络维护费用收费规定，按月报送所需费用计划，有效控制资金的占用，提升资金使用效益。</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2．项目立项、资金申报的依据。</w:t>
      </w:r>
    </w:p>
    <w:p>
      <w:pPr>
        <w:keepNext w:val="0"/>
        <w:keepLines w:val="0"/>
        <w:widowControl/>
        <w:suppressLineNumbers w:val="0"/>
        <w:ind w:firstLine="640" w:firstLineChars="200"/>
        <w:jc w:val="left"/>
        <w:rPr>
          <w:rFonts w:hint="default" w:ascii="FangSong_GB2312" w:hAnsi="SimSun" w:cs="Times New Roman"/>
          <w:color w:val="000000" w:themeColor="text1"/>
          <w:lang w:val="en-US" w:eastAsia="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依据：</w:t>
      </w:r>
      <w:r>
        <w:rPr>
          <w:rFonts w:hint="eastAsia" w:ascii="FangSong_GB2312" w:hAnsi="FangSong_GB2312" w:eastAsia="FangSong_GB2312" w:cs="FangSong_GB2312"/>
          <w:kern w:val="2"/>
          <w:sz w:val="32"/>
          <w:szCs w:val="32"/>
          <w:lang w:val="en-US" w:eastAsia="zh-CN"/>
        </w:rPr>
        <w:t>峨委办〔20</w:t>
      </w:r>
      <w:r>
        <w:rPr>
          <w:rFonts w:hint="eastAsia" w:ascii="FangSong_GB2312" w:hAnsi="FangSong_GB2312" w:cs="FangSong_GB2312"/>
          <w:kern w:val="2"/>
          <w:sz w:val="32"/>
          <w:szCs w:val="32"/>
          <w:lang w:val="en-US" w:eastAsia="zh-CN"/>
        </w:rPr>
        <w:t>19</w:t>
      </w:r>
      <w:bookmarkStart w:id="0" w:name="_GoBack"/>
      <w:bookmarkEnd w:id="0"/>
      <w:r>
        <w:rPr>
          <w:rFonts w:hint="eastAsia" w:ascii="FangSong_GB2312" w:hAnsi="FangSong_GB2312" w:eastAsia="FangSong_GB2312" w:cs="FangSong_GB2312"/>
          <w:kern w:val="2"/>
          <w:sz w:val="32"/>
          <w:szCs w:val="32"/>
          <w:lang w:val="en-US" w:eastAsia="zh-CN"/>
        </w:rPr>
        <w:t>〕40号关于印发县行政审批局三定方案的通知</w:t>
      </w:r>
      <w:r>
        <w:rPr>
          <w:rFonts w:hint="eastAsia" w:ascii="FangSong_GB2312" w:hAnsi="FangSong_GB2312" w:cs="FangSong_GB2312"/>
          <w:kern w:val="2"/>
          <w:sz w:val="32"/>
          <w:szCs w:val="32"/>
          <w:lang w:val="en-US" w:eastAsia="zh-CN"/>
        </w:rPr>
        <w:t>；</w:t>
      </w:r>
      <w:r>
        <w:rPr>
          <w:rFonts w:hint="eastAsia" w:ascii="FangSong_GB2312" w:hAnsi="FangSong_GB2312" w:eastAsia="FangSong_GB2312" w:cs="FangSong_GB2312"/>
          <w:kern w:val="2"/>
          <w:sz w:val="32"/>
          <w:szCs w:val="32"/>
          <w:lang w:val="en-US" w:eastAsia="zh-CN"/>
        </w:rPr>
        <w:t>峨边彝族自治县营商环境工作领导小组办公室发《峨边彝族自治县规范政务服务无差别综合窗口建设及运行相关工作实施方案》</w:t>
      </w:r>
      <w:r>
        <w:rPr>
          <w:rFonts w:hint="eastAsia" w:ascii="FangSong_GB2312" w:hAnsi="FangSong_GB2312" w:cs="FangSong_GB2312"/>
          <w:kern w:val="2"/>
          <w:sz w:val="32"/>
          <w:szCs w:val="32"/>
          <w:lang w:val="en-US" w:eastAsia="zh-CN"/>
        </w:rPr>
        <w:t>;</w:t>
      </w:r>
      <w:r>
        <w:rPr>
          <w:rFonts w:hint="eastAsia" w:ascii="FangSong_GB2312" w:hAnsi="FangSong_GB2312" w:eastAsia="FangSong_GB2312" w:cs="FangSong_GB2312"/>
          <w:kern w:val="2"/>
          <w:sz w:val="32"/>
          <w:szCs w:val="32"/>
          <w:lang w:val="en-US" w:eastAsia="zh-CN"/>
        </w:rPr>
        <w:t xml:space="preserve"> 峨边彝族自治县政府办发《关于落实规范政务服务“无差别综合窗口”建设实施方案》 </w:t>
      </w:r>
    </w:p>
    <w:p>
      <w:pPr>
        <w:adjustRightInd w:val="0"/>
        <w:snapToGrid w:val="0"/>
        <w:spacing w:line="600" w:lineRule="exact"/>
        <w:ind w:firstLine="720"/>
        <w:rPr>
          <w:rFonts w:hint="eastAsia" w:ascii="FangSong_GB2312" w:hAnsi="SimSun"/>
          <w:color w:val="000000" w:themeColor="text1"/>
          <w:lang w:val="zh-CN"/>
          <w14:textFill>
            <w14:solidFill>
              <w14:schemeClr w14:val="tx1"/>
            </w14:solidFill>
          </w14:textFill>
        </w:rPr>
      </w:pPr>
      <w:r>
        <w:rPr>
          <w:rFonts w:hint="eastAsia" w:ascii="FangSong_GB2312" w:hAnsi="SimSun"/>
          <w:color w:val="000000" w:themeColor="text1"/>
          <w:lang w:val="en-US" w:eastAsia="zh-CN"/>
          <w14:textFill>
            <w14:solidFill>
              <w14:schemeClr w14:val="tx1"/>
            </w14:solidFill>
          </w14:textFill>
        </w:rPr>
        <w:t>3.</w:t>
      </w:r>
      <w:r>
        <w:rPr>
          <w:rFonts w:hint="eastAsia" w:ascii="FangSong_GB2312" w:hAnsi="SimSun"/>
          <w:color w:val="000000" w:themeColor="text1"/>
          <w:lang w:val="zh-CN"/>
          <w14:textFill>
            <w14:solidFill>
              <w14:schemeClr w14:val="tx1"/>
            </w14:solidFill>
          </w14:textFill>
        </w:rPr>
        <w:t>资金管理办法制定情况，资金支持具体项目的条件、范围与支持方式概况。</w:t>
      </w:r>
    </w:p>
    <w:p>
      <w:pPr>
        <w:keepNext w:val="0"/>
        <w:keepLines w:val="0"/>
        <w:widowControl/>
        <w:suppressLineNumbers w:val="0"/>
        <w:ind w:firstLine="640" w:firstLineChars="200"/>
        <w:jc w:val="left"/>
        <w:rPr>
          <w:rFonts w:hint="default" w:ascii="FangSong_GB2312" w:hAnsi="SimSun" w:eastAsia="FangSong_GB2312" w:cs="Times New Roman"/>
          <w:color w:val="000000" w:themeColor="text1"/>
          <w:lang w:val="en-US"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根据项目许可情况，按照实际项目推进情况，经党组会审核，经报部门领导签字确认同意，足额支付项目实际费用。</w:t>
      </w:r>
    </w:p>
    <w:p>
      <w:pPr>
        <w:numPr>
          <w:ilvl w:val="0"/>
          <w:numId w:val="1"/>
        </w:numPr>
        <w:adjustRightInd w:val="0"/>
        <w:snapToGrid w:val="0"/>
        <w:spacing w:line="600" w:lineRule="exact"/>
        <w:ind w:firstLine="720"/>
        <w:rPr>
          <w:rFonts w:hint="eastAsia" w:ascii="FangSong_GB2312" w:hAnsi="SimSun"/>
          <w:color w:val="auto"/>
          <w:lang w:val="zh-CN"/>
        </w:rPr>
      </w:pPr>
      <w:r>
        <w:rPr>
          <w:rFonts w:hint="eastAsia" w:ascii="FangSong_GB2312" w:hAnsi="SimSun"/>
          <w:color w:val="auto"/>
          <w:lang w:val="zh-CN"/>
        </w:rPr>
        <w:t>资金分配的原则及考虑因素。</w:t>
      </w:r>
    </w:p>
    <w:p>
      <w:pPr>
        <w:numPr>
          <w:ilvl w:val="0"/>
          <w:numId w:val="0"/>
        </w:numPr>
        <w:adjustRightInd w:val="0"/>
        <w:snapToGrid w:val="0"/>
        <w:spacing w:line="600" w:lineRule="exact"/>
        <w:ind w:firstLine="640" w:firstLineChars="200"/>
        <w:rPr>
          <w:rFonts w:hint="default" w:ascii="FangSong_GB2312" w:hAnsi="SimSun"/>
          <w:color w:val="FF0000"/>
          <w:lang w:val="en-US"/>
        </w:rPr>
      </w:pPr>
      <w:r>
        <w:rPr>
          <w:rFonts w:hint="eastAsia" w:ascii="FangSong_GB2312" w:hAnsi="FangSong_GB2312" w:cs="FangSong_GB2312"/>
          <w:kern w:val="2"/>
          <w:sz w:val="32"/>
          <w:szCs w:val="32"/>
          <w:lang w:val="en-US" w:eastAsia="zh-CN"/>
        </w:rPr>
        <w:t>按需分配，确保政务服务大厅网络及数据通讯正常运行，大厅工作人员正常工作办公用品需要</w:t>
      </w:r>
      <w:r>
        <w:rPr>
          <w:rFonts w:ascii="SimSun" w:hAnsi="SimSun" w:eastAsia="SimSun" w:cs="SimSun"/>
          <w:color w:val="auto"/>
          <w:spacing w:val="0"/>
          <w:position w:val="0"/>
          <w:sz w:val="32"/>
          <w:shd w:val="clear" w:fill="auto"/>
        </w:rPr>
        <w:t>。</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（二）项目绩效目标。</w:t>
      </w:r>
    </w:p>
    <w:p>
      <w:pPr>
        <w:adjustRightInd w:val="0"/>
        <w:snapToGrid w:val="0"/>
        <w:spacing w:line="600" w:lineRule="exact"/>
        <w:ind w:firstLine="720"/>
        <w:rPr>
          <w:rFonts w:hint="eastAsia" w:ascii="FangSong_GB2312" w:hAnsi="SimSun"/>
          <w:color w:val="000000" w:themeColor="text1"/>
          <w:lang w:val="zh-CN" w:eastAsia="zh-CN"/>
          <w14:textFill>
            <w14:solidFill>
              <w14:schemeClr w14:val="tx1"/>
            </w14:solidFill>
          </w14:textFill>
        </w:rPr>
      </w:pPr>
      <w:r>
        <w:rPr>
          <w:rFonts w:hint="eastAsia" w:ascii="FangSong_GB2312" w:hAnsi="SimSun"/>
          <w:color w:val="000000" w:themeColor="text1"/>
          <w:lang w:val="zh-CN" w:eastAsia="zh-CN"/>
          <w14:textFill>
            <w14:solidFill>
              <w14:schemeClr w14:val="tx1"/>
            </w14:solidFill>
          </w14:textFill>
        </w:rPr>
        <w:t>按月支付电信网络维护费，确保行政事项办理互联网、政务外网、党政网、经财网等相关平台网络正常使用，政务大厅正常使用。</w:t>
      </w:r>
    </w:p>
    <w:p>
      <w:pPr>
        <w:adjustRightInd w:val="0"/>
        <w:snapToGrid w:val="0"/>
        <w:spacing w:line="600" w:lineRule="exact"/>
        <w:ind w:firstLine="720"/>
        <w:rPr>
          <w:rFonts w:ascii="KaiTi_GB2312" w:hAnsi="SimSun" w:eastAsia="KaiTi_GB2312"/>
          <w:b/>
          <w:color w:val="000000" w:themeColor="text1"/>
          <w:lang w:val="zh-CN"/>
          <w14:textFill>
            <w14:solidFill>
              <w14:schemeClr w14:val="tx1"/>
            </w14:solidFill>
          </w14:textFill>
        </w:rPr>
      </w:pPr>
      <w:r>
        <w:rPr>
          <w:rFonts w:hint="eastAsia" w:ascii="KaiTi_GB2312" w:hAnsi="SimSun" w:eastAsia="KaiTi_GB2312"/>
          <w:b/>
          <w:color w:val="000000" w:themeColor="text1"/>
          <w:lang w:val="zh-CN"/>
          <w14:textFill>
            <w14:solidFill>
              <w14:schemeClr w14:val="tx1"/>
            </w14:solidFill>
          </w14:textFill>
        </w:rPr>
        <w:t>（三）项目自评步骤及方法。</w:t>
      </w:r>
    </w:p>
    <w:p>
      <w:pPr>
        <w:numPr>
          <w:ilvl w:val="0"/>
          <w:numId w:val="0"/>
        </w:numPr>
        <w:adjustRightInd w:val="0"/>
        <w:snapToGrid w:val="0"/>
        <w:spacing w:line="600" w:lineRule="exact"/>
        <w:ind w:firstLine="640" w:firstLineChars="200"/>
        <w:rPr>
          <w:rFonts w:hint="default" w:ascii="FangSong_GB2312" w:hAnsi="SimSun" w:cs="Times New Roman"/>
          <w:color w:val="000000" w:themeColor="text1"/>
          <w:lang w:val="zh-CN" w:eastAsia="zh-CN"/>
          <w14:textFill>
            <w14:solidFill>
              <w14:schemeClr w14:val="tx1"/>
            </w14:solidFill>
          </w14:textFill>
        </w:rPr>
      </w:pPr>
      <w:r>
        <w:rPr>
          <w:rFonts w:hint="eastAsia" w:ascii="FangSong_GB2312" w:hAnsi="SimSun" w:cs="Times New Roman"/>
          <w:color w:val="000000" w:themeColor="text1"/>
          <w:lang w:val="en-US" w:eastAsia="zh-CN"/>
          <w14:textFill>
            <w14:solidFill>
              <w14:schemeClr w14:val="tx1"/>
            </w14:solidFill>
          </w14:textFill>
        </w:rPr>
        <w:t>项目自评采取以单位领导</w:t>
      </w:r>
      <w:r>
        <w:rPr>
          <w:rFonts w:hint="default" w:ascii="FangSong_GB2312" w:hAnsi="SimSun" w:cs="Times New Roman"/>
          <w:color w:val="000000" w:themeColor="text1"/>
          <w:lang w:val="en-US" w:eastAsia="zh-CN"/>
          <w14:textFill>
            <w14:solidFill>
              <w14:schemeClr w14:val="tx1"/>
            </w14:solidFill>
          </w14:textFill>
        </w:rPr>
        <w:t>为组长</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财务及</w:t>
      </w:r>
      <w:r>
        <w:rPr>
          <w:rFonts w:hint="eastAsia" w:ascii="FangSong_GB2312" w:hAnsi="SimSun" w:cs="Times New Roman"/>
          <w:color w:val="000000" w:themeColor="text1"/>
          <w:lang w:val="en-US" w:eastAsia="zh-CN"/>
          <w14:textFill>
            <w14:solidFill>
              <w14:schemeClr w14:val="tx1"/>
            </w14:solidFill>
          </w14:textFill>
        </w:rPr>
        <w:t>相关业务人员为</w:t>
      </w:r>
      <w:r>
        <w:rPr>
          <w:rFonts w:hint="default" w:ascii="FangSong_GB2312" w:hAnsi="SimSun" w:cs="Times New Roman"/>
          <w:color w:val="000000" w:themeColor="text1"/>
          <w:lang w:val="en-US" w:eastAsia="zh-CN"/>
          <w14:textFill>
            <w14:solidFill>
              <w14:schemeClr w14:val="tx1"/>
            </w14:solidFill>
          </w14:textFill>
        </w:rPr>
        <w:t>成员的自评工作组。通过</w:t>
      </w:r>
      <w:r>
        <w:rPr>
          <w:rFonts w:hint="eastAsia" w:ascii="FangSong_GB2312" w:hAnsi="SimSun" w:cs="Times New Roman"/>
          <w:color w:val="000000" w:themeColor="text1"/>
          <w:lang w:val="en-US" w:eastAsia="zh-CN"/>
          <w14:textFill>
            <w14:solidFill>
              <w14:schemeClr w14:val="tx1"/>
            </w14:solidFill>
          </w14:textFill>
        </w:rPr>
        <w:t>审</w:t>
      </w:r>
      <w:r>
        <w:rPr>
          <w:rFonts w:hint="default" w:ascii="FangSong_GB2312" w:hAnsi="SimSun" w:cs="Times New Roman"/>
          <w:color w:val="000000" w:themeColor="text1"/>
          <w:lang w:val="en-US" w:eastAsia="zh-CN"/>
          <w14:textFill>
            <w14:solidFill>
              <w14:schemeClr w14:val="tx1"/>
            </w14:solidFill>
          </w14:textFill>
        </w:rPr>
        <w:t>阅资料、</w:t>
      </w:r>
      <w:r>
        <w:rPr>
          <w:rFonts w:hint="eastAsia" w:ascii="FangSong_GB2312" w:hAnsi="SimSun" w:cs="Times New Roman"/>
          <w:color w:val="000000" w:themeColor="text1"/>
          <w:lang w:val="en-US" w:eastAsia="zh-CN"/>
          <w14:textFill>
            <w14:solidFill>
              <w14:schemeClr w14:val="tx1"/>
            </w14:solidFill>
          </w14:textFill>
        </w:rPr>
        <w:t>查</w:t>
      </w:r>
      <w:r>
        <w:rPr>
          <w:rFonts w:hint="default" w:ascii="FangSong_GB2312" w:hAnsi="SimSun" w:cs="Times New Roman"/>
          <w:color w:val="000000" w:themeColor="text1"/>
          <w:lang w:val="en-US" w:eastAsia="zh-CN"/>
          <w14:textFill>
            <w14:solidFill>
              <w14:schemeClr w14:val="tx1"/>
            </w14:solidFill>
          </w14:textFill>
        </w:rPr>
        <w:t>看有无</w:t>
      </w:r>
      <w:r>
        <w:rPr>
          <w:rFonts w:hint="eastAsia" w:ascii="FangSong_GB2312" w:hAnsi="SimSun" w:cs="Times New Roman"/>
          <w:color w:val="000000" w:themeColor="text1"/>
          <w:lang w:val="en-US" w:eastAsia="zh-CN"/>
          <w14:textFill>
            <w14:solidFill>
              <w14:schemeClr w14:val="tx1"/>
            </w14:solidFill>
          </w14:textFill>
        </w:rPr>
        <w:t>错列</w:t>
      </w:r>
      <w:r>
        <w:rPr>
          <w:rFonts w:hint="default" w:ascii="FangSong_GB2312" w:hAnsi="SimSun" w:cs="Times New Roman"/>
          <w:color w:val="000000" w:themeColor="text1"/>
          <w:lang w:val="en-US" w:eastAsia="zh-CN"/>
          <w14:textFill>
            <w14:solidFill>
              <w14:schemeClr w14:val="tx1"/>
            </w14:solidFill>
          </w14:textFill>
        </w:rPr>
        <w:t>虚例支出</w:t>
      </w:r>
      <w:r>
        <w:rPr>
          <w:rFonts w:hint="eastAsia" w:ascii="FangSong_GB2312" w:hAnsi="SimSun" w:cs="Times New Roman"/>
          <w:color w:val="000000" w:themeColor="text1"/>
          <w:lang w:val="en-US" w:eastAsia="zh-CN"/>
          <w14:textFill>
            <w14:solidFill>
              <w14:schemeClr w14:val="tx1"/>
            </w14:solidFill>
          </w14:textFill>
        </w:rPr>
        <w:t>和</w:t>
      </w:r>
      <w:r>
        <w:rPr>
          <w:rFonts w:hint="default" w:ascii="FangSong_GB2312" w:hAnsi="SimSun" w:cs="Times New Roman"/>
          <w:color w:val="000000" w:themeColor="text1"/>
          <w:lang w:val="en-US" w:eastAsia="zh-CN"/>
          <w14:textFill>
            <w14:solidFill>
              <w14:schemeClr w14:val="tx1"/>
            </w14:solidFill>
          </w14:textFill>
        </w:rPr>
        <w:t>不规范的情况。通过自评</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得出考评分值</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并查找问题</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分析原因</w:t>
      </w:r>
      <w:r>
        <w:rPr>
          <w:rFonts w:hint="eastAsia" w:ascii="FangSong_GB2312" w:hAnsi="SimSun" w:cs="Times New Roman"/>
          <w:color w:val="000000" w:themeColor="text1"/>
          <w:lang w:val="en-US" w:eastAsia="zh-CN"/>
          <w14:textFill>
            <w14:solidFill>
              <w14:schemeClr w14:val="tx1"/>
            </w14:solidFill>
          </w14:textFill>
        </w:rPr>
        <w:t>，</w:t>
      </w:r>
      <w:r>
        <w:rPr>
          <w:rFonts w:hint="default" w:ascii="FangSong_GB2312" w:hAnsi="SimSun" w:cs="Times New Roman"/>
          <w:color w:val="000000" w:themeColor="text1"/>
          <w:lang w:val="en-US" w:eastAsia="zh-CN"/>
          <w14:textFill>
            <w14:solidFill>
              <w14:schemeClr w14:val="tx1"/>
            </w14:solidFill>
          </w14:textFill>
        </w:rPr>
        <w:t>提出整改意见</w:t>
      </w:r>
      <w:r>
        <w:rPr>
          <w:rFonts w:hint="eastAsia" w:ascii="FangSong_GB2312" w:hAnsi="SimSun" w:cs="Times New Roman"/>
          <w:color w:val="000000" w:themeColor="text1"/>
          <w:lang w:val="en-US" w:eastAsia="zh-CN"/>
          <w14:textFill>
            <w14:solidFill>
              <w14:schemeClr w14:val="tx1"/>
            </w14:solidFill>
          </w14:textFill>
        </w:rPr>
        <w:t>。</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numPr>
          <w:ilvl w:val="0"/>
          <w:numId w:val="0"/>
        </w:numPr>
        <w:adjustRightInd w:val="0"/>
        <w:snapToGrid w:val="0"/>
        <w:spacing w:line="600" w:lineRule="exact"/>
        <w:ind w:firstLine="640" w:firstLineChars="200"/>
        <w:rPr>
          <w:rFonts w:hint="default" w:ascii="FangSong_GB2312" w:hAnsi="SimSun" w:cs="Times New Roman"/>
          <w:color w:val="000000" w:themeColor="text1"/>
          <w:lang w:val="en-US" w:eastAsia="zh-CN"/>
          <w14:textFill>
            <w14:solidFill>
              <w14:schemeClr w14:val="tx1"/>
            </w14:solidFill>
          </w14:textFill>
        </w:rPr>
      </w:pPr>
      <w:r>
        <w:rPr>
          <w:rFonts w:hint="default" w:ascii="FangSong_GB2312" w:hAnsi="SimSun" w:cs="Times New Roman"/>
          <w:color w:val="000000" w:themeColor="text1"/>
          <w:lang w:val="en-US" w:eastAsia="zh-CN"/>
          <w14:textFill>
            <w14:solidFill>
              <w14:schemeClr w14:val="tx1"/>
            </w14:solidFill>
          </w14:textFill>
        </w:rPr>
        <w:t>按电信部门提供的使用费用清单和票</w:t>
      </w:r>
      <w:r>
        <w:rPr>
          <w:rFonts w:hint="eastAsia" w:ascii="FangSong_GB2312" w:hAnsi="SimSun" w:cs="Times New Roman"/>
          <w:color w:val="000000" w:themeColor="text1"/>
          <w:lang w:val="en-US" w:eastAsia="zh-CN"/>
          <w14:textFill>
            <w14:solidFill>
              <w14:schemeClr w14:val="tx1"/>
            </w14:solidFill>
          </w14:textFill>
        </w:rPr>
        <w:t>据</w:t>
      </w:r>
      <w:r>
        <w:rPr>
          <w:rFonts w:hint="default" w:ascii="FangSong_GB2312" w:hAnsi="SimSun" w:cs="Times New Roman"/>
          <w:color w:val="000000" w:themeColor="text1"/>
          <w:lang w:val="en-US" w:eastAsia="zh-CN"/>
          <w14:textFill>
            <w14:solidFill>
              <w14:schemeClr w14:val="tx1"/>
            </w14:solidFill>
          </w14:textFill>
        </w:rPr>
        <w:t>，</w:t>
      </w:r>
      <w:r>
        <w:rPr>
          <w:rFonts w:hint="eastAsia" w:ascii="FangSong_GB2312" w:hAnsi="SimSun" w:cs="Times New Roman"/>
          <w:color w:val="000000" w:themeColor="text1"/>
          <w:lang w:val="en-US" w:eastAsia="zh-CN"/>
          <w14:textFill>
            <w14:solidFill>
              <w14:schemeClr w14:val="tx1"/>
            </w14:solidFill>
          </w14:textFill>
        </w:rPr>
        <w:t>按时</w:t>
      </w:r>
      <w:r>
        <w:rPr>
          <w:rFonts w:hint="default" w:ascii="FangSong_GB2312" w:hAnsi="SimSun" w:cs="Times New Roman"/>
          <w:color w:val="000000" w:themeColor="text1"/>
          <w:lang w:val="en-US" w:eastAsia="zh-CN"/>
          <w14:textFill>
            <w14:solidFill>
              <w14:schemeClr w14:val="tx1"/>
            </w14:solidFill>
          </w14:textFill>
        </w:rPr>
        <w:t>向财政提交项目使用计划，做到专款专用，有效保障监控系统正常运行。20</w:t>
      </w:r>
      <w:r>
        <w:rPr>
          <w:rFonts w:hint="eastAsia" w:ascii="FangSong_GB2312" w:hAnsi="SimSun" w:cs="Times New Roman"/>
          <w:color w:val="000000" w:themeColor="text1"/>
          <w:lang w:val="en-US" w:eastAsia="zh-CN"/>
          <w14:textFill>
            <w14:solidFill>
              <w14:schemeClr w14:val="tx1"/>
            </w14:solidFill>
          </w14:textFill>
        </w:rPr>
        <w:t>22</w:t>
      </w:r>
      <w:r>
        <w:rPr>
          <w:rFonts w:hint="default" w:ascii="FangSong_GB2312" w:hAnsi="SimSun" w:cs="Times New Roman"/>
          <w:color w:val="000000" w:themeColor="text1"/>
          <w:lang w:val="en-US" w:eastAsia="zh-CN"/>
          <w14:textFill>
            <w14:solidFill>
              <w14:schemeClr w14:val="tx1"/>
            </w14:solidFill>
          </w14:textFill>
        </w:rPr>
        <w:t>年</w:t>
      </w:r>
      <w:r>
        <w:rPr>
          <w:rFonts w:hint="eastAsia" w:ascii="FangSong_GB2312" w:hAnsi="SimSun" w:cs="Times New Roman"/>
          <w:color w:val="000000" w:themeColor="text1"/>
          <w:lang w:val="en-US" w:eastAsia="zh-CN"/>
          <w14:textFill>
            <w14:solidFill>
              <w14:schemeClr w14:val="tx1"/>
            </w14:solidFill>
          </w14:textFill>
        </w:rPr>
        <w:t>政务大厅运行工作</w:t>
      </w:r>
      <w:r>
        <w:rPr>
          <w:rFonts w:hint="default" w:ascii="FangSong_GB2312" w:hAnsi="SimSun" w:cs="Times New Roman"/>
          <w:color w:val="000000" w:themeColor="text1"/>
          <w:lang w:val="en-US" w:eastAsia="zh-CN"/>
          <w14:textFill>
            <w14:solidFill>
              <w14:schemeClr w14:val="tx1"/>
            </w14:solidFill>
          </w14:textFill>
        </w:rPr>
        <w:t>申请资金计划</w:t>
      </w:r>
      <w:r>
        <w:rPr>
          <w:rFonts w:hint="eastAsia" w:ascii="FangSong_GB2312" w:hAnsi="SimSun" w:cs="Times New Roman"/>
          <w:color w:val="000000" w:themeColor="text1"/>
          <w:lang w:val="en-US" w:eastAsia="zh-CN"/>
          <w14:textFill>
            <w14:solidFill>
              <w14:schemeClr w14:val="tx1"/>
            </w14:solidFill>
          </w14:textFill>
        </w:rPr>
        <w:t>34.32</w:t>
      </w:r>
      <w:r>
        <w:rPr>
          <w:rFonts w:hint="default" w:ascii="FangSong_GB2312" w:hAnsi="SimSun" w:cs="Times New Roman"/>
          <w:color w:val="000000" w:themeColor="text1"/>
          <w:lang w:val="en-US" w:eastAsia="zh-CN"/>
          <w14:textFill>
            <w14:solidFill>
              <w14:schemeClr w14:val="tx1"/>
            </w14:solidFill>
          </w14:textFill>
        </w:rPr>
        <w:t>万元，实际批复</w:t>
      </w:r>
      <w:r>
        <w:rPr>
          <w:rFonts w:hint="eastAsia" w:ascii="FangSong_GB2312" w:hAnsi="SimSun" w:cs="Times New Roman"/>
          <w:color w:val="000000" w:themeColor="text1"/>
          <w:lang w:val="en-US" w:eastAsia="zh-CN"/>
          <w14:textFill>
            <w14:solidFill>
              <w14:schemeClr w14:val="tx1"/>
            </w14:solidFill>
          </w14:textFill>
        </w:rPr>
        <w:t>34.32</w:t>
      </w:r>
      <w:r>
        <w:rPr>
          <w:rFonts w:hint="default" w:ascii="FangSong_GB2312" w:hAnsi="SimSun" w:cs="Times New Roman"/>
          <w:color w:val="000000" w:themeColor="text1"/>
          <w:lang w:val="en-US" w:eastAsia="zh-CN"/>
          <w14:textFill>
            <w14:solidFill>
              <w14:schemeClr w14:val="tx1"/>
            </w14:solidFill>
          </w14:textFill>
        </w:rPr>
        <w:t>万元</w:t>
      </w:r>
      <w:r>
        <w:rPr>
          <w:rFonts w:hint="eastAsia" w:ascii="FangSong_GB2312" w:hAnsi="SimSun" w:cs="Times New Roman"/>
          <w:color w:val="000000" w:themeColor="text1"/>
          <w:lang w:val="en-US" w:eastAsia="zh-CN"/>
          <w14:textFill>
            <w14:solidFill>
              <w14:schemeClr w14:val="tx1"/>
            </w14:solidFill>
          </w14:textFill>
        </w:rPr>
        <w:t>；行风监督员项目申请</w:t>
      </w:r>
      <w:r>
        <w:rPr>
          <w:rFonts w:hint="default" w:ascii="FangSong_GB2312" w:hAnsi="SimSun" w:cs="Times New Roman"/>
          <w:color w:val="000000" w:themeColor="text1"/>
          <w:lang w:val="en-US" w:eastAsia="zh-CN"/>
          <w14:textFill>
            <w14:solidFill>
              <w14:schemeClr w14:val="tx1"/>
            </w14:solidFill>
          </w14:textFill>
        </w:rPr>
        <w:t>资金计划</w:t>
      </w:r>
      <w:r>
        <w:rPr>
          <w:rFonts w:hint="eastAsia" w:ascii="FangSong_GB2312" w:hAnsi="SimSun" w:cs="Times New Roman"/>
          <w:color w:val="000000" w:themeColor="text1"/>
          <w:lang w:val="en-US" w:eastAsia="zh-CN"/>
          <w14:textFill>
            <w14:solidFill>
              <w14:schemeClr w14:val="tx1"/>
            </w14:solidFill>
          </w14:textFill>
        </w:rPr>
        <w:t>12.77</w:t>
      </w:r>
      <w:r>
        <w:rPr>
          <w:rFonts w:hint="default" w:ascii="FangSong_GB2312" w:hAnsi="SimSun" w:cs="Times New Roman"/>
          <w:color w:val="000000" w:themeColor="text1"/>
          <w:lang w:val="en-US" w:eastAsia="zh-CN"/>
          <w14:textFill>
            <w14:solidFill>
              <w14:schemeClr w14:val="tx1"/>
            </w14:solidFill>
          </w14:textFill>
        </w:rPr>
        <w:t>万元，实际批复</w:t>
      </w:r>
      <w:r>
        <w:rPr>
          <w:rFonts w:hint="eastAsia" w:ascii="FangSong_GB2312" w:hAnsi="SimSun" w:cs="Times New Roman"/>
          <w:color w:val="000000" w:themeColor="text1"/>
          <w:lang w:val="en-US" w:eastAsia="zh-CN"/>
          <w14:textFill>
            <w14:solidFill>
              <w14:schemeClr w14:val="tx1"/>
            </w14:solidFill>
          </w14:textFill>
        </w:rPr>
        <w:t>12.77</w:t>
      </w:r>
      <w:r>
        <w:rPr>
          <w:rFonts w:hint="default" w:ascii="FangSong_GB2312" w:hAnsi="SimSun" w:cs="Times New Roman"/>
          <w:color w:val="000000" w:themeColor="text1"/>
          <w:lang w:val="en-US"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KaiTi_GB2312" w:hAnsi="SimSun" w:eastAsia="KaiTi_GB2312"/>
          <w:color w:val="0000FF"/>
          <w:lang w:val="en-US" w:eastAsia="zh-CN"/>
        </w:rPr>
      </w:pP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KaiTi_GB2312" w:hAnsi="SimSun" w:eastAsia="KaiTi_GB2312"/>
          <w:lang w:val="zh-CN"/>
        </w:rPr>
      </w:pPr>
      <w:r>
        <w:rPr>
          <w:rFonts w:hint="eastAsia" w:ascii="KaiTi_GB2312" w:hAnsi="SimSun" w:eastAsia="KaiTi_GB2312"/>
          <w:lang w:val="zh-CN"/>
        </w:rPr>
        <w:t>1．资金计划和到位情况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FangSong_GB2312" w:hAnsi="SimSun" w:eastAsia="FangSong_GB2312"/>
          <w:lang w:val="en-US" w:eastAsia="zh-CN"/>
        </w:rPr>
      </w:pPr>
      <w:r>
        <w:rPr>
          <w:rFonts w:hint="eastAsia" w:ascii="FangSong_GB2312" w:hAnsi="SimSun"/>
          <w:lang w:val="zh-CN"/>
        </w:rPr>
        <w:t>资金计划为县级财政全额拨款，资金申请按需申报，资金到位及时足额，资金到位率</w:t>
      </w:r>
      <w:r>
        <w:rPr>
          <w:rFonts w:hint="eastAsia" w:ascii="FangSong_GB2312" w:hAnsi="SimSun"/>
          <w:lang w:val="en-US" w:eastAsia="zh-CN"/>
        </w:rPr>
        <w:t>100%。</w:t>
      </w:r>
    </w:p>
    <w:p>
      <w:pPr>
        <w:adjustRightInd w:val="0"/>
        <w:snapToGrid w:val="0"/>
        <w:spacing w:line="600" w:lineRule="exact"/>
        <w:ind w:firstLine="720"/>
        <w:rPr>
          <w:rFonts w:hint="eastAsia" w:ascii="FangSong_GB2312" w:hAnsi="SimSun"/>
          <w:lang w:val="en-US" w:eastAsia="zh-CN"/>
        </w:rPr>
      </w:pPr>
      <w:r>
        <w:rPr>
          <w:rFonts w:hint="eastAsia" w:ascii="KaiTi_GB2312" w:hAnsi="SimSun" w:eastAsia="KaiTi_GB2312"/>
          <w:lang w:val="en-US" w:eastAsia="zh-CN"/>
        </w:rPr>
        <w:t>2</w:t>
      </w:r>
      <w:r>
        <w:rPr>
          <w:rFonts w:hint="eastAsia" w:ascii="KaiTi_GB2312" w:hAnsi="SimSun" w:eastAsia="KaiTi_GB2312"/>
          <w:lang w:val="zh-CN"/>
        </w:rPr>
        <w:t>．资金使用。</w:t>
      </w:r>
      <w:r>
        <w:rPr>
          <w:rFonts w:hint="eastAsia" w:ascii="FangSong_GB2312" w:hAnsi="SimSun"/>
          <w:lang w:val="en-US" w:eastAsia="zh-CN"/>
        </w:rPr>
        <w:t xml:space="preserve">  </w:t>
      </w:r>
    </w:p>
    <w:p>
      <w:pPr>
        <w:adjustRightInd w:val="0"/>
        <w:snapToGrid w:val="0"/>
        <w:spacing w:line="600" w:lineRule="exact"/>
        <w:ind w:firstLine="720"/>
        <w:rPr>
          <w:rFonts w:hint="eastAsia" w:ascii="FangSong_GB2312" w:hAnsi="SimSun" w:cs="Times New Roman"/>
          <w:lang w:val="zh-CN" w:eastAsia="zh-CN"/>
        </w:rPr>
      </w:pPr>
      <w:r>
        <w:rPr>
          <w:rFonts w:hint="eastAsia" w:ascii="FangSong_GB2312" w:hAnsi="SimSun" w:cs="Times New Roman"/>
          <w:lang w:val="en-US" w:eastAsia="zh-CN"/>
        </w:rPr>
        <w:t>截至评价点，资金开支围绕创建项目开展，支付依据合规合法，</w:t>
      </w:r>
      <w:r>
        <w:rPr>
          <w:rFonts w:hint="eastAsia" w:ascii="FangSong_GB2312" w:hAnsi="SimSun" w:cs="Times New Roman"/>
          <w:lang w:val="zh-CN" w:eastAsia="zh-CN"/>
        </w:rPr>
        <w:t>资金支付与预算相符。</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我局严格执行《行政审批局财务管理制度》，严格按照财政部《财务工作基本规范》和《行政审批局财务管理制度》执行。</w:t>
      </w:r>
      <w:r>
        <w:rPr>
          <w:rFonts w:hint="eastAsia" w:ascii="FangSong_GB2312" w:hAnsi="SimSun"/>
          <w:lang w:val="en-US" w:eastAsia="zh-CN"/>
        </w:rPr>
        <w:t>2022年我局财务工作机构设置为：局长为财务工作总负责人，设置分管财务工作的副局长一名，会计、出纳各一名。按照各自职能职责进行资金申请、报账审核、会计核算和账务处理工作。严格按照资金管理办法，执行财务管理制度，财务处理及时，会计核算规范。</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FangSong_GB2312" w:hAnsi="SimSun"/>
          <w:lang w:val="zh-CN"/>
        </w:rPr>
      </w:pPr>
      <w:r>
        <w:rPr>
          <w:rFonts w:hint="eastAsia" w:ascii="FangSong_GB2312" w:hAnsi="SimSun"/>
          <w:lang w:val="zh-CN"/>
        </w:rPr>
        <w:t>此项目由行政审批局自行组织实施，项目实施内容较为零散，资金使用规模较小，我局采取比选形式，在质量保证的情况下，选取报价最低者实施，并严格按照单位财务管理和资金支付程序执行经费支付。</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rPr>
          <w:rFonts w:hint="eastAsia" w:ascii="FangSong_GB2312" w:hAnsi="FangSong_GB2312" w:eastAsia="FangSong_GB2312" w:cs="FangSong_GB2312"/>
          <w:color w:val="000000"/>
          <w:spacing w:val="0"/>
          <w:w w:val="100"/>
          <w:sz w:val="32"/>
          <w:szCs w:val="32"/>
          <w:lang w:val="en-US" w:eastAsia="zh-CN"/>
        </w:rPr>
      </w:pPr>
      <w:r>
        <w:rPr>
          <w:rFonts w:hint="eastAsia" w:ascii="FangSong_GB2312" w:hAnsi="FangSong_GB2312" w:cs="FangSong_GB2312"/>
          <w:color w:val="000000"/>
          <w:spacing w:val="0"/>
          <w:w w:val="100"/>
          <w:sz w:val="32"/>
          <w:szCs w:val="32"/>
          <w:lang w:val="en-US" w:eastAsia="zh-CN"/>
        </w:rPr>
        <w:t>2022年</w:t>
      </w:r>
      <w:r>
        <w:rPr>
          <w:rFonts w:hint="eastAsia" w:ascii="FangSong_GB2312" w:hAnsi="FangSong_GB2312" w:eastAsia="FangSong_GB2312" w:cs="FangSong_GB2312"/>
          <w:color w:val="000000"/>
          <w:spacing w:val="0"/>
          <w:w w:val="100"/>
          <w:sz w:val="32"/>
          <w:szCs w:val="32"/>
          <w:lang w:val="en-US" w:eastAsia="zh-CN"/>
        </w:rPr>
        <w:t>“一网通办”事项认领率、发布率、办事指南准确率达100%。主动评价率、差评按期整改率达100%，电子证照生</w:t>
      </w:r>
      <w:r>
        <w:rPr>
          <w:rFonts w:hint="eastAsia" w:ascii="FangSong_GB2312" w:hAnsi="FangSong_GB2312" w:eastAsia="FangSong_GB2312" w:cs="FangSong_GB2312"/>
          <w:color w:val="auto"/>
          <w:spacing w:val="0"/>
          <w:w w:val="100"/>
          <w:sz w:val="32"/>
          <w:szCs w:val="32"/>
          <w:lang w:val="en-US" w:eastAsia="zh-CN"/>
        </w:rPr>
        <w:t>产</w:t>
      </w:r>
      <w:r>
        <w:rPr>
          <w:rFonts w:hint="eastAsia" w:ascii="FangSong_GB2312" w:hAnsi="FangSong_GB2312" w:eastAsia="FangSong_GB2312" w:cs="FangSong_GB2312"/>
          <w:b w:val="0"/>
          <w:bCs w:val="0"/>
          <w:color w:val="auto"/>
          <w:spacing w:val="0"/>
          <w:w w:val="100"/>
          <w:sz w:val="32"/>
          <w:szCs w:val="32"/>
          <w:lang w:val="en-US" w:eastAsia="zh-CN"/>
        </w:rPr>
        <w:t>率100%</w:t>
      </w:r>
      <w:r>
        <w:rPr>
          <w:rFonts w:hint="eastAsia" w:ascii="FangSong_GB2312" w:hAnsi="FangSong_GB2312" w:eastAsia="FangSong_GB2312" w:cs="FangSong_GB2312"/>
          <w:color w:val="auto"/>
          <w:spacing w:val="0"/>
          <w:w w:val="100"/>
          <w:sz w:val="32"/>
          <w:szCs w:val="32"/>
          <w:lang w:val="en-US" w:eastAsia="zh-CN"/>
        </w:rPr>
        <w:t>、补</w:t>
      </w:r>
      <w:r>
        <w:rPr>
          <w:rFonts w:hint="eastAsia" w:ascii="FangSong_GB2312" w:hAnsi="FangSong_GB2312" w:eastAsia="FangSong_GB2312" w:cs="FangSong_GB2312"/>
          <w:color w:val="000000"/>
          <w:spacing w:val="0"/>
          <w:w w:val="100"/>
          <w:sz w:val="32"/>
          <w:szCs w:val="32"/>
          <w:lang w:val="en-US" w:eastAsia="zh-CN"/>
        </w:rPr>
        <w:t>录率、电子印章加盖率达100%</w:t>
      </w:r>
      <w:r>
        <w:rPr>
          <w:rFonts w:hint="eastAsia" w:ascii="FangSong_GB2312" w:hAnsi="FangSong_GB2312" w:eastAsia="FangSong_GB2312" w:cs="FangSong_GB2312"/>
          <w:color w:val="000000"/>
          <w:spacing w:val="0"/>
          <w:w w:val="100"/>
          <w:kern w:val="0"/>
          <w:sz w:val="32"/>
          <w:szCs w:val="32"/>
          <w:lang w:val="en-US" w:eastAsia="zh-CN" w:bidi="ar"/>
        </w:rPr>
        <w:t>。不断</w:t>
      </w:r>
      <w:r>
        <w:rPr>
          <w:rFonts w:hint="eastAsia" w:ascii="FangSong_GB2312" w:hAnsi="FangSong_GB2312" w:eastAsia="FangSong_GB2312" w:cs="FangSong_GB2312"/>
          <w:color w:val="000000"/>
          <w:spacing w:val="0"/>
          <w:w w:val="100"/>
          <w:sz w:val="32"/>
          <w:szCs w:val="32"/>
          <w:lang w:val="en-US" w:eastAsia="zh-CN"/>
        </w:rPr>
        <w:t>完善“一件事一次办</w:t>
      </w:r>
      <w:r>
        <w:rPr>
          <w:rFonts w:hint="eastAsia" w:ascii="FangSong_GB2312" w:hAnsi="FangSong_GB2312" w:cs="FangSong_GB2312"/>
          <w:color w:val="000000"/>
          <w:spacing w:val="0"/>
          <w:w w:val="100"/>
          <w:sz w:val="32"/>
          <w:szCs w:val="32"/>
          <w:lang w:val="en-US" w:eastAsia="zh-CN"/>
        </w:rPr>
        <w:t>”“</w:t>
      </w:r>
      <w:r>
        <w:rPr>
          <w:rFonts w:hint="eastAsia" w:ascii="FangSong_GB2312" w:hAnsi="FangSong_GB2312" w:eastAsia="FangSong_GB2312" w:cs="FangSong_GB2312"/>
          <w:color w:val="000000"/>
          <w:spacing w:val="0"/>
          <w:w w:val="100"/>
          <w:sz w:val="32"/>
          <w:szCs w:val="32"/>
          <w:lang w:val="en-US" w:eastAsia="zh-CN"/>
        </w:rPr>
        <w:t>川渝通办</w:t>
      </w:r>
      <w:r>
        <w:rPr>
          <w:rFonts w:hint="eastAsia" w:ascii="FangSong_GB2312" w:hAnsi="FangSong_GB2312" w:cs="FangSong_GB2312"/>
          <w:color w:val="000000"/>
          <w:spacing w:val="0"/>
          <w:w w:val="100"/>
          <w:sz w:val="32"/>
          <w:szCs w:val="32"/>
          <w:lang w:val="en-US" w:eastAsia="zh-CN"/>
        </w:rPr>
        <w:t>”“</w:t>
      </w:r>
      <w:r>
        <w:rPr>
          <w:rFonts w:hint="eastAsia" w:ascii="FangSong_GB2312" w:hAnsi="FangSong_GB2312" w:eastAsia="FangSong_GB2312" w:cs="FangSong_GB2312"/>
          <w:color w:val="000000"/>
          <w:spacing w:val="0"/>
          <w:w w:val="100"/>
          <w:sz w:val="32"/>
          <w:szCs w:val="32"/>
          <w:lang w:val="en-US" w:eastAsia="zh-CN"/>
        </w:rPr>
        <w:t>省内通办</w:t>
      </w:r>
      <w:r>
        <w:rPr>
          <w:rFonts w:hint="eastAsia" w:ascii="FangSong_GB2312" w:hAnsi="FangSong_GB2312" w:cs="FangSong_GB2312"/>
          <w:color w:val="000000"/>
          <w:spacing w:val="0"/>
          <w:w w:val="100"/>
          <w:sz w:val="32"/>
          <w:szCs w:val="32"/>
          <w:lang w:val="en-US" w:eastAsia="zh-CN"/>
        </w:rPr>
        <w:t>”“</w:t>
      </w:r>
      <w:r>
        <w:rPr>
          <w:rFonts w:hint="eastAsia" w:ascii="FangSong_GB2312" w:hAnsi="FangSong_GB2312" w:eastAsia="FangSong_GB2312" w:cs="FangSong_GB2312"/>
          <w:color w:val="000000"/>
          <w:spacing w:val="0"/>
          <w:w w:val="100"/>
          <w:sz w:val="32"/>
          <w:szCs w:val="32"/>
          <w:lang w:val="en-US" w:eastAsia="zh-CN"/>
        </w:rPr>
        <w:t>跨省通办”等相关事项梳理、事项配置、流程配置，保障办件正常运行。</w:t>
      </w:r>
      <w:r>
        <w:rPr>
          <w:rFonts w:hint="eastAsia" w:ascii="FangSong_GB2312" w:hAnsi="FangSong_GB2312" w:eastAsia="FangSong_GB2312" w:cs="FangSong_GB2312"/>
          <w:sz w:val="32"/>
          <w:szCs w:val="32"/>
          <w:lang w:eastAsia="zh-CN"/>
        </w:rPr>
        <w:t>按照省市统一部署，</w:t>
      </w:r>
      <w:r>
        <w:rPr>
          <w:rFonts w:hint="eastAsia" w:ascii="FangSong_GB2312" w:hAnsi="FangSong_GB2312" w:eastAsia="FangSong_GB2312" w:cs="FangSong_GB2312"/>
          <w:sz w:val="32"/>
          <w:szCs w:val="32"/>
        </w:rPr>
        <w:t>加强电子证照和电子印章的汇聚管理和应用</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新增电子证照 27类24322张，</w:t>
      </w:r>
      <w:r>
        <w:rPr>
          <w:rFonts w:hint="eastAsia" w:ascii="FangSong_GB2312" w:hAnsi="FangSong_GB2312" w:eastAsia="FangSong_GB2312" w:cs="FangSong_GB2312"/>
          <w:sz w:val="32"/>
          <w:szCs w:val="32"/>
          <w:lang w:eastAsia="zh-CN"/>
        </w:rPr>
        <w:t>数据开放</w:t>
      </w:r>
      <w:r>
        <w:rPr>
          <w:rFonts w:hint="eastAsia" w:ascii="FangSong_GB2312" w:hAnsi="FangSong_GB2312" w:eastAsia="FangSong_GB2312" w:cs="FangSong_GB2312"/>
          <w:sz w:val="32"/>
          <w:szCs w:val="32"/>
          <w:lang w:val="en-US" w:eastAsia="zh-CN"/>
        </w:rPr>
        <w:t>318条。</w:t>
      </w:r>
      <w:r>
        <w:rPr>
          <w:rFonts w:hint="eastAsia" w:ascii="FangSong_GB2312" w:hAnsi="FangSong_GB2312" w:eastAsia="FangSong_GB2312" w:cs="FangSong_GB2312"/>
          <w:color w:val="000000"/>
          <w:spacing w:val="0"/>
          <w:w w:val="100"/>
          <w:sz w:val="32"/>
          <w:szCs w:val="32"/>
          <w:lang w:val="en-US" w:eastAsia="zh-CN"/>
        </w:rPr>
        <w:object>
          <v:shape id="_x0000_i1025" o:spt="75" type="#_x0000_t75" style="height:0.05pt;width:0.05pt;" o:ole="t" filled="f" stroked="f" coordsize="21600,21600">
            <v:path/>
            <v:fill on="f" focussize="0,0"/>
            <v:stroke on="f"/>
            <v:imagedata o:title=""/>
            <o:lock v:ext="edit" aspectratio="t"/>
            <w10:wrap type="none"/>
            <w10:anchorlock/>
          </v:shape>
          <o:OLEObject Type="Embed" ProgID="" ShapeID="_x0000_i1025" DrawAspect="Content" ObjectID="_1468075725">
            <o:LockedField>false</o:LockedField>
          </o:OLEObject>
        </w:object>
      </w:r>
      <w:r>
        <w:rPr>
          <w:rFonts w:hint="eastAsia" w:ascii="FangSong_GB2312" w:hAnsi="FangSong_GB2312" w:eastAsia="FangSong_GB2312" w:cs="FangSong_GB2312"/>
          <w:color w:val="000000"/>
          <w:spacing w:val="0"/>
          <w:w w:val="100"/>
          <w:sz w:val="32"/>
          <w:szCs w:val="32"/>
          <w:lang w:val="en-US" w:eastAsia="zh-CN"/>
        </w:rPr>
        <w:t>完成88467条评价，系统默认评价2648条，主动评价85819条，主动评价率97 %，“好差评”满意率 100 %。</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zh-CN"/>
        </w:rPr>
      </w:pP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numPr>
          <w:ilvl w:val="0"/>
          <w:numId w:val="0"/>
        </w:numPr>
        <w:adjustRightInd w:val="0"/>
        <w:snapToGrid w:val="0"/>
        <w:spacing w:line="560" w:lineRule="exact"/>
        <w:ind w:firstLine="640" w:firstLineChars="200"/>
        <w:rPr>
          <w:rFonts w:ascii="KaiTi_GB2312" w:hAnsi="SimSun" w:eastAsia="KaiTi_GB2312"/>
          <w:b/>
          <w:color w:val="000000" w:themeColor="text1"/>
          <w:lang w:val="zh-CN"/>
          <w14:textFill>
            <w14:solidFill>
              <w14:schemeClr w14:val="tx1"/>
            </w14:solidFill>
          </w14:textFill>
        </w:rPr>
      </w:pPr>
      <w:r>
        <w:rPr>
          <w:rFonts w:hint="eastAsia" w:ascii="FangSong_GB2312" w:hAnsi="SimSun"/>
          <w:color w:val="000000" w:themeColor="text1"/>
          <w:lang w:val="zh-CN" w:eastAsia="zh-CN"/>
          <w14:textFill>
            <w14:solidFill>
              <w14:schemeClr w14:val="tx1"/>
            </w14:solidFill>
          </w14:textFill>
        </w:rPr>
        <w:t>政务大厅运行工作经费项目有力保障了政务服务大厅各</w:t>
      </w:r>
      <w:r>
        <w:rPr>
          <w:rFonts w:hint="eastAsia" w:ascii="FangSong_GB2312" w:hAnsi="SimSun"/>
          <w:color w:val="000000" w:themeColor="text1"/>
          <w:lang w:val="zh-CN"/>
          <w14:textFill>
            <w14:solidFill>
              <w14:schemeClr w14:val="tx1"/>
            </w14:solidFill>
          </w14:textFill>
        </w:rPr>
        <w:t>网络</w:t>
      </w:r>
      <w:r>
        <w:rPr>
          <w:rFonts w:hint="eastAsia" w:ascii="FangSong_GB2312" w:hAnsi="SimSun"/>
          <w:color w:val="000000" w:themeColor="text1"/>
          <w:lang w:val="zh-CN" w:eastAsia="zh-CN"/>
          <w14:textFill>
            <w14:solidFill>
              <w14:schemeClr w14:val="tx1"/>
            </w14:solidFill>
          </w14:textFill>
        </w:rPr>
        <w:t>平台及</w:t>
      </w:r>
      <w:r>
        <w:rPr>
          <w:rFonts w:hint="eastAsia" w:ascii="FangSong_GB2312" w:hAnsi="SimSun"/>
          <w:color w:val="000000" w:themeColor="text1"/>
          <w:lang w:val="zh-CN"/>
          <w14:textFill>
            <w14:solidFill>
              <w14:schemeClr w14:val="tx1"/>
            </w14:solidFill>
          </w14:textFill>
        </w:rPr>
        <w:t>设备的正常运行，有效提高</w:t>
      </w:r>
      <w:r>
        <w:rPr>
          <w:rFonts w:hint="eastAsia" w:ascii="FangSong_GB2312" w:hAnsi="SimSun"/>
          <w:color w:val="000000" w:themeColor="text1"/>
          <w:lang w:val="zh-CN" w:eastAsia="zh-CN"/>
          <w14:textFill>
            <w14:solidFill>
              <w14:schemeClr w14:val="tx1"/>
            </w14:solidFill>
          </w14:textFill>
        </w:rPr>
        <w:t>了</w:t>
      </w:r>
      <w:r>
        <w:rPr>
          <w:rFonts w:hint="eastAsia" w:ascii="FangSong_GB2312" w:hAnsi="SimSun"/>
          <w:color w:val="000000" w:themeColor="text1"/>
          <w:lang w:val="zh-CN"/>
          <w14:textFill>
            <w14:solidFill>
              <w14:schemeClr w14:val="tx1"/>
            </w14:solidFill>
          </w14:textFill>
        </w:rPr>
        <w:t>政务服务运行效率，增强了群众的获得感，提升了群众的满意度。</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zh-CN"/>
        </w:rPr>
      </w:pPr>
      <w:r>
        <w:rPr>
          <w:rFonts w:hint="eastAsia" w:ascii="FangSong_GB2312" w:hAnsi="SimSun"/>
          <w:lang w:val="en-US" w:eastAsia="zh-CN"/>
        </w:rPr>
        <w:t>2022</w:t>
      </w:r>
      <w:r>
        <w:rPr>
          <w:rFonts w:hint="eastAsia" w:ascii="FangSong_GB2312" w:hAnsi="SimSun"/>
          <w:lang w:val="zh-CN"/>
        </w:rPr>
        <w:t>年度</w:t>
      </w:r>
      <w:r>
        <w:rPr>
          <w:rFonts w:hint="eastAsia" w:ascii="FangSong_GB2312" w:hAnsi="SimSun"/>
          <w:lang w:val="zh-CN" w:eastAsia="zh-CN"/>
        </w:rPr>
        <w:t>项目</w:t>
      </w:r>
      <w:r>
        <w:rPr>
          <w:rFonts w:hint="eastAsia" w:ascii="FangSong_GB2312" w:hAnsi="SimSun"/>
          <w:lang w:val="zh-CN"/>
        </w:rPr>
        <w:t>总体评价得</w:t>
      </w:r>
      <w:r>
        <w:rPr>
          <w:rFonts w:hint="eastAsia" w:ascii="FangSong_GB2312" w:hAnsi="SimSun"/>
          <w:lang w:val="en-US" w:eastAsia="zh-CN"/>
        </w:rPr>
        <w:t>99</w:t>
      </w:r>
      <w:r>
        <w:rPr>
          <w:rFonts w:hint="eastAsia" w:ascii="FangSong_GB2312" w:hAnsi="SimSun"/>
          <w:lang w:val="zh-CN"/>
        </w:rPr>
        <w:t>分。</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adjustRightInd w:val="0"/>
        <w:snapToGrid w:val="0"/>
        <w:spacing w:line="560" w:lineRule="exact"/>
        <w:ind w:firstLine="720"/>
        <w:rPr>
          <w:rFonts w:hint="eastAsia" w:ascii="KaiTi_GB2312" w:hAnsi="SimSun" w:eastAsia="KaiTi_GB2312"/>
          <w:b/>
          <w:color w:val="000000" w:themeColor="text1"/>
          <w:lang w:val="zh-CN"/>
          <w14:textFill>
            <w14:solidFill>
              <w14:schemeClr w14:val="tx1"/>
            </w14:solidFill>
          </w14:textFill>
        </w:rPr>
      </w:pPr>
      <w:r>
        <w:rPr>
          <w:rFonts w:hint="eastAsia" w:ascii="FangSong_GB2312" w:hAnsi="SimSun"/>
          <w:color w:val="000000" w:themeColor="text1"/>
          <w:lang w:val="zh-CN"/>
          <w14:textFill>
            <w14:solidFill>
              <w14:schemeClr w14:val="tx1"/>
            </w14:solidFill>
          </w14:textFill>
        </w:rPr>
        <w:t>由于财政资金紧张，项目经费预算有限，有些便民惠民项目难以得到实施，如：免费邮寄服务，对新开办企业送印章服务等。不能为企业和群众提供更好便民利民服务。</w:t>
      </w:r>
    </w:p>
    <w:p>
      <w:pPr>
        <w:adjustRightInd w:val="0"/>
        <w:snapToGrid w:val="0"/>
        <w:spacing w:line="600" w:lineRule="exact"/>
        <w:ind w:firstLine="640" w:firstLineChars="200"/>
        <w:rPr>
          <w:rFonts w:ascii="KaiTi_GB2312" w:hAnsi="SimSun" w:eastAsia="KaiTi_GB2312"/>
          <w:b/>
          <w:lang w:val="zh-CN"/>
        </w:rPr>
      </w:pPr>
      <w:r>
        <w:rPr>
          <w:rFonts w:hint="eastAsia" w:ascii="FangSong_GB2312" w:hAnsi="SimSun"/>
          <w:lang w:val="zh-CN"/>
        </w:rPr>
        <w:tab/>
      </w:r>
      <w:r>
        <w:rPr>
          <w:rFonts w:hint="eastAsia" w:ascii="KaiTi_GB2312" w:hAnsi="SimSun" w:eastAsia="KaiTi_GB2312"/>
          <w:b/>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FangSong_GB2312" w:hAnsi="SimSun"/>
          <w:lang w:val="zh-CN" w:eastAsia="zh-CN"/>
        </w:rPr>
      </w:pPr>
      <w:r>
        <w:rPr>
          <w:rFonts w:hint="eastAsia" w:ascii="FangSong_GB2312" w:hAnsi="SimSun"/>
          <w:lang w:val="en-US" w:eastAsia="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77A50D13-42AE-4745-B987-1503D6BFF9E2}"/>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BCE6F112-41A7-43FC-A930-7CE82D38BA2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3" w:fontKey="{884635C0-9E3F-43CA-A3B3-A9E462BDC165}"/>
  </w:font>
  <w:font w:name="FangSong_GB2312">
    <w:panose1 w:val="02010609030101010101"/>
    <w:charset w:val="86"/>
    <w:family w:val="modern"/>
    <w:pitch w:val="default"/>
    <w:sig w:usb0="00000001" w:usb1="080E0000" w:usb2="00000000" w:usb3="00000000" w:csb0="00040000" w:csb1="00000000"/>
    <w:embedRegular r:id="rId4" w:fontKey="{83D05D9E-36F8-4445-B3BE-25D9C372A1BC}"/>
  </w:font>
  <w:font w:name="FZXiaoBiaoSong-B05S">
    <w:panose1 w:val="02000000000000000000"/>
    <w:charset w:val="86"/>
    <w:family w:val="script"/>
    <w:pitch w:val="default"/>
    <w:sig w:usb0="00000001" w:usb1="080E0000" w:usb2="00000000" w:usb3="00000000" w:csb0="00040000" w:csb1="00000000"/>
    <w:embedRegular r:id="rId5" w:fontKey="{07E2382E-25C6-4910-A971-0B3F08B3E994}"/>
  </w:font>
  <w:font w:name="Cambria">
    <w:panose1 w:val="02040503050406030204"/>
    <w:charset w:val="00"/>
    <w:family w:val="auto"/>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6" w:fontKey="{B1195304-4F05-4262-AE22-F7755126F2C5}"/>
  </w:font>
  <w:font w:name="KaiTi_GB2312">
    <w:panose1 w:val="02010609030101010101"/>
    <w:charset w:val="86"/>
    <w:family w:val="modern"/>
    <w:pitch w:val="default"/>
    <w:sig w:usb0="00000001" w:usb1="080E0000" w:usb2="00000000" w:usb3="00000000" w:csb0="00040000" w:csb1="00000000"/>
    <w:embedRegular r:id="rId7" w:fontKey="{D5F7AF74-01E5-4786-8D1A-3F486781A0AF}"/>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8937A"/>
    <w:multiLevelType w:val="singleLevel"/>
    <w:tmpl w:val="BC5893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23D293E"/>
    <w:rsid w:val="07351E35"/>
    <w:rsid w:val="08DD4532"/>
    <w:rsid w:val="0A264FBC"/>
    <w:rsid w:val="0AC92FC0"/>
    <w:rsid w:val="0AE0030A"/>
    <w:rsid w:val="0C322DE7"/>
    <w:rsid w:val="0C801DA5"/>
    <w:rsid w:val="0D466608"/>
    <w:rsid w:val="0D850CC5"/>
    <w:rsid w:val="0F464FE5"/>
    <w:rsid w:val="0F512F0F"/>
    <w:rsid w:val="0FE761C4"/>
    <w:rsid w:val="10142F30"/>
    <w:rsid w:val="11895257"/>
    <w:rsid w:val="132C67E2"/>
    <w:rsid w:val="14D26F15"/>
    <w:rsid w:val="14EB7FD7"/>
    <w:rsid w:val="156E6271"/>
    <w:rsid w:val="15F2746D"/>
    <w:rsid w:val="16842491"/>
    <w:rsid w:val="17013AE2"/>
    <w:rsid w:val="17283764"/>
    <w:rsid w:val="172D48D7"/>
    <w:rsid w:val="19B536B9"/>
    <w:rsid w:val="1A3B730B"/>
    <w:rsid w:val="1A772A39"/>
    <w:rsid w:val="1C595B9F"/>
    <w:rsid w:val="1D2C179E"/>
    <w:rsid w:val="209E43A7"/>
    <w:rsid w:val="20F16975"/>
    <w:rsid w:val="267E7EE2"/>
    <w:rsid w:val="270311B0"/>
    <w:rsid w:val="275A1718"/>
    <w:rsid w:val="291C455A"/>
    <w:rsid w:val="2A502512"/>
    <w:rsid w:val="2AE80DE9"/>
    <w:rsid w:val="2B612949"/>
    <w:rsid w:val="2C567FD4"/>
    <w:rsid w:val="2CBF5B79"/>
    <w:rsid w:val="2E844789"/>
    <w:rsid w:val="2F991285"/>
    <w:rsid w:val="2FEF6776"/>
    <w:rsid w:val="307C0647"/>
    <w:rsid w:val="31BC4D7D"/>
    <w:rsid w:val="33A90E1D"/>
    <w:rsid w:val="34993154"/>
    <w:rsid w:val="36155588"/>
    <w:rsid w:val="36926D0C"/>
    <w:rsid w:val="3ADC3D9A"/>
    <w:rsid w:val="3AF34034"/>
    <w:rsid w:val="3B4262F3"/>
    <w:rsid w:val="40B57568"/>
    <w:rsid w:val="41483F38"/>
    <w:rsid w:val="414A628B"/>
    <w:rsid w:val="41735459"/>
    <w:rsid w:val="417A60C3"/>
    <w:rsid w:val="4386388E"/>
    <w:rsid w:val="4509235A"/>
    <w:rsid w:val="4A4666B7"/>
    <w:rsid w:val="4BDE3E16"/>
    <w:rsid w:val="4BFF5B3B"/>
    <w:rsid w:val="50E1473A"/>
    <w:rsid w:val="521D1A17"/>
    <w:rsid w:val="54161C73"/>
    <w:rsid w:val="54D9517B"/>
    <w:rsid w:val="561641AD"/>
    <w:rsid w:val="565847C5"/>
    <w:rsid w:val="59701E26"/>
    <w:rsid w:val="5CE172C2"/>
    <w:rsid w:val="5D3C0B07"/>
    <w:rsid w:val="5D415FB3"/>
    <w:rsid w:val="5E2751A9"/>
    <w:rsid w:val="60D4713E"/>
    <w:rsid w:val="62326A29"/>
    <w:rsid w:val="626A1B08"/>
    <w:rsid w:val="633A597E"/>
    <w:rsid w:val="636B5B38"/>
    <w:rsid w:val="63E458EA"/>
    <w:rsid w:val="66C0619B"/>
    <w:rsid w:val="6716400D"/>
    <w:rsid w:val="673E27F9"/>
    <w:rsid w:val="683C3B24"/>
    <w:rsid w:val="694F3806"/>
    <w:rsid w:val="6A0665BA"/>
    <w:rsid w:val="6B5B46E4"/>
    <w:rsid w:val="6EEE586F"/>
    <w:rsid w:val="6EF16389"/>
    <w:rsid w:val="6FA80114"/>
    <w:rsid w:val="70001CFE"/>
    <w:rsid w:val="705F07D2"/>
    <w:rsid w:val="722B6807"/>
    <w:rsid w:val="73EC073B"/>
    <w:rsid w:val="74276058"/>
    <w:rsid w:val="74AE55E6"/>
    <w:rsid w:val="75E83018"/>
    <w:rsid w:val="762A53DF"/>
    <w:rsid w:val="76E346E0"/>
    <w:rsid w:val="773553D3"/>
    <w:rsid w:val="79016D9C"/>
    <w:rsid w:val="79020895"/>
    <w:rsid w:val="79FC52E4"/>
    <w:rsid w:val="7AF67F85"/>
    <w:rsid w:val="7B23700B"/>
    <w:rsid w:val="7B5D0F71"/>
    <w:rsid w:val="7F2826D7"/>
    <w:rsid w:val="7FBE4DEA"/>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widowControl w:val="0"/>
      <w:topLinePunct/>
      <w:spacing w:line="580" w:lineRule="exact"/>
      <w:jc w:val="center"/>
      <w:outlineLvl w:val="2"/>
    </w:pPr>
    <w:rPr>
      <w:rFonts w:ascii="FZXiaoBiaoSong-B05S" w:hAnsi="Cambria" w:eastAsia="FZXiaoBiaoSong-B05S"/>
      <w:b/>
      <w:bCs/>
      <w:kern w:val="2"/>
      <w:sz w:val="44"/>
      <w:szCs w:val="32"/>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FollowedHyperlink"/>
    <w:basedOn w:val="7"/>
    <w:uiPriority w:val="0"/>
    <w:rPr>
      <w:color w:val="000000"/>
      <w:u w:val="none"/>
    </w:rPr>
  </w:style>
  <w:style w:type="character" w:styleId="9">
    <w:name w:val="Hyperlink"/>
    <w:basedOn w:val="7"/>
    <w:uiPriority w:val="0"/>
    <w:rPr>
      <w:color w:val="000000"/>
      <w:u w:val="none"/>
    </w:rPr>
  </w:style>
  <w:style w:type="paragraph" w:customStyle="1" w:styleId="10">
    <w:name w:val="四号正文"/>
    <w:basedOn w:val="1"/>
    <w:autoRedefine/>
    <w:qFormat/>
    <w:uiPriority w:val="0"/>
    <w:pPr>
      <w:spacing w:line="360" w:lineRule="auto"/>
    </w:pPr>
    <w:rPr>
      <w:rFonts w:ascii="??" w:hAnsi="??" w:eastAsia="SimSun"/>
      <w:color w:val="000000"/>
      <w:kern w:val="0"/>
      <w:sz w:val="28"/>
      <w:szCs w:val="21"/>
      <w:lang w:val="zh-CN"/>
    </w:rPr>
  </w:style>
  <w:style w:type="paragraph" w:styleId="11">
    <w:name w:val=""/>
    <w:basedOn w:val="1"/>
    <w:next w:val="1"/>
    <w:uiPriority w:val="0"/>
    <w:pPr>
      <w:pBdr>
        <w:bottom w:val="single" w:color="auto" w:sz="6" w:space="1"/>
      </w:pBdr>
      <w:jc w:val="center"/>
    </w:pPr>
    <w:rPr>
      <w:rFonts w:ascii="Arial" w:eastAsia="SimSun"/>
      <w:vanish/>
      <w:sz w:val="16"/>
    </w:rPr>
  </w:style>
  <w:style w:type="paragraph" w:styleId="12">
    <w:name w:val=""/>
    <w:basedOn w:val="1"/>
    <w:next w:val="1"/>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1655</Words>
  <Characters>1703</Characters>
  <Lines>9</Lines>
  <Paragraphs>2</Paragraphs>
  <TotalTime>6</TotalTime>
  <ScaleCrop>false</ScaleCrop>
  <LinksUpToDate>false</LinksUpToDate>
  <CharactersWithSpaces>1707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2023-06-26T03:11:00Z</cp:lastPrinted>
  <dcterms:modified xsi:type="dcterms:W3CDTF">2024-03-27T07:08:13Z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6539A369E89A4A59B19B5FCA8FE31BFB_13</vt:lpwstr>
  </property>
</Properties>
</file>