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eastAsia" w:ascii="SimSun" w:hAnsi="Times New Roman" w:eastAsia="SimSu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eastAsia" w:ascii="SimSun" w:hAnsi="Times New Roman" w:eastAsia="SimSu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600" w:lineRule="exact"/>
        <w:ind w:left="0" w:right="0"/>
        <w:jc w:val="both"/>
        <w:rPr>
          <w:rFonts w:hint="eastAsia" w:ascii="SimSun" w:hAnsi="Times New Roman" w:eastAsia="SimSun" w:cs="SimSun"/>
          <w:color w:val="000000"/>
          <w:kern w:val="0"/>
          <w:sz w:val="32"/>
          <w:szCs w:val="32"/>
          <w:lang w:val="en-US"/>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600" w:lineRule="exact"/>
        <w:ind w:left="0" w:right="0"/>
        <w:jc w:val="both"/>
        <w:textAlignment w:val="auto"/>
        <w:rPr>
          <w:rFonts w:hint="eastAsia" w:ascii="SimSun" w:hAnsi="Times New Roman" w:eastAsia="SimSun" w:cs="SimSun"/>
          <w:color w:val="000000"/>
          <w:kern w:val="0"/>
          <w:sz w:val="32"/>
          <w:szCs w:val="32"/>
          <w:lang w:val="en-US"/>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00" w:lineRule="exact"/>
        <w:ind w:left="0" w:right="0"/>
        <w:jc w:val="both"/>
        <w:textAlignment w:val="auto"/>
        <w:rPr>
          <w:rFonts w:hint="eastAsia" w:ascii="SimSun" w:hAnsi="Times New Roman" w:eastAsia="SimSun" w:cs="SimSun"/>
          <w:color w:val="000000"/>
          <w:kern w:val="0"/>
          <w:sz w:val="32"/>
          <w:szCs w:val="32"/>
          <w:lang w:val="en-US"/>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00" w:lineRule="exact"/>
        <w:ind w:left="0" w:right="0"/>
        <w:jc w:val="both"/>
        <w:textAlignment w:val="auto"/>
        <w:rPr>
          <w:rFonts w:hint="eastAsia" w:ascii="SimSun" w:hAnsi="Times New Roman" w:eastAsia="SimSun" w:cs="SimSun"/>
          <w:color w:val="000000"/>
          <w:kern w:val="0"/>
          <w:sz w:val="32"/>
          <w:szCs w:val="32"/>
          <w:lang w:val="en-US"/>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00" w:lineRule="exact"/>
        <w:ind w:left="0" w:right="0"/>
        <w:jc w:val="both"/>
        <w:textAlignment w:val="auto"/>
        <w:rPr>
          <w:rFonts w:hint="eastAsia" w:ascii="SimSun" w:hAnsi="Times New Roman" w:eastAsia="SimSun" w:cs="SimSun"/>
          <w:color w:val="000000"/>
          <w:kern w:val="0"/>
          <w:sz w:val="32"/>
          <w:szCs w:val="32"/>
          <w:lang w:val="en-US"/>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00" w:lineRule="exact"/>
        <w:ind w:left="0" w:right="0"/>
        <w:jc w:val="both"/>
        <w:textAlignment w:val="auto"/>
        <w:rPr>
          <w:rFonts w:hint="eastAsia" w:ascii="SimSun" w:hAnsi="Times New Roman" w:eastAsia="SimSu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720" w:lineRule="exact"/>
        <w:ind w:left="0" w:right="0"/>
        <w:jc w:val="center"/>
        <w:rPr>
          <w:rFonts w:hint="eastAsia" w:ascii="FangSong_GB2312" w:eastAsia="FangSong_GB2312" w:cs="FangSong_GB2312"/>
          <w:color w:val="000000"/>
          <w:kern w:val="0"/>
          <w:sz w:val="32"/>
          <w:szCs w:val="32"/>
          <w:lang w:val="en-US"/>
        </w:rPr>
      </w:pPr>
      <w:r>
        <w:rPr>
          <w:rFonts w:hint="eastAsia" w:ascii="FangSong_GB2312" w:hAnsi="Times New Roman" w:eastAsia="FangSong_GB2312" w:cs="FangSong_GB2312"/>
          <w:color w:val="000000"/>
          <w:kern w:val="0"/>
          <w:sz w:val="32"/>
          <w:szCs w:val="32"/>
          <w:lang w:val="en-US" w:eastAsia="zh-CN" w:bidi="ar"/>
        </w:rPr>
        <w:t>峨边府办函〔2023〕18号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eastAsia" w:ascii="FangSong_GB2312" w:eastAsia="FangSong_GB2312" w:cs="FangSong_GB2312"/>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FangSong_GB2312" w:eastAsia="FangSong_GB2312" w:cs="FangSong_GB2312"/>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240" w:lineRule="exact"/>
        <w:ind w:left="0" w:right="0"/>
        <w:jc w:val="center"/>
        <w:rPr>
          <w:rFonts w:hint="eastAsia" w:ascii="FangSong_GB2312" w:eastAsia="FangSong_GB2312" w:cs="FangSong_GB2312"/>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720" w:lineRule="exact"/>
        <w:ind w:left="0" w:right="0"/>
        <w:jc w:val="center"/>
        <w:rPr>
          <w:rFonts w:hint="eastAsia" w:ascii="FZXiaoBiaoSong-B05S" w:hAnsi="FZXiaoBiaoSong-B05S" w:eastAsia="FZXiaoBiaoSong-B05S" w:cs="FZXiaoBiaoSong-B05S"/>
          <w:color w:val="000000"/>
          <w:sz w:val="44"/>
          <w:szCs w:val="44"/>
          <w:lang w:val="en-US"/>
        </w:rPr>
      </w:pPr>
      <w:r>
        <w:rPr>
          <w:rFonts w:hint="eastAsia" w:ascii="FZXiaoBiaoSong-B05S" w:hAnsi="FZXiaoBiaoSong-B05S" w:eastAsia="FZXiaoBiaoSong-B05S" w:cs="FZXiaoBiaoSong-B05S"/>
          <w:color w:val="000000"/>
          <w:kern w:val="2"/>
          <w:sz w:val="44"/>
          <w:szCs w:val="44"/>
          <w:lang w:val="en-US" w:eastAsia="zh-CN" w:bidi="ar"/>
        </w:rPr>
        <w:t>峨边彝族自治县人民政府办公室</w:t>
      </w:r>
    </w:p>
    <w:p>
      <w:pPr>
        <w:keepNext w:val="0"/>
        <w:keepLines w:val="0"/>
        <w:widowControl w:val="0"/>
        <w:suppressLineNumbers w:val="0"/>
        <w:spacing w:before="0" w:beforeAutospacing="0" w:after="0" w:afterAutospacing="0" w:line="700" w:lineRule="exact"/>
        <w:ind w:left="0" w:right="0"/>
        <w:jc w:val="center"/>
        <w:rPr>
          <w:rFonts w:hint="eastAsia" w:ascii="FZXiaoBiaoSong-B05S" w:hAnsi="FZXiaoBiaoSong-B05S" w:eastAsia="FZXiaoBiaoSong-B05S" w:cs="FZXiaoBiaoSong-B05S"/>
          <w:kern w:val="2"/>
          <w:sz w:val="44"/>
          <w:szCs w:val="44"/>
          <w:lang w:val="en-US" w:eastAsia="zh-CN" w:bidi="ar"/>
        </w:rPr>
      </w:pPr>
      <w:r>
        <w:rPr>
          <w:rFonts w:hint="eastAsia" w:ascii="FZXiaoBiaoSong-B05S" w:hAnsi="FZXiaoBiaoSong-B05S" w:eastAsia="FZXiaoBiaoSong-B05S" w:cs="FZXiaoBiaoSong-B05S"/>
          <w:color w:val="000000"/>
          <w:spacing w:val="-6"/>
          <w:w w:val="98"/>
          <w:kern w:val="2"/>
          <w:sz w:val="44"/>
          <w:szCs w:val="44"/>
          <w:lang w:val="en-US" w:eastAsia="zh-CN" w:bidi="ar"/>
        </w:rPr>
        <w:t>关于印发《</w:t>
      </w:r>
      <w:r>
        <w:rPr>
          <w:rFonts w:hint="eastAsia" w:ascii="FZXiaoBiaoSong-B05S" w:hAnsi="FZXiaoBiaoSong-B05S" w:eastAsia="FZXiaoBiaoSong-B05S" w:cs="FZXiaoBiaoSong-B05S"/>
          <w:kern w:val="2"/>
          <w:sz w:val="44"/>
          <w:szCs w:val="44"/>
          <w:lang w:val="en-US" w:eastAsia="zh-CN" w:bidi="ar"/>
        </w:rPr>
        <w:t>峨边彝族自治县支持民营经济</w:t>
      </w:r>
    </w:p>
    <w:p>
      <w:pPr>
        <w:keepNext w:val="0"/>
        <w:keepLines w:val="0"/>
        <w:widowControl w:val="0"/>
        <w:suppressLineNumbers w:val="0"/>
        <w:spacing w:before="0" w:beforeAutospacing="0" w:after="0" w:afterAutospacing="0" w:line="700" w:lineRule="exact"/>
        <w:ind w:left="0" w:right="0"/>
        <w:jc w:val="center"/>
        <w:rPr>
          <w:rFonts w:hint="eastAsia" w:ascii="FZXiaoBiaoSong-B05S" w:hAnsi="FZXiaoBiaoSong-B05S" w:eastAsia="FZXiaoBiaoSong-B05S" w:cs="FZXiaoBiaoSong-B05S"/>
          <w:b/>
          <w:bCs w:val="0"/>
          <w:color w:val="000000"/>
          <w:spacing w:val="12"/>
          <w:sz w:val="44"/>
          <w:szCs w:val="44"/>
          <w:lang w:val="en-US"/>
        </w:rPr>
      </w:pPr>
      <w:r>
        <w:rPr>
          <w:rFonts w:hint="eastAsia" w:ascii="FZXiaoBiaoSong-B05S" w:hAnsi="FZXiaoBiaoSong-B05S" w:eastAsia="FZXiaoBiaoSong-B05S" w:cs="FZXiaoBiaoSong-B05S"/>
          <w:kern w:val="2"/>
          <w:sz w:val="44"/>
          <w:szCs w:val="44"/>
          <w:lang w:val="en-US" w:eastAsia="zh-CN" w:bidi="ar"/>
        </w:rPr>
        <w:t>健康发展十五条政策措施</w:t>
      </w:r>
      <w:r>
        <w:rPr>
          <w:rFonts w:hint="eastAsia" w:ascii="FZXiaoBiaoSong-B05S" w:hAnsi="FZXiaoBiaoSong-B05S" w:eastAsia="FZXiaoBiaoSong-B05S" w:cs="FZXiaoBiaoSong-B05S"/>
          <w:color w:val="000000"/>
          <w:spacing w:val="-6"/>
          <w:w w:val="98"/>
          <w:kern w:val="2"/>
          <w:sz w:val="44"/>
          <w:szCs w:val="44"/>
          <w:lang w:val="en-US" w:eastAsia="zh-CN" w:bidi="ar"/>
        </w:rPr>
        <w:t>》</w:t>
      </w:r>
      <w:r>
        <w:rPr>
          <w:rFonts w:hint="eastAsia" w:ascii="FZXiaoBiaoSong-B05S" w:hAnsi="FZXiaoBiaoSong-B05S" w:eastAsia="FZXiaoBiaoSong-B05S" w:cs="FZXiaoBiaoSong-B05S"/>
          <w:color w:val="000000"/>
          <w:spacing w:val="12"/>
          <w:kern w:val="2"/>
          <w:sz w:val="44"/>
          <w:szCs w:val="44"/>
          <w:lang w:val="en-US" w:eastAsia="zh-CN" w:bidi="ar"/>
        </w:rPr>
        <w:t>的通知</w:t>
      </w:r>
    </w:p>
    <w:p>
      <w:pPr>
        <w:keepNext w:val="0"/>
        <w:keepLines w:val="0"/>
        <w:widowControl w:val="0"/>
        <w:suppressLineNumbers w:val="0"/>
        <w:autoSpaceDE w:val="0"/>
        <w:autoSpaceDN w:val="0"/>
        <w:adjustRightInd w:val="0"/>
        <w:spacing w:before="0" w:beforeAutospacing="0" w:after="0" w:afterAutospacing="0" w:line="760" w:lineRule="exact"/>
        <w:ind w:left="0" w:right="0"/>
        <w:jc w:val="center"/>
        <w:rPr>
          <w:rFonts w:hint="eastAsia" w:ascii="FangSong_GB2312" w:eastAsia="FangSong_GB2312" w:cs="FZXiaoBiaoSong-B05S"/>
          <w:color w:val="000000"/>
          <w:kern w:val="0"/>
          <w:sz w:val="32"/>
          <w:szCs w:val="32"/>
          <w:lang w:val="en-US"/>
        </w:rPr>
      </w:pPr>
    </w:p>
    <w:p>
      <w:pPr>
        <w:keepNext w:val="0"/>
        <w:keepLines w:val="0"/>
        <w:widowControl w:val="0"/>
        <w:suppressLineNumbers w:val="0"/>
        <w:spacing w:before="0" w:beforeAutospacing="0" w:after="0" w:afterAutospacing="0" w:line="600" w:lineRule="exact"/>
        <w:ind w:left="0" w:right="0"/>
        <w:jc w:val="both"/>
        <w:rPr>
          <w:rFonts w:hint="eastAsia" w:ascii="FangSong_GB2312" w:hAnsi="FangSong_GB2312" w:eastAsia="FangSong_GB2312" w:cs="FangSong_GB2312"/>
          <w:color w:val="000000"/>
          <w:sz w:val="32"/>
          <w:szCs w:val="32"/>
          <w:lang w:val="en-US"/>
        </w:rPr>
      </w:pPr>
      <w:r>
        <w:rPr>
          <w:rFonts w:hint="eastAsia" w:ascii="FangSong_GB2312" w:hAnsi="FangSong_GB2312" w:eastAsia="FangSong_GB2312" w:cs="FangSong_GB2312"/>
          <w:color w:val="000000"/>
          <w:kern w:val="2"/>
          <w:sz w:val="32"/>
          <w:szCs w:val="32"/>
          <w:lang w:val="en-US" w:eastAsia="zh-CN" w:bidi="ar"/>
        </w:rPr>
        <w:t>各乡镇人民政府、县级各部门：</w:t>
      </w:r>
    </w:p>
    <w:p>
      <w:pPr>
        <w:keepNext w:val="0"/>
        <w:keepLines w:val="0"/>
        <w:widowControl w:val="0"/>
        <w:suppressLineNumbers w:val="0"/>
        <w:tabs>
          <w:tab w:val="left" w:pos="6660"/>
        </w:tabs>
        <w:spacing w:before="0" w:beforeAutospacing="0" w:after="0" w:afterAutospacing="0" w:line="600" w:lineRule="exact"/>
        <w:ind w:left="0" w:right="0" w:firstLine="640" w:firstLineChars="200"/>
        <w:jc w:val="both"/>
        <w:rPr>
          <w:rFonts w:hint="eastAsia" w:ascii="FangSong_GB2312" w:hAnsi="SimSun" w:eastAsia="FangSong_GB2312" w:cs="FangSong_GB2312"/>
          <w:color w:val="000000"/>
          <w:sz w:val="32"/>
          <w:szCs w:val="32"/>
          <w:lang w:val="en-US" w:bidi="ar"/>
        </w:rPr>
      </w:pPr>
      <w:r>
        <w:rPr>
          <w:rFonts w:hint="eastAsia" w:ascii="FangSong_GB2312" w:hAnsi="SimSun" w:eastAsia="FangSong_GB2312" w:cs="FangSong_GB2312"/>
          <w:color w:val="000000"/>
          <w:kern w:val="2"/>
          <w:sz w:val="32"/>
          <w:szCs w:val="32"/>
          <w:lang w:val="en-US" w:eastAsia="zh-CN" w:bidi="ar"/>
        </w:rPr>
        <w:t>《峨边彝族自治县支持民营经济健康发展十五条政策措施》已经县政府同意，现印发给你们，请认真组织实施。</w:t>
      </w:r>
    </w:p>
    <w:p>
      <w:pPr>
        <w:pStyle w:val="5"/>
        <w:keepNext w:val="0"/>
        <w:keepLines w:val="0"/>
        <w:widowControl w:val="0"/>
        <w:suppressLineNumbers w:val="0"/>
        <w:shd w:val="clear" w:fill="FFFFFF"/>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shd w:val="clear" w:fill="FFFFFF"/>
          <w:lang w:val="en-US"/>
        </w:rPr>
      </w:pPr>
    </w:p>
    <w:p>
      <w:pPr>
        <w:pStyle w:val="2"/>
        <w:widowControl/>
        <w:spacing w:line="600" w:lineRule="exact"/>
        <w:rPr>
          <w:rFonts w:eastAsia="FangSong_GB2312"/>
          <w:color w:val="000000"/>
          <w:lang w:val="en-US"/>
        </w:rPr>
      </w:pP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eastAsia="FangSong_GB2312" w:cs="FangSong_GB2312"/>
          <w:color w:val="000000"/>
          <w:sz w:val="32"/>
          <w:szCs w:val="32"/>
          <w:lang w:val="en-US"/>
        </w:rPr>
      </w:pPr>
      <w:r>
        <w:rPr>
          <w:rFonts w:hint="eastAsia" w:ascii="FangSong_GB2312" w:hAnsi="Times New Roman" w:eastAsia="FangSong_GB2312" w:cs="FangSong_GB2312"/>
          <w:color w:val="000000"/>
          <w:kern w:val="2"/>
          <w:sz w:val="32"/>
          <w:szCs w:val="32"/>
          <w:lang w:val="en-US" w:eastAsia="zh-CN" w:bidi="ar"/>
        </w:rPr>
        <w:t xml:space="preserve">                   峨边彝族自治县人民政府办公室</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ZXiaoBiaoSong-B05S" w:hAnsi="FZXiaoBiaoSong-B05S" w:eastAsia="FZXiaoBiaoSong-B05S" w:cs="FZXiaoBiaoSong-B05S"/>
          <w:kern w:val="2"/>
          <w:sz w:val="44"/>
          <w:szCs w:val="44"/>
          <w:lang w:val="en-US" w:eastAsia="zh-CN" w:bidi="ar"/>
        </w:rPr>
      </w:pPr>
      <w:r>
        <w:rPr>
          <w:rFonts w:hint="eastAsia" w:ascii="FangSong_GB2312" w:hAnsi="Times New Roman" w:eastAsia="FangSong_GB2312" w:cs="FangSong_GB2312"/>
          <w:color w:val="000000"/>
          <w:kern w:val="2"/>
          <w:sz w:val="32"/>
          <w:szCs w:val="32"/>
          <w:lang w:val="en-US" w:eastAsia="zh-CN" w:bidi="ar"/>
        </w:rPr>
        <w:t xml:space="preserve">                         </w:t>
      </w:r>
      <w:r>
        <w:rPr>
          <w:rFonts w:hint="eastAsia" w:ascii="FangSong_GB2312" w:hAnsi="Arial Unicode MS" w:eastAsia="FangSong_GB2312" w:cs="FangSong_GB2312"/>
          <w:color w:val="000000"/>
          <w:kern w:val="2"/>
          <w:sz w:val="32"/>
          <w:szCs w:val="32"/>
          <w:lang w:val="en-US" w:eastAsia="zh-CN" w:bidi="ar"/>
        </w:rPr>
        <w:t>2023年8月31日</w:t>
      </w:r>
    </w:p>
    <w:p>
      <w:pPr>
        <w:keepNext w:val="0"/>
        <w:keepLines w:val="0"/>
        <w:widowControl w:val="0"/>
        <w:suppressLineNumbers w:val="0"/>
        <w:spacing w:before="0" w:beforeAutospacing="0" w:after="0" w:afterAutospacing="0" w:line="700" w:lineRule="exact"/>
        <w:ind w:left="0" w:right="0"/>
        <w:jc w:val="center"/>
        <w:rPr>
          <w:rFonts w:hint="eastAsia" w:ascii="FZXiaoBiaoSong-B05S" w:hAnsi="FZXiaoBiaoSong-B05S" w:eastAsia="FZXiaoBiaoSong-B05S" w:cs="FZXiaoBiaoSong-B05S"/>
          <w:sz w:val="44"/>
          <w:szCs w:val="44"/>
          <w:lang w:val="en-US"/>
        </w:rPr>
      </w:pPr>
      <w:r>
        <w:rPr>
          <w:rFonts w:hint="eastAsia" w:ascii="FZXiaoBiaoSong-B05S" w:hAnsi="FZXiaoBiaoSong-B05S" w:eastAsia="FZXiaoBiaoSong-B05S" w:cs="FZXiaoBiaoSong-B05S"/>
          <w:kern w:val="2"/>
          <w:sz w:val="44"/>
          <w:szCs w:val="44"/>
          <w:lang w:val="en-US" w:eastAsia="zh-CN" w:bidi="ar"/>
        </w:rPr>
        <w:t>峨边彝族自治县</w:t>
      </w:r>
    </w:p>
    <w:p>
      <w:pPr>
        <w:keepNext w:val="0"/>
        <w:keepLines w:val="0"/>
        <w:widowControl w:val="0"/>
        <w:suppressLineNumbers w:val="0"/>
        <w:spacing w:before="0" w:beforeAutospacing="0" w:after="0" w:afterAutospacing="0" w:line="700" w:lineRule="exact"/>
        <w:ind w:left="0" w:right="0"/>
        <w:jc w:val="center"/>
        <w:rPr>
          <w:rFonts w:hint="eastAsia" w:ascii="KaiTi_GB2312" w:hAnsi="KaiTi_GB2312" w:eastAsia="KaiTi_GB2312" w:cs="KaiTi_GB2312"/>
          <w:sz w:val="32"/>
          <w:szCs w:val="32"/>
          <w:lang w:val="en-US"/>
        </w:rPr>
      </w:pPr>
      <w:r>
        <w:rPr>
          <w:rFonts w:hint="eastAsia" w:ascii="FZXiaoBiaoSong-B05S" w:hAnsi="FZXiaoBiaoSong-B05S" w:eastAsia="FZXiaoBiaoSong-B05S" w:cs="FZXiaoBiaoSong-B05S"/>
          <w:kern w:val="2"/>
          <w:sz w:val="44"/>
          <w:szCs w:val="44"/>
          <w:lang w:val="en-US" w:eastAsia="zh-CN" w:bidi="ar"/>
        </w:rPr>
        <w:t>支持民营经济健康发展十五条政策措施</w:t>
      </w:r>
    </w:p>
    <w:p>
      <w:pPr>
        <w:pStyle w:val="5"/>
        <w:keepNext w:val="0"/>
        <w:keepLines w:val="0"/>
        <w:widowControl/>
        <w:suppressLineNumbers w:val="0"/>
        <w:spacing w:before="0" w:beforeAutospacing="0" w:after="0" w:afterAutospacing="0" w:line="480" w:lineRule="atLeast"/>
        <w:ind w:left="0" w:right="0" w:firstLine="640" w:firstLineChars="200"/>
        <w:rPr>
          <w:rFonts w:hint="eastAsia" w:ascii="FangSong_GB2312" w:hAnsi="FangSong_GB2312" w:eastAsia="FangSong_GB2312" w:cs="FangSong_GB2312"/>
          <w:sz w:val="32"/>
          <w:szCs w:val="32"/>
          <w:lang w:val="en-US"/>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FangSong_GB2312" w:eastAsia="FangSong_GB2312" w:cs="FangSong_GB2312"/>
          <w:sz w:val="32"/>
          <w:szCs w:val="32"/>
          <w:lang w:val="en-US"/>
        </w:rPr>
      </w:pPr>
      <w:r>
        <w:rPr>
          <w:rFonts w:hint="eastAsia" w:ascii="FangSong_GB2312" w:hAnsi="FangSong_GB2312" w:eastAsia="FangSong_GB2312" w:cs="FangSong_GB2312"/>
          <w:sz w:val="32"/>
          <w:szCs w:val="32"/>
          <w:lang w:eastAsia="zh-CN"/>
        </w:rPr>
        <w:t>为深入贯彻党中央国务院关于支持民营经济健康发展决策部署，坚持“两个毫不动摇”“三个没有变”，坚持“党建引领、三区联动、城乡融合、全面振兴”发展思路，进一步解放思想、提升服务、落实政策，更好促进全县民营经济健康、高质量发展，为建设民族地区中国式现代化先行区凝聚强大合力，特制定如下政策措施。</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SimHei" w:hAnsi="SimSun" w:eastAsia="SimHei" w:cs="SimHei"/>
          <w:sz w:val="32"/>
          <w:szCs w:val="32"/>
          <w:lang w:val="en-US"/>
        </w:rPr>
      </w:pPr>
      <w:r>
        <w:rPr>
          <w:rFonts w:hint="eastAsia" w:ascii="SimHei" w:hAnsi="SimSun" w:eastAsia="SimHei" w:cs="SimHei"/>
          <w:kern w:val="2"/>
          <w:sz w:val="32"/>
          <w:szCs w:val="32"/>
          <w:lang w:val="en-US" w:eastAsia="zh-CN" w:bidi="ar"/>
        </w:rPr>
        <w:t>一、大力培育市场主体</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FangSong_GB2312" w:hAnsi="FangSong_GB2312" w:eastAsia="FangSong_GB2312" w:cs="FangSong_GB2312"/>
          <w:sz w:val="32"/>
          <w:szCs w:val="32"/>
          <w:lang w:val="en-US"/>
        </w:rPr>
      </w:pPr>
      <w:r>
        <w:rPr>
          <w:rFonts w:hint="eastAsia" w:ascii="KaiTi_GB2312" w:hAnsi="KaiTi_GB2312" w:eastAsia="KaiTi_GB2312" w:cs="KaiTi_GB2312"/>
          <w:sz w:val="32"/>
          <w:szCs w:val="32"/>
          <w:lang w:val="en-US" w:eastAsia="zh-CN"/>
        </w:rPr>
        <w:t>（一）</w:t>
      </w:r>
      <w:r>
        <w:rPr>
          <w:rFonts w:hint="eastAsia" w:ascii="KaiTi_GB2312" w:hAnsi="KaiTi_GB2312" w:eastAsia="KaiTi_GB2312" w:cs="KaiTi_GB2312"/>
          <w:sz w:val="32"/>
          <w:szCs w:val="32"/>
          <w:lang w:eastAsia="zh-CN"/>
        </w:rPr>
        <w:t>鼓励参与县域重大项目建设。</w:t>
      </w:r>
      <w:r>
        <w:rPr>
          <w:rFonts w:hint="eastAsia" w:ascii="FangSong_GB2312" w:hAnsi="FangSong_GB2312" w:eastAsia="FangSong_GB2312" w:cs="FangSong_GB2312"/>
          <w:sz w:val="32"/>
          <w:szCs w:val="32"/>
          <w:lang w:eastAsia="zh-CN"/>
        </w:rPr>
        <w:t>推进“非禁即入”政策落实，在教育、卫生、医疗等社会事业和交通、水利、市政等公用事业领域、智慧城市等新基建重大项目建设，加大力度鼓励民间资本进入，支持民营企业参与盘活政府性存量资产。（牵头单位：县市场监管局；责任单位：县行政审批局及县级有关主管部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FangSong_GB2312" w:eastAsia="FangSong_GB2312" w:cs="FangSong_GB2312"/>
          <w:sz w:val="32"/>
          <w:szCs w:val="32"/>
          <w:lang w:val="en-US"/>
        </w:rPr>
      </w:pPr>
      <w:r>
        <w:rPr>
          <w:rFonts w:hint="eastAsia" w:ascii="KaiTi_GB2312" w:hAnsi="KaiTi_GB2312" w:eastAsia="KaiTi_GB2312" w:cs="KaiTi_GB2312"/>
          <w:kern w:val="0"/>
          <w:sz w:val="32"/>
          <w:szCs w:val="32"/>
          <w:lang w:val="en-US" w:eastAsia="zh-CN" w:bidi="ar"/>
        </w:rPr>
        <w:t>（二）落实“个转企”相关政策。</w:t>
      </w:r>
      <w:r>
        <w:rPr>
          <w:rFonts w:hint="eastAsia" w:ascii="FangSong_GB2312" w:hAnsi="FangSong_GB2312" w:eastAsia="FangSong_GB2312" w:cs="FangSong_GB2312"/>
          <w:kern w:val="2"/>
          <w:sz w:val="32"/>
          <w:szCs w:val="32"/>
          <w:lang w:val="en-US" w:eastAsia="zh-CN" w:bidi="ar"/>
        </w:rPr>
        <w:t>对完成“个转企”（公司类型）的新企业，向其提供连续三年期财税会计服务补贴和相关支持政策，每户公司型企业享受每年财税会计服务补贴不高于5000元。（牵头单位：县市场监管局；责任单位：县财政局、县人社局、县经信局、县文体旅局、县税务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FangSong_GB2312" w:eastAsia="FangSong_GB2312" w:cs="FangSong_GB2312"/>
          <w:sz w:val="32"/>
          <w:szCs w:val="32"/>
          <w:lang w:val="en-US"/>
        </w:rPr>
      </w:pPr>
      <w:r>
        <w:rPr>
          <w:rFonts w:hint="eastAsia" w:ascii="KaiTi_GB2312" w:hAnsi="KaiTi_GB2312" w:eastAsia="KaiTi_GB2312" w:cs="KaiTi_GB2312"/>
          <w:kern w:val="0"/>
          <w:sz w:val="32"/>
          <w:szCs w:val="32"/>
          <w:lang w:val="en-US" w:eastAsia="zh-CN" w:bidi="ar"/>
        </w:rPr>
        <w:t>（三）支持企业升规入统。</w:t>
      </w:r>
      <w:r>
        <w:rPr>
          <w:rFonts w:hint="eastAsia" w:ascii="FangSong_GB2312" w:hAnsi="FangSong_GB2312" w:eastAsia="FangSong_GB2312" w:cs="FangSong_GB2312"/>
          <w:kern w:val="2"/>
          <w:sz w:val="32"/>
          <w:szCs w:val="32"/>
          <w:lang w:val="en-US" w:eastAsia="zh-CN" w:bidi="ar"/>
        </w:rPr>
        <w:t>对新入统工业企业，一次性给予奖励10万元/户；</w:t>
      </w:r>
      <w:r>
        <w:rPr>
          <w:rFonts w:hint="eastAsia" w:ascii="FangSong_GB2312" w:hAnsi="FangSong_GB2312" w:eastAsia="FangSong_GB2312" w:cs="FangSong_GB2312"/>
          <w:kern w:val="0"/>
          <w:sz w:val="32"/>
          <w:szCs w:val="32"/>
          <w:lang w:val="en-US" w:eastAsia="zh-CN" w:bidi="ar"/>
        </w:rPr>
        <w:t>对首次入统且依法参加社会保险并按规定缴纳社会保险费的工业企业，自申报升规当年起，连续三年按不高于企业所承担社会保险费（不含企业职工个人应缴部分）的60%的标准给予企业稳岗奖励。每户企业单年度奖励资金最高不超过200万元，且不超过该企业在奖励年度较申报升规上一年度的市县财政贡献增量，其中第一年不超过增量的100%，第二年不超过增量的50%。该奖励资金与企业吸纳就业困难人员、脱贫劳动力、高校毕业生等重点群体社会保险补贴可同时享受。（牵头单位：县经信局；责任单位：</w:t>
      </w:r>
      <w:r>
        <w:rPr>
          <w:rFonts w:hint="eastAsia" w:ascii="FangSong_GB2312" w:hAnsi="FangSong_GB2312" w:eastAsia="FangSong_GB2312" w:cs="FangSong_GB2312"/>
          <w:kern w:val="2"/>
          <w:sz w:val="32"/>
          <w:szCs w:val="32"/>
          <w:lang w:val="en-US" w:eastAsia="zh-CN" w:bidi="ar"/>
        </w:rPr>
        <w:t>县民营经济办</w:t>
      </w:r>
      <w:r>
        <w:rPr>
          <w:rFonts w:hint="eastAsia" w:ascii="FangSong_GB2312" w:hAnsi="FangSong_GB2312" w:eastAsia="FangSong_GB2312" w:cs="FangSong_GB2312"/>
          <w:kern w:val="0"/>
          <w:sz w:val="32"/>
          <w:szCs w:val="32"/>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SimHei" w:hAnsi="SimSun" w:eastAsia="SimHei" w:cs="SimHei"/>
          <w:kern w:val="2"/>
          <w:sz w:val="32"/>
          <w:szCs w:val="32"/>
          <w:lang w:val="en-US"/>
        </w:rPr>
      </w:pPr>
      <w:r>
        <w:rPr>
          <w:rFonts w:hint="eastAsia" w:ascii="SimHei" w:hAnsi="SimSun" w:eastAsia="SimHei" w:cs="SimHei"/>
          <w:kern w:val="2"/>
          <w:sz w:val="32"/>
          <w:szCs w:val="32"/>
          <w:lang w:eastAsia="zh-CN"/>
        </w:rPr>
        <w:t>二、强化企业发展要素保障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FangSong_GB2312" w:hAnsi="FangSong_GB2312" w:eastAsia="FangSong_GB2312" w:cs="FangSong_GB2312"/>
          <w:b/>
          <w:bCs/>
          <w:sz w:val="32"/>
          <w:szCs w:val="32"/>
          <w:lang w:val="en-US"/>
        </w:rPr>
      </w:pPr>
      <w:r>
        <w:rPr>
          <w:rFonts w:hint="eastAsia" w:ascii="KaiTi_GB2312" w:hAnsi="KaiTi_GB2312" w:eastAsia="KaiTi_GB2312" w:cs="KaiTi_GB2312"/>
          <w:sz w:val="32"/>
          <w:szCs w:val="32"/>
          <w:lang w:val="en-US" w:eastAsia="zh-CN" w:bidi="ar"/>
        </w:rPr>
        <w:t>（四）</w:t>
      </w:r>
      <w:r>
        <w:rPr>
          <w:rFonts w:hint="eastAsia" w:ascii="KaiTi_GB2312" w:hAnsi="KaiTi_GB2312" w:eastAsia="KaiTi_GB2312" w:cs="KaiTi_GB2312"/>
          <w:sz w:val="32"/>
          <w:szCs w:val="32"/>
          <w:lang w:eastAsia="zh-CN" w:bidi="ar"/>
        </w:rPr>
        <w:t>营造企业人才成长环境。</w:t>
      </w:r>
      <w:r>
        <w:rPr>
          <w:rFonts w:hint="eastAsia" w:ascii="FangSong_GB2312" w:hAnsi="FangSong_GB2312" w:eastAsia="FangSong_GB2312" w:cs="FangSong_GB2312"/>
          <w:sz w:val="32"/>
          <w:szCs w:val="32"/>
          <w:lang w:eastAsia="zh-CN"/>
        </w:rPr>
        <w:t>聚焦产业发展需求、平台建设需求，精准引进包括优秀民营企业家在内的各类急需紧缺人才，享受“引进人才”相关待遇。推动“两个健康”工作走深走实，开展企业家、管理人员培训和培育力度，纳入县委“人才培养”计划。每年组织县域内企业家、高层管理人员赴国内著名高校或科研机构接受培训，到国内大型领军企业开展调研、学习先进经验。建立民营企业高技能人才职称评审绿色通道，为经济社会发展和重大战略实施作出突出贡献的民营企业高技能领军人才，可破格申报评审相应层级职称和落实工资薪金待遇，全面落实住房、就医、就学、落户等政策。（牵头单位：县委组织部、县人社局；</w:t>
      </w:r>
      <w:r>
        <w:rPr>
          <w:rFonts w:hint="eastAsia" w:ascii="FangSong_GB2312" w:hAnsi="FangSong_GB2312" w:eastAsia="FangSong_GB2312" w:cs="FangSong_GB2312"/>
          <w:sz w:val="32"/>
          <w:szCs w:val="32"/>
          <w:lang w:eastAsia="zh-CN" w:bidi="ar"/>
        </w:rPr>
        <w:t>责任单位：</w:t>
      </w:r>
      <w:r>
        <w:rPr>
          <w:rFonts w:hint="eastAsia" w:ascii="FangSong_GB2312" w:hAnsi="FangSong_GB2312" w:eastAsia="FangSong_GB2312" w:cs="FangSong_GB2312"/>
          <w:sz w:val="32"/>
          <w:szCs w:val="32"/>
          <w:lang w:eastAsia="zh-CN"/>
        </w:rPr>
        <w:t>县委党史研究室、县民营经济办）</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FangSong_GB2312" w:hAnsi="FangSong_GB2312" w:eastAsia="FangSong_GB2312" w:cs="FangSong_GB2312"/>
          <w:sz w:val="32"/>
          <w:szCs w:val="32"/>
          <w:lang w:val="en-US"/>
        </w:rPr>
      </w:pPr>
      <w:r>
        <w:rPr>
          <w:rFonts w:hint="eastAsia" w:ascii="KaiTi_GB2312" w:hAnsi="KaiTi_GB2312" w:eastAsia="KaiTi_GB2312" w:cs="KaiTi_GB2312"/>
          <w:sz w:val="32"/>
          <w:szCs w:val="32"/>
          <w:lang w:val="en-US" w:eastAsia="zh-CN" w:bidi="ar"/>
        </w:rPr>
        <w:t>（四）</w:t>
      </w:r>
      <w:r>
        <w:rPr>
          <w:rFonts w:hint="eastAsia" w:ascii="KaiTi_GB2312" w:hAnsi="KaiTi_GB2312" w:eastAsia="KaiTi_GB2312" w:cs="KaiTi_GB2312"/>
          <w:sz w:val="32"/>
          <w:szCs w:val="32"/>
          <w:lang w:eastAsia="zh-CN" w:bidi="ar"/>
        </w:rPr>
        <w:t>降低企业生产经营成本。</w:t>
      </w:r>
      <w:r>
        <w:rPr>
          <w:rFonts w:hint="eastAsia" w:ascii="FangSong_GB2312" w:hAnsi="FangSong_GB2312" w:eastAsia="FangSong_GB2312" w:cs="FangSong_GB2312"/>
          <w:sz w:val="32"/>
          <w:szCs w:val="32"/>
          <w:lang w:eastAsia="zh-CN"/>
        </w:rPr>
        <w:t>实施新增产业用地出让底价管理，深化“亩均论英雄”改革、鼓励实施工业用地“标准地”供应，鼓励企业对低效用地再开发，有效盘活存量建设用地。在国有产业园区，对中小型创新民营企业给予租金优惠。（牵头单位：县经信局；责任单位：县自然资源局、县国资金融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FangSong_GB2312" w:eastAsia="FangSong_GB2312" w:cs="FangSong_GB2312"/>
          <w:sz w:val="32"/>
          <w:szCs w:val="32"/>
          <w:lang w:val="en-US"/>
        </w:rPr>
      </w:pPr>
      <w:r>
        <w:rPr>
          <w:rFonts w:hint="eastAsia" w:ascii="KaiTi_GB2312" w:hAnsi="KaiTi_GB2312" w:eastAsia="KaiTi_GB2312" w:cs="KaiTi_GB2312"/>
          <w:kern w:val="0"/>
          <w:sz w:val="32"/>
          <w:szCs w:val="32"/>
          <w:lang w:val="en-US" w:eastAsia="zh-CN" w:bidi="ar"/>
        </w:rPr>
        <w:t>（五）强化农业发展保障。</w:t>
      </w:r>
      <w:r>
        <w:rPr>
          <w:rFonts w:hint="eastAsia" w:ascii="FangSong_GB2312" w:hAnsi="FangSong_GB2312" w:eastAsia="FangSong_GB2312" w:cs="FangSong_GB2312"/>
          <w:kern w:val="2"/>
          <w:sz w:val="32"/>
          <w:szCs w:val="32"/>
          <w:lang w:val="en-US" w:eastAsia="zh-CN" w:bidi="ar"/>
        </w:rPr>
        <w:t>对新型农业经营市场主体主导发展</w:t>
      </w:r>
      <w:r>
        <w:rPr>
          <w:rFonts w:hint="eastAsia" w:ascii="Times New Roman" w:hAnsi="Times New Roman" w:eastAsia="FangSong_GB2312" w:cs="FangSong_GB2312"/>
          <w:kern w:val="0"/>
          <w:sz w:val="32"/>
          <w:szCs w:val="32"/>
          <w:lang w:val="en-US" w:eastAsia="zh-CN" w:bidi="ar"/>
        </w:rPr>
        <w:t>“一乡一业，一村一品”和园区“一核一环五组团”等产业，</w:t>
      </w:r>
      <w:r>
        <w:rPr>
          <w:rFonts w:hint="eastAsia" w:ascii="FangSong_GB2312" w:hAnsi="FangSong_GB2312" w:eastAsia="FangSong_GB2312" w:cs="FangSong_GB2312"/>
          <w:kern w:val="2"/>
          <w:sz w:val="32"/>
          <w:szCs w:val="32"/>
          <w:lang w:val="en-US" w:eastAsia="zh-CN" w:bidi="ar"/>
        </w:rPr>
        <w:t>在流转土地、</w:t>
      </w:r>
      <w:r>
        <w:rPr>
          <w:rFonts w:hint="eastAsia" w:ascii="Times New Roman" w:hAnsi="Times New Roman" w:eastAsia="FangSong_GB2312" w:cs="FangSong_GB2312"/>
          <w:kern w:val="2"/>
          <w:sz w:val="32"/>
          <w:szCs w:val="32"/>
          <w:shd w:val="clear" w:fill="FFFFFF"/>
          <w:lang w:val="en-US" w:eastAsia="zh-CN" w:bidi="ar"/>
        </w:rPr>
        <w:t>龙头带动、成果转化、试种示范、社会化服务、农担贷款、贷款贴息等给予扶持</w:t>
      </w:r>
      <w:r>
        <w:rPr>
          <w:rFonts w:hint="eastAsia" w:ascii="FangSong_GB2312" w:hAnsi="FangSong_GB2312" w:eastAsia="FangSong_GB2312" w:cs="FangSong_GB2312"/>
          <w:kern w:val="2"/>
          <w:sz w:val="32"/>
          <w:szCs w:val="32"/>
          <w:lang w:val="en-US" w:eastAsia="zh-CN" w:bidi="ar"/>
        </w:rPr>
        <w:t>。对新型农业经营市场主体在农业生产、灌溉、农产品加工等方面用水用电，执行农业用水用电优惠政策。对涉及新型农业经营市场主体管理服务的各类县级行政收费，能够免收的一律免收，能够减收的一律按低限收取。（牵头单位：县农业农村局；责任单位：县财政局、县水务局、县林业局、县乡村振兴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FangSong_GB2312" w:eastAsia="FangSong_GB2312" w:cs="FangSong_GB2312"/>
          <w:sz w:val="32"/>
          <w:szCs w:val="32"/>
          <w:lang w:val="en-US"/>
        </w:rPr>
      </w:pPr>
      <w:r>
        <w:rPr>
          <w:rFonts w:hint="eastAsia" w:ascii="KaiTi_GB2312" w:hAnsi="KaiTi_GB2312" w:eastAsia="KaiTi_GB2312" w:cs="KaiTi_GB2312"/>
          <w:kern w:val="0"/>
          <w:sz w:val="32"/>
          <w:szCs w:val="32"/>
          <w:lang w:val="en-US" w:eastAsia="zh-CN" w:bidi="ar"/>
        </w:rPr>
        <w:t>（七）缓解民企融资难题。</w:t>
      </w:r>
      <w:r>
        <w:rPr>
          <w:rFonts w:hint="eastAsia" w:ascii="FangSong_GB2312" w:hAnsi="FangSong_GB2312" w:eastAsia="FangSong_GB2312" w:cs="FangSong_GB2312"/>
          <w:kern w:val="2"/>
          <w:sz w:val="32"/>
          <w:szCs w:val="32"/>
          <w:lang w:val="en-US" w:eastAsia="zh-CN" w:bidi="ar"/>
        </w:rPr>
        <w:t>建立民营中小微企业贷款风险补偿资金池，提供政府性融资担保。引导全县金融机构创新金融产品，开展金融“送服务 强信心 促发展”助力民营和小微企业系列活动，运用“动产融资统一公示系统”“天府信用通平台”推广金融信贷产品，满足民营、小微企业差异化融资服务需求。引导金融机构向民营和小微企业减费让利，用好用活用足“支小惠商贷”“助农振兴贷”等财金互动产品和再贷款资金，降低民营和小微企业实际贷款利率水平。（牵头单位：</w:t>
      </w:r>
      <w:r>
        <w:rPr>
          <w:rFonts w:hint="eastAsia" w:ascii="FangSong_GB2312" w:hAnsi="FangSong_GB2312" w:eastAsia="FangSong_GB2312" w:cs="FangSong_GB2312"/>
          <w:bCs/>
          <w:kern w:val="2"/>
          <w:sz w:val="32"/>
          <w:szCs w:val="32"/>
          <w:lang w:val="en-US" w:eastAsia="zh-CN" w:bidi="ar"/>
        </w:rPr>
        <w:t>人民银行峨边支行；</w:t>
      </w:r>
      <w:r>
        <w:rPr>
          <w:rFonts w:hint="eastAsia" w:ascii="FangSong_GB2312" w:hAnsi="FangSong_GB2312" w:eastAsia="FangSong_GB2312" w:cs="FangSong_GB2312"/>
          <w:kern w:val="2"/>
          <w:sz w:val="32"/>
          <w:szCs w:val="32"/>
          <w:lang w:val="en-US" w:eastAsia="zh-CN" w:bidi="ar"/>
        </w:rPr>
        <w:t>责任单位：县国资金融办）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SimHei" w:hAnsi="SimSun" w:eastAsia="SimHei" w:cs="SimHei"/>
          <w:sz w:val="32"/>
          <w:szCs w:val="32"/>
          <w:lang w:val="en-US"/>
        </w:rPr>
      </w:pPr>
      <w:r>
        <w:rPr>
          <w:rFonts w:hint="eastAsia" w:ascii="SimHei" w:hAnsi="SimSun" w:eastAsia="SimHei" w:cs="SimHei"/>
          <w:kern w:val="2"/>
          <w:sz w:val="32"/>
          <w:szCs w:val="32"/>
          <w:lang w:val="en-US" w:eastAsia="zh-CN" w:bidi="ar"/>
        </w:rPr>
        <w:t>三、全面落实税收优惠政策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FangSong_GB2312" w:eastAsia="FangSong_GB2312" w:cs="FangSong_GB2312"/>
          <w:sz w:val="32"/>
          <w:szCs w:val="32"/>
          <w:lang w:val="en-US"/>
        </w:rPr>
      </w:pPr>
      <w:r>
        <w:rPr>
          <w:rFonts w:hint="eastAsia" w:ascii="KaiTi_GB2312" w:hAnsi="KaiTi_GB2312" w:eastAsia="KaiTi_GB2312" w:cs="KaiTi_GB2312"/>
          <w:kern w:val="0"/>
          <w:sz w:val="32"/>
          <w:szCs w:val="32"/>
          <w:lang w:val="en-US" w:eastAsia="zh-CN" w:bidi="ar"/>
        </w:rPr>
        <w:t>（八）多举措减税降费添活力。</w:t>
      </w:r>
      <w:r>
        <w:rPr>
          <w:rFonts w:hint="eastAsia" w:ascii="FangSong_GB2312" w:hAnsi="FangSong_GB2312" w:eastAsia="FangSong_GB2312" w:cs="FangSong_GB2312"/>
          <w:kern w:val="2"/>
          <w:sz w:val="32"/>
          <w:szCs w:val="32"/>
          <w:lang w:val="en-US" w:eastAsia="zh-CN" w:bidi="ar"/>
        </w:rPr>
        <w:t>积极落实国家各项减轻税费政策，落实小微企业税收优惠政策，落实企业研发费用税前加计扣除，落实增值税小规模纳税人、小型微利企业和个体工商户按照50%减征资源税（不含水资源税）、城市维护建设税、房产税、城镇土地使用税、印花税（不含证券交易印花税）、耕地占用税和教育费附加、地方教育附加，以及增值税期末留抵退税等政策。（牵头单位：县税务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pPr>
      <w:r>
        <w:rPr>
          <w:rFonts w:hint="eastAsia" w:ascii="SimHei" w:hAnsi="SimSun" w:eastAsia="SimHei" w:cs="SimHei"/>
          <w:kern w:val="2"/>
          <w:sz w:val="32"/>
          <w:szCs w:val="32"/>
          <w:lang w:val="en-US" w:eastAsia="zh-CN" w:bidi="ar"/>
        </w:rPr>
        <w:t>四、全力支持产业发展和项目建设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_GB2312" w:hAnsi="FangSong_GB2312" w:eastAsia="FangSong_GB2312" w:cs="FangSong_GB2312"/>
          <w:kern w:val="0"/>
          <w:sz w:val="32"/>
          <w:szCs w:val="32"/>
          <w:lang w:val="en-US" w:bidi="ar"/>
        </w:rPr>
      </w:pPr>
      <w:r>
        <w:rPr>
          <w:rFonts w:hint="eastAsia" w:ascii="KaiTi_GB2312" w:hAnsi="KaiTi_GB2312" w:eastAsia="KaiTi_GB2312" w:cs="KaiTi_GB2312"/>
          <w:kern w:val="0"/>
          <w:sz w:val="32"/>
          <w:szCs w:val="32"/>
          <w:lang w:val="en-US" w:eastAsia="zh-CN" w:bidi="ar"/>
        </w:rPr>
        <w:t>（九）支持工业企业绿色发展。</w:t>
      </w:r>
      <w:r>
        <w:rPr>
          <w:rFonts w:hint="eastAsia" w:ascii="FangSong_GB2312" w:hAnsi="FangSong_GB2312" w:eastAsia="FangSong_GB2312" w:cs="FangSong_GB2312"/>
          <w:kern w:val="0"/>
          <w:sz w:val="32"/>
          <w:szCs w:val="32"/>
          <w:lang w:val="en-US" w:eastAsia="zh-CN" w:bidi="ar"/>
        </w:rPr>
        <w:t>对新创建的国家级绿色工厂、绿色设计产品、绿色供应链管理企业，给予30万元一次性费用补贴；对新创建的省级绿色工厂、绿色供应链管理企业，给予20万元一次性费用补贴。（牵头</w:t>
      </w:r>
      <w:r>
        <w:rPr>
          <w:rFonts w:hint="eastAsia" w:ascii="FangSong_GB2312" w:hAnsi="FangSong_GB2312" w:eastAsia="FangSong_GB2312" w:cs="FangSong_GB2312"/>
          <w:kern w:val="2"/>
          <w:sz w:val="32"/>
          <w:szCs w:val="32"/>
          <w:lang w:val="en-US" w:eastAsia="zh-CN" w:bidi="ar"/>
        </w:rPr>
        <w:t>单位：</w:t>
      </w:r>
      <w:r>
        <w:rPr>
          <w:rFonts w:hint="eastAsia" w:ascii="FangSong_GB2312" w:hAnsi="FangSong_GB2312" w:eastAsia="FangSong_GB2312" w:cs="FangSong_GB2312"/>
          <w:kern w:val="0"/>
          <w:sz w:val="32"/>
          <w:szCs w:val="32"/>
          <w:lang w:val="en-US" w:eastAsia="zh-CN" w:bidi="ar"/>
        </w:rPr>
        <w:t>县经信局；</w:t>
      </w:r>
      <w:r>
        <w:rPr>
          <w:rFonts w:hint="eastAsia" w:ascii="FangSong_GB2312" w:hAnsi="FangSong_GB2312" w:eastAsia="FangSong_GB2312" w:cs="FangSong_GB2312"/>
          <w:kern w:val="2"/>
          <w:sz w:val="32"/>
          <w:szCs w:val="32"/>
          <w:lang w:val="en-US" w:eastAsia="zh-CN" w:bidi="ar"/>
        </w:rPr>
        <w:t>责任单位：</w:t>
      </w:r>
      <w:r>
        <w:rPr>
          <w:rFonts w:hint="eastAsia" w:ascii="FangSong_GB2312" w:hAnsi="FangSong_GB2312" w:eastAsia="FangSong_GB2312" w:cs="FangSong_GB2312"/>
          <w:kern w:val="0"/>
          <w:sz w:val="32"/>
          <w:szCs w:val="32"/>
          <w:lang w:val="en-US" w:eastAsia="zh-CN" w:bidi="ar"/>
        </w:rPr>
        <w:t>县财政局）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_GB2312" w:hAnsi="FangSong_GB2312" w:eastAsia="FangSong_GB2312" w:cs="FangSong_GB2312"/>
          <w:sz w:val="32"/>
          <w:szCs w:val="32"/>
          <w:lang w:val="en-US"/>
        </w:rPr>
      </w:pPr>
      <w:r>
        <w:rPr>
          <w:rFonts w:hint="eastAsia" w:ascii="KaiTi_GB2312" w:hAnsi="KaiTi_GB2312" w:eastAsia="KaiTi_GB2312" w:cs="KaiTi_GB2312"/>
          <w:kern w:val="0"/>
          <w:sz w:val="32"/>
          <w:szCs w:val="32"/>
          <w:lang w:val="en-US" w:eastAsia="zh-CN" w:bidi="ar"/>
        </w:rPr>
        <w:t>（十）夯实就业创业服务基础。</w:t>
      </w:r>
      <w:r>
        <w:rPr>
          <w:rFonts w:hint="eastAsia" w:ascii="FangSong_GB2312" w:hAnsi="FangSong_GB2312" w:eastAsia="FangSong_GB2312" w:cs="FangSong_GB2312"/>
          <w:kern w:val="0"/>
          <w:sz w:val="32"/>
          <w:szCs w:val="32"/>
          <w:lang w:val="en-US" w:eastAsia="zh-CN" w:bidi="ar"/>
        </w:rPr>
        <w:t>支持企业紧贴特色产业开展企业职工项目制培训，并适当提高紧缺急需工种培训补贴标准。支持打造人才培训平台，对新建成的市级及以上技能大师工作室、高技能人才培训基地分别给予10万元、20万元一次性奖补。（牵头</w:t>
      </w:r>
      <w:r>
        <w:rPr>
          <w:rFonts w:hint="eastAsia" w:ascii="FangSong_GB2312" w:hAnsi="FangSong_GB2312" w:eastAsia="FangSong_GB2312" w:cs="FangSong_GB2312"/>
          <w:kern w:val="2"/>
          <w:sz w:val="32"/>
          <w:szCs w:val="32"/>
          <w:lang w:val="en-US" w:eastAsia="zh-CN" w:bidi="ar"/>
        </w:rPr>
        <w:t>单位：</w:t>
      </w:r>
      <w:r>
        <w:rPr>
          <w:rFonts w:hint="eastAsia" w:ascii="FangSong_GB2312" w:hAnsi="FangSong_GB2312" w:eastAsia="FangSong_GB2312" w:cs="FangSong_GB2312"/>
          <w:kern w:val="0"/>
          <w:sz w:val="32"/>
          <w:szCs w:val="32"/>
          <w:lang w:val="en-US" w:eastAsia="zh-CN" w:bidi="ar"/>
        </w:rPr>
        <w:t>县人社局；</w:t>
      </w:r>
      <w:r>
        <w:rPr>
          <w:rFonts w:hint="eastAsia" w:ascii="FangSong_GB2312" w:hAnsi="FangSong_GB2312" w:eastAsia="FangSong_GB2312" w:cs="FangSong_GB2312"/>
          <w:kern w:val="2"/>
          <w:sz w:val="32"/>
          <w:szCs w:val="32"/>
          <w:lang w:val="en-US" w:eastAsia="zh-CN" w:bidi="ar"/>
        </w:rPr>
        <w:t>责任单位：</w:t>
      </w:r>
      <w:r>
        <w:rPr>
          <w:rFonts w:hint="eastAsia" w:ascii="FangSong_GB2312" w:hAnsi="FangSong_GB2312" w:eastAsia="FangSong_GB2312" w:cs="FangSong_GB2312"/>
          <w:kern w:val="0"/>
          <w:sz w:val="32"/>
          <w:szCs w:val="32"/>
          <w:lang w:val="en-US" w:eastAsia="zh-CN" w:bidi="ar"/>
        </w:rPr>
        <w:t>县财政局）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_GB2312" w:hAnsi="FangSong_GB2312" w:eastAsia="FangSong_GB2312" w:cs="FangSong_GB2312"/>
          <w:sz w:val="32"/>
          <w:szCs w:val="32"/>
          <w:lang w:val="en-US"/>
        </w:rPr>
      </w:pPr>
      <w:r>
        <w:rPr>
          <w:rFonts w:hint="eastAsia" w:ascii="KaiTi_GB2312" w:hAnsi="KaiTi_GB2312" w:eastAsia="KaiTi_GB2312" w:cs="KaiTi_GB2312"/>
          <w:b w:val="0"/>
          <w:bCs w:val="0"/>
          <w:kern w:val="0"/>
          <w:sz w:val="32"/>
          <w:szCs w:val="32"/>
          <w:lang w:val="en-US" w:eastAsia="zh-CN" w:bidi="ar"/>
        </w:rPr>
        <w:t>（十一）</w:t>
      </w:r>
      <w:r>
        <w:rPr>
          <w:rFonts w:hint="eastAsia" w:ascii="KaiTi_GB2312" w:hAnsi="KaiTi_GB2312" w:eastAsia="KaiTi_GB2312" w:cs="KaiTi_GB2312"/>
          <w:kern w:val="0"/>
          <w:sz w:val="32"/>
          <w:szCs w:val="32"/>
          <w:lang w:val="en-US" w:eastAsia="zh-CN" w:bidi="ar"/>
        </w:rPr>
        <w:t>鼓励提升技术创新能力。</w:t>
      </w:r>
      <w:r>
        <w:rPr>
          <w:rFonts w:hint="eastAsia" w:ascii="FangSong_GB2312" w:hAnsi="FangSong_GB2312" w:eastAsia="FangSong_GB2312" w:cs="FangSong_GB2312"/>
          <w:kern w:val="0"/>
          <w:sz w:val="32"/>
          <w:szCs w:val="32"/>
          <w:lang w:val="en-US" w:eastAsia="zh-CN" w:bidi="ar"/>
        </w:rPr>
        <w:t>支持先进材料、绿色能源、食品加工等峨边特色优势产业创新发展，鼓励有关企业开展关键核心共性技术研发攻关和成果转化应用，对项目实施后销售收入增长2000万元（含）以上、1亿元（含）以上的企业，综合考虑经济贡献等因素，分别给予不超过50万元、不超过100万元的一次性奖补。（牵头</w:t>
      </w:r>
      <w:r>
        <w:rPr>
          <w:rFonts w:hint="eastAsia" w:ascii="FangSong_GB2312" w:hAnsi="FangSong_GB2312" w:eastAsia="FangSong_GB2312" w:cs="FangSong_GB2312"/>
          <w:kern w:val="2"/>
          <w:sz w:val="32"/>
          <w:szCs w:val="32"/>
          <w:lang w:val="en-US" w:eastAsia="zh-CN" w:bidi="ar"/>
        </w:rPr>
        <w:t>单位：</w:t>
      </w:r>
      <w:r>
        <w:rPr>
          <w:rFonts w:hint="eastAsia" w:ascii="FangSong_GB2312" w:hAnsi="FangSong_GB2312" w:eastAsia="FangSong_GB2312" w:cs="FangSong_GB2312"/>
          <w:kern w:val="0"/>
          <w:sz w:val="32"/>
          <w:szCs w:val="32"/>
          <w:lang w:val="en-US" w:eastAsia="zh-CN" w:bidi="ar"/>
        </w:rPr>
        <w:t>县经信局；</w:t>
      </w:r>
      <w:r>
        <w:rPr>
          <w:rFonts w:hint="eastAsia" w:ascii="FangSong_GB2312" w:hAnsi="FangSong_GB2312" w:eastAsia="FangSong_GB2312" w:cs="FangSong_GB2312"/>
          <w:kern w:val="2"/>
          <w:sz w:val="32"/>
          <w:szCs w:val="32"/>
          <w:lang w:val="en-US" w:eastAsia="zh-CN" w:bidi="ar"/>
        </w:rPr>
        <w:t>责任单位：</w:t>
      </w:r>
      <w:r>
        <w:rPr>
          <w:rFonts w:hint="eastAsia" w:ascii="FangSong_GB2312" w:hAnsi="FangSong_GB2312" w:eastAsia="FangSong_GB2312" w:cs="FangSong_GB2312"/>
          <w:kern w:val="0"/>
          <w:sz w:val="32"/>
          <w:szCs w:val="32"/>
          <w:lang w:val="en-US" w:eastAsia="zh-CN" w:bidi="ar"/>
        </w:rPr>
        <w:t>县发改局、县财政局）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FangSong_GB2312" w:hAnsi="FangSong_GB2312" w:eastAsia="FangSong_GB2312" w:cs="FangSong_GB2312"/>
          <w:sz w:val="32"/>
          <w:szCs w:val="32"/>
          <w:lang w:val="en-US"/>
        </w:rPr>
      </w:pPr>
      <w:r>
        <w:rPr>
          <w:rFonts w:hint="eastAsia" w:ascii="KaiTi_GB2312" w:hAnsi="KaiTi_GB2312" w:eastAsia="KaiTi_GB2312" w:cs="KaiTi_GB2312"/>
          <w:kern w:val="0"/>
          <w:sz w:val="32"/>
          <w:szCs w:val="32"/>
          <w:lang w:val="en-US" w:eastAsia="zh-CN" w:bidi="ar"/>
        </w:rPr>
        <w:t>（十二）服务业发展支持政策。</w:t>
      </w:r>
      <w:r>
        <w:rPr>
          <w:rFonts w:hint="eastAsia" w:ascii="FangSong_GB2312" w:hAnsi="FangSong_GB2312" w:eastAsia="FangSong_GB2312" w:cs="FangSong_GB2312"/>
          <w:kern w:val="2"/>
          <w:sz w:val="32"/>
          <w:szCs w:val="32"/>
          <w:lang w:val="en-US" w:eastAsia="zh-CN" w:bidi="ar"/>
        </w:rPr>
        <w:t>对首次入统的服务业企业，一次性给予4万元/户的统计平台建设补助。此外，按照申报入库批次年份的下一年度统计数据库中营业收入对企业给予提档升级奖励：对年营业收入1000万元（含）以上2000万元以下的服务业企业，一次性给予最高10万元/户奖励；对年营业收入2000万元（含）以上3000万元以下的服务业企业，一次性给予最高16万元/户奖励；对年营业收入达3000万元（含）以上的服务业企业，一次性给予最高30万元/户奖励；年营业收入奖励按就高不重复原则执行，且不超过该企业在奖励年度较申报入库批次年份的财政贡献增量。（牵头单位：县文体旅局）</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SimHei" w:hAnsi="SimSun" w:eastAsia="SimHei" w:cs="SimHei"/>
          <w:sz w:val="32"/>
          <w:szCs w:val="32"/>
          <w:lang w:val="en-US"/>
        </w:rPr>
      </w:pPr>
      <w:r>
        <w:rPr>
          <w:rFonts w:hint="eastAsia" w:ascii="SimHei" w:hAnsi="SimSun" w:eastAsia="SimHei" w:cs="SimHei"/>
          <w:kern w:val="2"/>
          <w:sz w:val="32"/>
          <w:szCs w:val="32"/>
          <w:lang w:val="en-US" w:eastAsia="zh-CN" w:bidi="ar"/>
        </w:rPr>
        <w:t>五、强化营商环境建设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FangSong_GB2312" w:eastAsia="FangSong_GB2312" w:cs="FangSong_GB2312"/>
          <w:sz w:val="32"/>
          <w:szCs w:val="32"/>
          <w:lang w:val="en-US"/>
        </w:rPr>
      </w:pPr>
      <w:r>
        <w:rPr>
          <w:rFonts w:hint="eastAsia" w:ascii="KaiTi_GB2312" w:hAnsi="KaiTi_GB2312" w:eastAsia="KaiTi_GB2312" w:cs="KaiTi_GB2312"/>
          <w:kern w:val="0"/>
          <w:sz w:val="32"/>
          <w:szCs w:val="32"/>
          <w:lang w:val="en-US" w:eastAsia="zh-CN" w:bidi="ar"/>
        </w:rPr>
        <w:t>（十三）强化服务保障意识。</w:t>
      </w:r>
      <w:r>
        <w:rPr>
          <w:rFonts w:hint="eastAsia" w:ascii="FangSong_GB2312" w:hAnsi="FangSong_GB2312" w:eastAsia="FangSong_GB2312" w:cs="FangSong_GB2312"/>
          <w:kern w:val="2"/>
          <w:sz w:val="32"/>
          <w:szCs w:val="32"/>
          <w:shd w:val="clear" w:fill="FFFFFF"/>
          <w:lang w:val="en-US" w:eastAsia="zh-CN" w:bidi="ar"/>
        </w:rPr>
        <w:t>完善高效、便利、规范的市场主体登记制度，全面梳理“最多跑一次”“</w:t>
      </w:r>
      <w:r>
        <w:rPr>
          <w:rFonts w:hint="eastAsia" w:ascii="FangSong_GB2312" w:hAnsi="FangSong_GB2312" w:eastAsia="FangSong_GB2312" w:cs="FangSong_GB2312"/>
          <w:kern w:val="2"/>
          <w:sz w:val="32"/>
          <w:szCs w:val="32"/>
          <w:lang w:val="en-US" w:eastAsia="zh-CN" w:bidi="ar"/>
        </w:rPr>
        <w:t>一件事一次办”“全程网办”</w:t>
      </w:r>
      <w:r>
        <w:rPr>
          <w:rFonts w:hint="eastAsia" w:ascii="FangSong_GB2312" w:hAnsi="FangSong_GB2312" w:eastAsia="FangSong_GB2312" w:cs="FangSong_GB2312"/>
          <w:kern w:val="2"/>
          <w:sz w:val="32"/>
          <w:szCs w:val="32"/>
          <w:shd w:val="clear" w:fill="FFFFFF"/>
          <w:lang w:val="en-US" w:eastAsia="zh-CN" w:bidi="ar"/>
        </w:rPr>
        <w:t>事项清单，对提交材料完备且符合要求的，在一个工作日内办结；加快推进审批服务便民化工作，全面推进行政审批服务“马上办、网上办、就近办”；实行企业开办“一窗受理、并行办理”，主管部门或乡镇实行代办、包办等“保姆式”服务。</w:t>
      </w:r>
      <w:r>
        <w:rPr>
          <w:rFonts w:hint="eastAsia" w:ascii="FangSong_GB2312" w:hAnsi="FangSong_GB2312" w:eastAsia="FangSong_GB2312" w:cs="FangSong_GB2312"/>
          <w:kern w:val="2"/>
          <w:sz w:val="32"/>
          <w:szCs w:val="32"/>
          <w:lang w:val="en-US" w:eastAsia="zh-CN" w:bidi="ar"/>
        </w:rPr>
        <w:t>（牵头单位：县行政审批局；责任单位：县市场监管局、县民营经济办）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FangSong_GB2312" w:eastAsia="FangSong_GB2312" w:cs="FangSong_GB2312"/>
          <w:bCs w:val="0"/>
          <w:spacing w:val="8"/>
          <w:sz w:val="32"/>
          <w:szCs w:val="32"/>
          <w:shd w:val="clear" w:fill="FFFFFF"/>
          <w:lang w:val="en-US"/>
        </w:rPr>
      </w:pPr>
      <w:r>
        <w:rPr>
          <w:rFonts w:hint="eastAsia" w:ascii="KaiTi_GB2312" w:hAnsi="KaiTi_GB2312" w:eastAsia="KaiTi_GB2312" w:cs="KaiTi_GB2312"/>
          <w:kern w:val="0"/>
          <w:sz w:val="32"/>
          <w:szCs w:val="32"/>
          <w:lang w:val="en-US" w:eastAsia="zh-CN" w:bidi="ar"/>
        </w:rPr>
        <w:t>（十四）维护公平公正市场秩序。</w:t>
      </w:r>
      <w:r>
        <w:rPr>
          <w:rFonts w:hint="eastAsia" w:ascii="FangSong_GB2312" w:hAnsi="FangSong_GB2312" w:eastAsia="FangSong_GB2312" w:cs="FangSong_GB2312"/>
          <w:kern w:val="2"/>
          <w:sz w:val="32"/>
          <w:szCs w:val="32"/>
          <w:lang w:val="en-US" w:eastAsia="zh-CN" w:bidi="ar"/>
        </w:rPr>
        <w:t>落实公平竞争审查制度，加快营造稳定、公平、透明、可预期的营商环境。</w:t>
      </w:r>
      <w:r>
        <w:rPr>
          <w:rFonts w:hint="eastAsia" w:ascii="FangSong_GB2312" w:hAnsi="FangSong_GB2312" w:eastAsia="FangSong_GB2312" w:cs="FangSong_GB2312"/>
          <w:kern w:val="2"/>
          <w:sz w:val="32"/>
          <w:szCs w:val="32"/>
          <w:shd w:val="clear" w:fill="FFFFFF"/>
          <w:lang w:val="en-US" w:eastAsia="zh-CN" w:bidi="ar"/>
        </w:rPr>
        <w:t>全面落实“双随机、一公开”监管，做到“无事不打扰”“进一次门，查多项事”；落实诚实守信激励机制，对符合一定条件的诚信企业，优化减少检查频次，让监管更加高效公平。（牵头单位：县市场监管局；责任单位：县发改局、县经信局、县文体旅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FangSong_GB2312" w:hAnsi="FangSong_GB2312" w:eastAsia="FangSong_GB2312" w:cs="FangSong_GB2312"/>
          <w:sz w:val="32"/>
          <w:szCs w:val="32"/>
          <w:lang w:val="en-US"/>
        </w:rPr>
      </w:pPr>
      <w:r>
        <w:rPr>
          <w:rFonts w:hint="eastAsia" w:ascii="KaiTi_GB2312" w:hAnsi="KaiTi_GB2312" w:eastAsia="KaiTi_GB2312" w:cs="KaiTi_GB2312"/>
          <w:sz w:val="32"/>
          <w:szCs w:val="32"/>
          <w:lang w:val="en-US" w:eastAsia="zh-CN" w:bidi="ar"/>
        </w:rPr>
        <w:t>（十五）</w:t>
      </w:r>
      <w:r>
        <w:rPr>
          <w:rFonts w:hint="eastAsia" w:ascii="KaiTi_GB2312" w:hAnsi="KaiTi_GB2312" w:eastAsia="KaiTi_GB2312" w:cs="KaiTi_GB2312"/>
          <w:sz w:val="32"/>
          <w:szCs w:val="32"/>
          <w:lang w:eastAsia="zh-CN" w:bidi="ar"/>
        </w:rPr>
        <w:t>构建亲清新型政商关系。</w:t>
      </w:r>
      <w:r>
        <w:rPr>
          <w:rFonts w:hint="eastAsia" w:ascii="FangSong_GB2312" w:hAnsi="FangSong_GB2312" w:eastAsia="FangSong_GB2312" w:cs="FangSong_GB2312"/>
          <w:sz w:val="32"/>
          <w:szCs w:val="32"/>
          <w:lang w:eastAsia="zh-CN"/>
        </w:rPr>
        <w:t>建立健全县级领导联系重点民营企业工作机制和常态化开展党政银企“面对面”沟通协商制度，每季度召开至少一次党政企“面对面”恳谈会，协调解决企业困难。充分发挥商会、协会等组织作用，增强民营企业归属感。强化民营企业党的基层组织和工会组织建设，深化企业与党委政府良性沟通渠道。提高企业家社会地位，营造“重商、亲商、护商、爱商”良好氛围。（牵头单位：县委统战部；责任单位：县委组织部、县工商联、县总工会、县民营经济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pPr>
      <w:r>
        <w:rPr>
          <w:rFonts w:hint="eastAsia" w:ascii="FangSong_GB2312" w:hAnsi="FangSong_GB2312" w:eastAsia="FangSong_GB2312" w:cs="FangSong_GB2312"/>
          <w:kern w:val="0"/>
          <w:sz w:val="31"/>
          <w:szCs w:val="31"/>
          <w:lang w:val="en-US" w:eastAsia="zh-CN" w:bidi="ar"/>
        </w:rPr>
        <w:t xml:space="preserve">本政策措施所称“首次入统企业”，包括统计口径上的 2023年至2024年的入统批次企业，不含自政策发布之日后退出“四上”统计库再进入的“四上”企业。对完成“个转企”的新企业，除享受本政策中“支持个体工商户转型企业”相关政策外，达到“升规”条件的，同时享受本政策中涉及的升规支持政策；对同类型奖补政策，按“就高不重复”原则享受。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pPr>
      <w:r>
        <w:rPr>
          <w:rFonts w:hint="eastAsia" w:ascii="FangSong_GB2312" w:hAnsi="FangSong_GB2312" w:eastAsia="FangSong_GB2312" w:cs="FangSong_GB2312"/>
          <w:kern w:val="0"/>
          <w:sz w:val="31"/>
          <w:szCs w:val="31"/>
          <w:lang w:val="en-US" w:eastAsia="zh-CN" w:bidi="ar"/>
        </w:rPr>
        <w:t xml:space="preserve">凡政策支持期内发生重大安全事故、重大环境污染事故、严重违法违规行为、严重失信行为的企业（单位），不得享受本政策措施。县本级其他支持产业发展相关政策，与本政策措施不一致的，按“就高不重复”原则予以执行；已享受招商引资政策的企业不再适用本政策；国家和省上政策另有规定的从其规定。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pPr>
      <w:r>
        <w:rPr>
          <w:rFonts w:hint="eastAsia" w:ascii="FangSong_GB2312" w:hAnsi="FangSong_GB2312" w:eastAsia="FangSong_GB2312" w:cs="FangSong_GB2312"/>
          <w:kern w:val="0"/>
          <w:sz w:val="31"/>
          <w:szCs w:val="31"/>
          <w:lang w:val="en-US" w:eastAsia="zh-CN" w:bidi="ar"/>
        </w:rPr>
        <w:t>本政策措施由分工牵头部门负责解释，自印发之日起施行，有效期至2024年12月31日。支持对象包括2024年度升级“四上”的企业；对本政策措施中涉及后续年度奖补的条款，在政策有效期内锁定奖补对象的基础上，按照条款约定延期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FangSong"/>
          <w:sz w:val="32"/>
          <w:szCs w:val="32"/>
        </w:rPr>
      </w:pPr>
    </w:p>
    <w:p>
      <w:pPr>
        <w:tabs>
          <w:tab w:val="left" w:pos="1127"/>
        </w:tabs>
        <w:bidi w:val="0"/>
        <w:jc w:val="left"/>
        <w:rPr>
          <w:rFonts w:hint="default"/>
          <w:lang w:val="en-US" w:eastAsia="zh-CN"/>
        </w:rPr>
      </w:pPr>
    </w:p>
    <w:p>
      <w:pPr>
        <w:tabs>
          <w:tab w:val="left" w:pos="1127"/>
        </w:tabs>
        <w:bidi w:val="0"/>
        <w:jc w:val="left"/>
        <w:rPr>
          <w:rFonts w:hint="default"/>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0" w:lineRule="exact"/>
        <w:ind w:right="0"/>
        <w:jc w:val="both"/>
        <w:textAlignment w:val="auto"/>
        <w:rPr>
          <w:rFonts w:hint="eastAsia" w:ascii="FangSong_GB2312" w:hAnsi="Arial Unicode MS" w:eastAsia="FangSong_GB2312" w:cs="FangSong_GB2312"/>
          <w:color w:val="0000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0" w:lineRule="exact"/>
        <w:ind w:right="0"/>
        <w:jc w:val="both"/>
        <w:textAlignment w:val="auto"/>
        <w:rPr>
          <w:rFonts w:hint="eastAsia" w:ascii="FangSong_GB2312" w:hAnsi="Arial Unicode MS" w:eastAsia="FangSong_GB2312" w:cs="FangSong_GB2312"/>
          <w:color w:val="0000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FangSong_GB2312" w:hAnsi="Arial Unicode MS" w:eastAsia="FangSong_GB2312" w:cs="FangSong_GB2312"/>
          <w:color w:val="000000"/>
          <w:sz w:val="32"/>
          <w:szCs w:val="32"/>
          <w:lang w:val="en-US"/>
        </w:rPr>
      </w:pPr>
      <w:bookmarkStart w:id="0" w:name="_GoBack"/>
      <w:bookmarkEnd w:id="0"/>
    </w:p>
    <w:p>
      <w:pPr>
        <w:keepNext w:val="0"/>
        <w:keepLines w:val="0"/>
        <w:widowControl w:val="0"/>
        <w:suppressLineNumbers w:val="0"/>
        <w:adjustRightInd w:val="0"/>
        <w:spacing w:before="0" w:beforeAutospacing="0" w:after="0" w:afterAutospacing="0" w:line="720" w:lineRule="exact"/>
        <w:ind w:left="0" w:right="0"/>
        <w:jc w:val="both"/>
        <w:rPr>
          <w:rFonts w:hint="eastAsia" w:ascii="FangSong_GB2312" w:hAnsi="FangSong_GB2312" w:eastAsia="FangSong_GB2312" w:cs="FangSong_GB2312"/>
          <w:color w:val="000000"/>
          <w:sz w:val="32"/>
          <w:szCs w:val="32"/>
          <w:lang w:val="en-US"/>
        </w:rPr>
      </w:pPr>
      <w:r>
        <w:rPr>
          <w:rFonts w:hint="eastAsia" w:ascii="SimHei" w:hAnsi="Times New Roman" w:eastAsia="SimHei" w:cs="FangSong_GB2312"/>
          <w:color w:val="000000"/>
          <w:kern w:val="0"/>
          <w:sz w:val="32"/>
          <w:szCs w:val="32"/>
          <w:lang w:val="en-US" w:eastAsia="zh-CN" w:bidi="ar"/>
        </w:rPr>
        <w:t>信息公开选项：</w:t>
      </w:r>
      <w:r>
        <w:rPr>
          <w:rFonts w:hint="eastAsia" w:ascii="FZXiaoBiaoSong-B05S" w:hAnsi="FZXiaoBiaoSong-B05S" w:eastAsia="FZXiaoBiaoSong-B05S" w:cs="FangSong_GB2312"/>
          <w:color w:val="000000"/>
          <w:kern w:val="2"/>
          <w:sz w:val="32"/>
          <w:szCs w:val="32"/>
          <w:lang w:val="en-US" w:eastAsia="zh-CN" w:bidi="ar"/>
        </w:rPr>
        <w:t>主动公开</w:t>
      </w:r>
    </w:p>
    <w:p>
      <w:pPr>
        <w:keepNext w:val="0"/>
        <w:keepLines w:val="0"/>
        <w:widowControl w:val="0"/>
        <w:suppressLineNumbers w:val="0"/>
        <w:autoSpaceDE w:val="0"/>
        <w:autoSpaceDN w:val="0"/>
        <w:adjustRightInd w:val="0"/>
        <w:spacing w:before="0" w:beforeAutospacing="0" w:after="0" w:afterAutospacing="0" w:line="320" w:lineRule="exact"/>
        <w:ind w:left="312" w:right="0" w:hanging="312" w:hangingChars="100"/>
        <w:jc w:val="left"/>
        <w:rPr>
          <w:rFonts w:hint="eastAsia" w:ascii="FangSong_GB2312" w:hAnsi="Times New Roman" w:eastAsia="FangSong_GB2312" w:cs="FangSong_GB2312"/>
          <w:color w:val="000000"/>
          <w:kern w:val="0"/>
          <w:sz w:val="28"/>
          <w:szCs w:val="28"/>
          <w:lang w:val="en-US" w:eastAsia="zh-CN" w:bidi="ar"/>
        </w:rPr>
      </w:pPr>
      <w:r>
        <w:rPr>
          <w:rFonts w:hint="eastAsia" w:ascii="FangSong_GB2312" w:hAnsi="Times New Roman" w:eastAsia="FangSong_GB2312" w:cs="FangSong_GB2312"/>
          <w:color w:val="000000"/>
          <w:spacing w:val="-4"/>
          <w:kern w:val="0"/>
          <w:sz w:val="32"/>
          <w:szCs w:val="32"/>
          <w:lang w:val="en-US" w:eastAsia="zh-CN" w:bidi="ar"/>
        </w:rPr>
        <w:t>───────────────────────────────────────</w:t>
      </w:r>
      <w:r>
        <w:rPr>
          <w:rFonts w:hint="eastAsia" w:ascii="FangSong_GB2312" w:hAnsi="Times New Roman" w:eastAsia="FangSong_GB2312" w:cs="FangSong_GB2312"/>
          <w:color w:val="000000"/>
          <w:kern w:val="0"/>
          <w:sz w:val="28"/>
          <w:szCs w:val="28"/>
          <w:lang w:val="en-US" w:eastAsia="zh-CN" w:bidi="ar"/>
        </w:rPr>
        <w:t xml:space="preserve">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right="0" w:firstLine="560" w:firstLineChars="200"/>
        <w:jc w:val="left"/>
        <w:textAlignment w:val="auto"/>
        <w:rPr>
          <w:rFonts w:hint="eastAsia" w:ascii="FangSong_GB2312" w:eastAsia="FangSong_GB2312" w:cs="FangSong_GB2312"/>
          <w:color w:val="000000"/>
          <w:kern w:val="0"/>
          <w:sz w:val="28"/>
          <w:szCs w:val="28"/>
          <w:lang w:val="en-US"/>
        </w:rPr>
      </w:pPr>
      <w:r>
        <w:rPr>
          <w:rFonts w:hint="eastAsia" w:ascii="FangSong_GB2312" w:hAnsi="Times New Roman" w:eastAsia="FangSong_GB2312" w:cs="FangSong_GB2312"/>
          <w:color w:val="000000"/>
          <w:kern w:val="0"/>
          <w:sz w:val="28"/>
          <w:szCs w:val="28"/>
          <w:lang w:val="en-US" w:eastAsia="zh-CN" w:bidi="ar"/>
        </w:rPr>
        <w:t>峨边彝族自治县人民政府办公室           2023年8月31日印发</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default" w:ascii="FangSong_GB2312" w:hAnsi="FZXiaoBiaoSong-B05S" w:eastAsia="FangSong_GB2312" w:cs="FZXiaoBiaoSong-B05S"/>
          <w:color w:val="000000"/>
          <w:sz w:val="32"/>
          <w:szCs w:val="32"/>
          <w:lang w:val="en-US" w:eastAsia="zh-CN"/>
        </w:rPr>
      </w:pPr>
      <w:r>
        <w:rPr>
          <w:rFonts w:hint="eastAsia" w:ascii="FangSong_GB2312" w:hAnsi="Times New Roman" w:eastAsia="FangSong_GB2312" w:cs="FangSong_GB2312"/>
          <w:color w:val="000000"/>
          <w:spacing w:val="-4"/>
          <w:kern w:val="0"/>
          <w:sz w:val="32"/>
          <w:szCs w:val="32"/>
          <w:lang w:val="en-US" w:eastAsia="zh-CN" w:bidi="ar"/>
        </w:rPr>
        <w:t>───────────────────────────────────────</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embedRegular r:id="rId1" w:fontKey="{2A8765FF-9BCB-419B-A385-BCF029D5A468}"/>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embedRegular r:id="rId2" w:fontKey="{91D1E30E-86D5-4687-8C75-AF1BC69EFC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embedRegular r:id="rId3" w:fontKey="{7FCD0314-1EBD-4A78-A69A-DD4F205DFE25}"/>
  </w:font>
  <w:font w:name="ˎ̥">
    <w:altName w:val="Times New Roman"/>
    <w:panose1 w:val="00000000000000000000"/>
    <w:charset w:val="00"/>
    <w:family w:val="auto"/>
    <w:pitch w:val="default"/>
    <w:sig w:usb0="00000000" w:usb1="00000000" w:usb2="00000000" w:usb3="00000000" w:csb0="00040001" w:csb1="00000000"/>
  </w:font>
  <w:font w:name="FangSong_GB2312">
    <w:panose1 w:val="02010609030101010101"/>
    <w:charset w:val="86"/>
    <w:family w:val="auto"/>
    <w:pitch w:val="default"/>
    <w:sig w:usb0="00000001" w:usb1="080E0000" w:usb2="00000000" w:usb3="00000000" w:csb0="00040000" w:csb1="00000000"/>
    <w:embedRegular r:id="rId4" w:fontKey="{6800796B-95FD-484A-B3DF-1C2B6C20C6CB}"/>
  </w:font>
  <w:font w:name="FZXiaoBiaoSong-B05S">
    <w:panose1 w:val="02000000000000000000"/>
    <w:charset w:val="86"/>
    <w:family w:val="auto"/>
    <w:pitch w:val="default"/>
    <w:sig w:usb0="00000001" w:usb1="080E0000" w:usb2="00000000" w:usb3="00000000" w:csb0="00040000" w:csb1="00000000"/>
    <w:embedRegular r:id="rId5" w:fontKey="{CCECF2D1-7CF4-4454-A0D8-CB40723D451E}"/>
  </w:font>
  <w:font w:name="Arial Unicode MS">
    <w:altName w:val="Arial"/>
    <w:panose1 w:val="020B0604020202020204"/>
    <w:charset w:val="00"/>
    <w:family w:val="auto"/>
    <w:pitch w:val="default"/>
    <w:sig w:usb0="00000000" w:usb1="00000000" w:usb2="00000000" w:usb3="00000000" w:csb0="00000001" w:csb1="00000000"/>
  </w:font>
  <w:font w:name="KaiTi_GB2312">
    <w:panose1 w:val="02010609030101010101"/>
    <w:charset w:val="86"/>
    <w:family w:val="auto"/>
    <w:pitch w:val="default"/>
    <w:sig w:usb0="00000001" w:usb1="080E0000" w:usb2="00000000" w:usb3="00000000" w:csb0="00040000" w:csb1="00000000"/>
    <w:embedRegular r:id="rId6" w:fontKey="{50089E3D-8091-4E90-B314-C31E0CA1FBFF}"/>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SimSun" w:hAnsi="SimSun" w:eastAsia="SimSun" w:cs="SimSun"/>
                              <w:sz w:val="28"/>
                              <w:szCs w:val="28"/>
                            </w:rPr>
                          </w:pPr>
                          <w:r>
                            <w:rPr>
                              <w:rFonts w:hint="eastAsia" w:ascii="SimSun" w:hAnsi="SimSun" w:eastAsia="SimSun" w:cs="SimSun"/>
                              <w:sz w:val="28"/>
                              <w:szCs w:val="28"/>
                            </w:rPr>
                            <w:t xml:space="preserve">— </w:t>
                          </w:r>
                          <w:r>
                            <w:rPr>
                              <w:rFonts w:hint="eastAsia" w:ascii="SimSun" w:hAnsi="SimSun" w:eastAsia="SimSun" w:cs="SimSun"/>
                              <w:sz w:val="28"/>
                              <w:szCs w:val="28"/>
                            </w:rPr>
                            <w:fldChar w:fldCharType="begin"/>
                          </w:r>
                          <w:r>
                            <w:rPr>
                              <w:rFonts w:hint="eastAsia" w:ascii="SimSun" w:hAnsi="SimSun" w:eastAsia="SimSun" w:cs="SimSun"/>
                              <w:sz w:val="28"/>
                              <w:szCs w:val="28"/>
                            </w:rPr>
                            <w:instrText xml:space="preserve"> PAGE  \* MERGEFORMAT </w:instrText>
                          </w:r>
                          <w:r>
                            <w:rPr>
                              <w:rFonts w:hint="eastAsia" w:ascii="SimSun" w:hAnsi="SimSun" w:eastAsia="SimSun" w:cs="SimSun"/>
                              <w:sz w:val="28"/>
                              <w:szCs w:val="28"/>
                            </w:rPr>
                            <w:fldChar w:fldCharType="separate"/>
                          </w:r>
                          <w:r>
                            <w:rPr>
                              <w:rFonts w:hint="eastAsia" w:ascii="SimSun" w:hAnsi="SimSun" w:eastAsia="SimSun" w:cs="SimSun"/>
                              <w:sz w:val="28"/>
                              <w:szCs w:val="28"/>
                            </w:rPr>
                            <w:t>- 1 -</w:t>
                          </w:r>
                          <w:r>
                            <w:rPr>
                              <w:rFonts w:hint="eastAsia" w:ascii="SimSun" w:hAnsi="SimSun" w:eastAsia="SimSun" w:cs="SimSun"/>
                              <w:sz w:val="28"/>
                              <w:szCs w:val="28"/>
                            </w:rPr>
                            <w:fldChar w:fldCharType="end"/>
                          </w:r>
                          <w:r>
                            <w:rPr>
                              <w:rFonts w:hint="eastAsia" w:ascii="SimSun" w:hAnsi="SimSun" w:eastAsia="SimSun" w:cs="SimSu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SimSun" w:hAnsi="SimSun" w:eastAsia="SimSun" w:cs="SimSun"/>
                        <w:sz w:val="28"/>
                        <w:szCs w:val="28"/>
                      </w:rPr>
                    </w:pPr>
                    <w:r>
                      <w:rPr>
                        <w:rFonts w:hint="eastAsia" w:ascii="SimSun" w:hAnsi="SimSun" w:eastAsia="SimSun" w:cs="SimSun"/>
                        <w:sz w:val="28"/>
                        <w:szCs w:val="28"/>
                      </w:rPr>
                      <w:t xml:space="preserve">— </w:t>
                    </w:r>
                    <w:r>
                      <w:rPr>
                        <w:rFonts w:hint="eastAsia" w:ascii="SimSun" w:hAnsi="SimSun" w:eastAsia="SimSun" w:cs="SimSun"/>
                        <w:sz w:val="28"/>
                        <w:szCs w:val="28"/>
                      </w:rPr>
                      <w:fldChar w:fldCharType="begin"/>
                    </w:r>
                    <w:r>
                      <w:rPr>
                        <w:rFonts w:hint="eastAsia" w:ascii="SimSun" w:hAnsi="SimSun" w:eastAsia="SimSun" w:cs="SimSun"/>
                        <w:sz w:val="28"/>
                        <w:szCs w:val="28"/>
                      </w:rPr>
                      <w:instrText xml:space="preserve"> PAGE  \* MERGEFORMAT </w:instrText>
                    </w:r>
                    <w:r>
                      <w:rPr>
                        <w:rFonts w:hint="eastAsia" w:ascii="SimSun" w:hAnsi="SimSun" w:eastAsia="SimSun" w:cs="SimSun"/>
                        <w:sz w:val="28"/>
                        <w:szCs w:val="28"/>
                      </w:rPr>
                      <w:fldChar w:fldCharType="separate"/>
                    </w:r>
                    <w:r>
                      <w:rPr>
                        <w:rFonts w:hint="eastAsia" w:ascii="SimSun" w:hAnsi="SimSun" w:eastAsia="SimSun" w:cs="SimSun"/>
                        <w:sz w:val="28"/>
                        <w:szCs w:val="28"/>
                      </w:rPr>
                      <w:t>- 1 -</w:t>
                    </w:r>
                    <w:r>
                      <w:rPr>
                        <w:rFonts w:hint="eastAsia" w:ascii="SimSun" w:hAnsi="SimSun" w:eastAsia="SimSun" w:cs="SimSun"/>
                        <w:sz w:val="28"/>
                        <w:szCs w:val="28"/>
                      </w:rPr>
                      <w:fldChar w:fldCharType="end"/>
                    </w:r>
                    <w:r>
                      <w:rPr>
                        <w:rFonts w:hint="eastAsia" w:ascii="SimSun" w:hAnsi="SimSun" w:eastAsia="SimSun" w:cs="SimSu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 w:name="KSO_WPS_MARK_KEY" w:val="87c21345-b173-4a28-9c20-6e4cdde01534"/>
  </w:docVars>
  <w:rsids>
    <w:rsidRoot w:val="39556D0E"/>
    <w:rsid w:val="00064824"/>
    <w:rsid w:val="00906786"/>
    <w:rsid w:val="00950F9A"/>
    <w:rsid w:val="00B13DF7"/>
    <w:rsid w:val="017C5FCE"/>
    <w:rsid w:val="01B14C06"/>
    <w:rsid w:val="01D67549"/>
    <w:rsid w:val="020B2A89"/>
    <w:rsid w:val="02BA3CEF"/>
    <w:rsid w:val="02DA3A55"/>
    <w:rsid w:val="033B6E76"/>
    <w:rsid w:val="040D352F"/>
    <w:rsid w:val="045521C0"/>
    <w:rsid w:val="05541775"/>
    <w:rsid w:val="05544226"/>
    <w:rsid w:val="05791EDF"/>
    <w:rsid w:val="06A24C58"/>
    <w:rsid w:val="06AA0FF0"/>
    <w:rsid w:val="072D4ACB"/>
    <w:rsid w:val="08C43471"/>
    <w:rsid w:val="092C5282"/>
    <w:rsid w:val="096D1ED8"/>
    <w:rsid w:val="09B446ED"/>
    <w:rsid w:val="09FB7366"/>
    <w:rsid w:val="0A0855DF"/>
    <w:rsid w:val="0B674587"/>
    <w:rsid w:val="0C0149DC"/>
    <w:rsid w:val="0C160487"/>
    <w:rsid w:val="0D65084A"/>
    <w:rsid w:val="0D8B0A01"/>
    <w:rsid w:val="0E4312DC"/>
    <w:rsid w:val="0EF328F5"/>
    <w:rsid w:val="0F7F6343"/>
    <w:rsid w:val="10181573"/>
    <w:rsid w:val="107A6B0B"/>
    <w:rsid w:val="10914580"/>
    <w:rsid w:val="10CD1206"/>
    <w:rsid w:val="119D6F55"/>
    <w:rsid w:val="12336852"/>
    <w:rsid w:val="12A05406"/>
    <w:rsid w:val="13963C5C"/>
    <w:rsid w:val="13B142BF"/>
    <w:rsid w:val="14B46A8F"/>
    <w:rsid w:val="14DA6623"/>
    <w:rsid w:val="1512749C"/>
    <w:rsid w:val="1525173B"/>
    <w:rsid w:val="153951E6"/>
    <w:rsid w:val="154B3297"/>
    <w:rsid w:val="15DF7948"/>
    <w:rsid w:val="16261FBA"/>
    <w:rsid w:val="17F15545"/>
    <w:rsid w:val="1801058C"/>
    <w:rsid w:val="18631AFF"/>
    <w:rsid w:val="190A31FE"/>
    <w:rsid w:val="19302322"/>
    <w:rsid w:val="19CF6119"/>
    <w:rsid w:val="19E27BFB"/>
    <w:rsid w:val="1A160749"/>
    <w:rsid w:val="1A846F04"/>
    <w:rsid w:val="1ACE5769"/>
    <w:rsid w:val="1ADE4866"/>
    <w:rsid w:val="1B0D0618"/>
    <w:rsid w:val="1B5B31C0"/>
    <w:rsid w:val="1C2362A8"/>
    <w:rsid w:val="1EDE7668"/>
    <w:rsid w:val="1EFB4E1D"/>
    <w:rsid w:val="1F296FBE"/>
    <w:rsid w:val="1FB02549"/>
    <w:rsid w:val="209D4872"/>
    <w:rsid w:val="20DD2ECA"/>
    <w:rsid w:val="21167129"/>
    <w:rsid w:val="218872DA"/>
    <w:rsid w:val="225C42C2"/>
    <w:rsid w:val="22676AA7"/>
    <w:rsid w:val="23B95E70"/>
    <w:rsid w:val="253B47C5"/>
    <w:rsid w:val="262B366D"/>
    <w:rsid w:val="26402DCB"/>
    <w:rsid w:val="26914505"/>
    <w:rsid w:val="26D44D6F"/>
    <w:rsid w:val="26EF5CF6"/>
    <w:rsid w:val="271F17EE"/>
    <w:rsid w:val="27E15995"/>
    <w:rsid w:val="286D4196"/>
    <w:rsid w:val="2902118B"/>
    <w:rsid w:val="290B259E"/>
    <w:rsid w:val="291175CA"/>
    <w:rsid w:val="291A29AB"/>
    <w:rsid w:val="29254262"/>
    <w:rsid w:val="294B6851"/>
    <w:rsid w:val="2A7320C2"/>
    <w:rsid w:val="2A9D6851"/>
    <w:rsid w:val="2ADE7F6A"/>
    <w:rsid w:val="2BA51F9A"/>
    <w:rsid w:val="2BF01C4F"/>
    <w:rsid w:val="2D986AF6"/>
    <w:rsid w:val="2E024C30"/>
    <w:rsid w:val="2E4B75E1"/>
    <w:rsid w:val="2F2919D0"/>
    <w:rsid w:val="313B179E"/>
    <w:rsid w:val="31903F88"/>
    <w:rsid w:val="32BE2428"/>
    <w:rsid w:val="333E1EEE"/>
    <w:rsid w:val="33615BDC"/>
    <w:rsid w:val="337547DF"/>
    <w:rsid w:val="337C5E3F"/>
    <w:rsid w:val="34657479"/>
    <w:rsid w:val="346E6803"/>
    <w:rsid w:val="34825E0A"/>
    <w:rsid w:val="35C53082"/>
    <w:rsid w:val="35C85557"/>
    <w:rsid w:val="35CF4472"/>
    <w:rsid w:val="37FF59C4"/>
    <w:rsid w:val="382C27AB"/>
    <w:rsid w:val="386C1246"/>
    <w:rsid w:val="38871209"/>
    <w:rsid w:val="38D92920"/>
    <w:rsid w:val="390E5E67"/>
    <w:rsid w:val="3932206D"/>
    <w:rsid w:val="39556D0E"/>
    <w:rsid w:val="397E19EA"/>
    <w:rsid w:val="3A43428E"/>
    <w:rsid w:val="3A485400"/>
    <w:rsid w:val="3A8D477A"/>
    <w:rsid w:val="3AB7342B"/>
    <w:rsid w:val="3BE44936"/>
    <w:rsid w:val="3C433D07"/>
    <w:rsid w:val="3CD92C87"/>
    <w:rsid w:val="3CE741BA"/>
    <w:rsid w:val="3CF4186F"/>
    <w:rsid w:val="3D382825"/>
    <w:rsid w:val="3D764E43"/>
    <w:rsid w:val="3E045AE2"/>
    <w:rsid w:val="3E742C68"/>
    <w:rsid w:val="3EAB41B0"/>
    <w:rsid w:val="3EBA43F3"/>
    <w:rsid w:val="3EE066DB"/>
    <w:rsid w:val="3F0F2990"/>
    <w:rsid w:val="3F177A97"/>
    <w:rsid w:val="3FA70E1B"/>
    <w:rsid w:val="3FD20CE1"/>
    <w:rsid w:val="413E6E44"/>
    <w:rsid w:val="414507B1"/>
    <w:rsid w:val="41AC5804"/>
    <w:rsid w:val="43B73EAE"/>
    <w:rsid w:val="43D25C21"/>
    <w:rsid w:val="44F85C4A"/>
    <w:rsid w:val="452A0524"/>
    <w:rsid w:val="45594965"/>
    <w:rsid w:val="456F4189"/>
    <w:rsid w:val="45CA13BF"/>
    <w:rsid w:val="45ED124F"/>
    <w:rsid w:val="46207231"/>
    <w:rsid w:val="469D700C"/>
    <w:rsid w:val="46F7609D"/>
    <w:rsid w:val="470D5A07"/>
    <w:rsid w:val="49507E2D"/>
    <w:rsid w:val="4B2710C7"/>
    <w:rsid w:val="4B3D0885"/>
    <w:rsid w:val="4B616322"/>
    <w:rsid w:val="4BA4553C"/>
    <w:rsid w:val="4C962734"/>
    <w:rsid w:val="4CF40528"/>
    <w:rsid w:val="4DA0402B"/>
    <w:rsid w:val="4DB52955"/>
    <w:rsid w:val="4E3B4990"/>
    <w:rsid w:val="4F2908A4"/>
    <w:rsid w:val="4F4641AC"/>
    <w:rsid w:val="4F9A0054"/>
    <w:rsid w:val="50A713D3"/>
    <w:rsid w:val="510E6446"/>
    <w:rsid w:val="51B96BA5"/>
    <w:rsid w:val="51CB344F"/>
    <w:rsid w:val="51E15998"/>
    <w:rsid w:val="52971543"/>
    <w:rsid w:val="54F252A2"/>
    <w:rsid w:val="569C2F3C"/>
    <w:rsid w:val="56A8574D"/>
    <w:rsid w:val="583439C3"/>
    <w:rsid w:val="58531CF7"/>
    <w:rsid w:val="58BE3005"/>
    <w:rsid w:val="58ED5C4E"/>
    <w:rsid w:val="591F0873"/>
    <w:rsid w:val="594907DD"/>
    <w:rsid w:val="595F04E9"/>
    <w:rsid w:val="59F82547"/>
    <w:rsid w:val="5A1B264C"/>
    <w:rsid w:val="5A587B71"/>
    <w:rsid w:val="5A617307"/>
    <w:rsid w:val="5BF57851"/>
    <w:rsid w:val="5C07081F"/>
    <w:rsid w:val="5C5B6DBD"/>
    <w:rsid w:val="5C6A7000"/>
    <w:rsid w:val="5C7D0BFF"/>
    <w:rsid w:val="5CF80AB0"/>
    <w:rsid w:val="5D0631CD"/>
    <w:rsid w:val="5D0941C9"/>
    <w:rsid w:val="5D101956"/>
    <w:rsid w:val="5D2A4013"/>
    <w:rsid w:val="5D4A369E"/>
    <w:rsid w:val="5DD822A8"/>
    <w:rsid w:val="5E25636F"/>
    <w:rsid w:val="5E9B03A0"/>
    <w:rsid w:val="5ECD0C6A"/>
    <w:rsid w:val="5F052868"/>
    <w:rsid w:val="5F251748"/>
    <w:rsid w:val="5FBF7663"/>
    <w:rsid w:val="605C289B"/>
    <w:rsid w:val="60AD0859"/>
    <w:rsid w:val="60B06BA2"/>
    <w:rsid w:val="60B15D8E"/>
    <w:rsid w:val="60E30D2C"/>
    <w:rsid w:val="64414AEB"/>
    <w:rsid w:val="65426D6C"/>
    <w:rsid w:val="654C7BEB"/>
    <w:rsid w:val="65940B66"/>
    <w:rsid w:val="65A672FB"/>
    <w:rsid w:val="65B97F7E"/>
    <w:rsid w:val="65D51258"/>
    <w:rsid w:val="66392188"/>
    <w:rsid w:val="68E73120"/>
    <w:rsid w:val="69693FED"/>
    <w:rsid w:val="69F06D97"/>
    <w:rsid w:val="6C39750E"/>
    <w:rsid w:val="6C7A3290"/>
    <w:rsid w:val="6C9205D9"/>
    <w:rsid w:val="6CAD13FE"/>
    <w:rsid w:val="6DD679D8"/>
    <w:rsid w:val="6DE41DE6"/>
    <w:rsid w:val="6DF12439"/>
    <w:rsid w:val="6ED8429D"/>
    <w:rsid w:val="6EE92007"/>
    <w:rsid w:val="6F1A4920"/>
    <w:rsid w:val="6F2B261F"/>
    <w:rsid w:val="6F82431A"/>
    <w:rsid w:val="70822713"/>
    <w:rsid w:val="709D59C2"/>
    <w:rsid w:val="70AB1AA1"/>
    <w:rsid w:val="70F83224"/>
    <w:rsid w:val="71066EA0"/>
    <w:rsid w:val="71B66B18"/>
    <w:rsid w:val="71EC4E43"/>
    <w:rsid w:val="733A5527"/>
    <w:rsid w:val="742263FA"/>
    <w:rsid w:val="759233F8"/>
    <w:rsid w:val="76AF482D"/>
    <w:rsid w:val="77375107"/>
    <w:rsid w:val="774C75D7"/>
    <w:rsid w:val="778C1FB4"/>
    <w:rsid w:val="77E33FE7"/>
    <w:rsid w:val="78151CD1"/>
    <w:rsid w:val="781A76D5"/>
    <w:rsid w:val="78F27FB9"/>
    <w:rsid w:val="7A3946F8"/>
    <w:rsid w:val="7A911E35"/>
    <w:rsid w:val="7B7F441F"/>
    <w:rsid w:val="7BB9276B"/>
    <w:rsid w:val="7BE61DA8"/>
    <w:rsid w:val="7C8B294F"/>
    <w:rsid w:val="7E6416AA"/>
    <w:rsid w:val="7EC02D84"/>
    <w:rsid w:val="7F28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SimSun" w:cs="Times New Roman"/>
      <w:kern w:val="2"/>
      <w:sz w:val="21"/>
      <w:szCs w:val="22"/>
    </w:rPr>
    <w:tblPr>
      <w:tblCellMar>
        <w:top w:w="0" w:type="dxa"/>
        <w:left w:w="108" w:type="dxa"/>
        <w:bottom w:w="0" w:type="dxa"/>
        <w:right w:w="108" w:type="dxa"/>
      </w:tblCellMar>
    </w:tblPr>
  </w:style>
  <w:style w:type="paragraph" w:styleId="2">
    <w:name w:val="Body Text"/>
    <w:basedOn w:val="1"/>
    <w:link w:val="9"/>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SimSun" w:cs="Times New Roman"/>
      <w:kern w:val="2"/>
      <w:sz w:val="21"/>
      <w:szCs w:val="20"/>
      <w:lang w:val="en-US" w:eastAsia="zh-CN" w:bidi="ar"/>
    </w:rPr>
  </w:style>
  <w:style w:type="paragraph" w:styleId="3">
    <w:name w:val="footer"/>
    <w:basedOn w:val="1"/>
    <w:link w:val="10"/>
    <w:qFormat/>
    <w:uiPriority w:val="0"/>
    <w:pPr>
      <w:tabs>
        <w:tab w:val="center" w:pos="4153"/>
        <w:tab w:val="right" w:pos="8306"/>
      </w:tabs>
      <w:snapToGrid w:val="0"/>
      <w:jc w:val="left"/>
    </w:pPr>
    <w:rPr>
      <w:sz w:val="18"/>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suppressLineNumbers w:val="0"/>
      <w:spacing w:before="0" w:beforeAutospacing="1" w:after="0" w:afterAutospacing="1"/>
      <w:ind w:left="0" w:right="0"/>
      <w:jc w:val="left"/>
    </w:pPr>
    <w:rPr>
      <w:rFonts w:hint="default" w:ascii="ˎ̥" w:hAnsi="ˎ̥" w:eastAsia="SimSun" w:cs="SimSun"/>
      <w:kern w:val="0"/>
      <w:sz w:val="18"/>
      <w:szCs w:val="18"/>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 Char"/>
    <w:basedOn w:val="8"/>
    <w:link w:val="2"/>
    <w:qFormat/>
    <w:uiPriority w:val="0"/>
    <w:rPr>
      <w:kern w:val="2"/>
      <w:sz w:val="21"/>
    </w:rPr>
  </w:style>
  <w:style w:type="character" w:customStyle="1" w:styleId="10">
    <w:name w:val="页脚 Char"/>
    <w:basedOn w:val="8"/>
    <w:link w:val="3"/>
    <w:qFormat/>
    <w:uiPriority w:val="0"/>
    <w:rPr>
      <w:kern w:val="2"/>
      <w:sz w:val="18"/>
    </w:rPr>
  </w:style>
  <w:style w:type="character" w:customStyle="1" w:styleId="11">
    <w:name w:val="页眉 Char"/>
    <w:basedOn w:val="8"/>
    <w:link w:val="4"/>
    <w:qFormat/>
    <w:uiPriority w:val="0"/>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3714</Words>
  <Characters>3783</Characters>
  <Lines>0</Lines>
  <Paragraphs>0</Paragraphs>
  <TotalTime>0</TotalTime>
  <ScaleCrop>false</ScaleCrop>
  <LinksUpToDate>false</LinksUpToDate>
  <CharactersWithSpaces>3843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2023-02-21T04:38:00Z</dcterms:created>
  <dc:creator>Administrator</dc:creator>
  <cp:lastModifiedBy>碧云天</cp:lastModifiedBy>
  <cp:lastPrinted>2023-09-04T07:12:00Z</cp:lastPrinted>
  <dcterms:modified xsi:type="dcterms:W3CDTF">2024-05-15T09:41:25Z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F18A72C0907A47879C69D6A057B4B6B0</vt:lpwstr>
  </property>
</Properties>
</file>