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D48C9">
      <w:pPr>
        <w:pStyle w:val="9"/>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06267"/>
      <w:bookmarkStart w:id="2" w:name="_Toc15377193"/>
      <w:bookmarkStart w:id="3" w:name="_Toc15396597"/>
      <w:bookmarkStart w:id="4" w:name="_Toc15377425"/>
      <w:bookmarkStart w:id="5" w:name="_Toc15396475"/>
    </w:p>
    <w:p w14:paraId="60FF7956">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p w14:paraId="1CAD6494">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p w14:paraId="2950A70E">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p w14:paraId="5A2372D3">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p w14:paraId="27C18E49">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p w14:paraId="47F68AFE">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p w14:paraId="2DDA6C8F">
      <w:pPr>
        <w:pStyle w:val="9"/>
        <w:keepNext w:val="0"/>
        <w:keepLines w:val="0"/>
        <w:pageBreakBefore w:val="0"/>
        <w:widowControl w:val="0"/>
        <w:kinsoku/>
        <w:wordWrap/>
        <w:overflowPunct/>
        <w:topLinePunct w:val="0"/>
        <w:autoSpaceDE/>
        <w:autoSpaceDN/>
        <w:bidi w:val="0"/>
        <w:adjustRightInd/>
        <w:snapToGrid/>
        <w:spacing w:beforeLines="0" w:line="7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中共峨边彝族自治县委政法委</w:t>
      </w:r>
    </w:p>
    <w:p w14:paraId="36A2DB20">
      <w:pPr>
        <w:pStyle w:val="9"/>
        <w:keepNext w:val="0"/>
        <w:keepLines w:val="0"/>
        <w:pageBreakBefore w:val="0"/>
        <w:widowControl w:val="0"/>
        <w:kinsoku/>
        <w:wordWrap/>
        <w:overflowPunct/>
        <w:topLinePunct w:val="0"/>
        <w:autoSpaceDE/>
        <w:autoSpaceDN/>
        <w:bidi w:val="0"/>
        <w:adjustRightInd/>
        <w:snapToGrid/>
        <w:spacing w:beforeLines="0"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auto"/>
          <w:kern w:val="2"/>
          <w:sz w:val="44"/>
          <w:szCs w:val="44"/>
          <w:highlight w:val="none"/>
          <w:lang w:val="en-US" w:eastAsia="zh-CN" w:bidi="ar-SA"/>
        </w:rPr>
        <w:t>2024年度单位决算公开</w:t>
      </w:r>
    </w:p>
    <w:p w14:paraId="57F92097">
      <w:pPr>
        <w:pStyle w:val="9"/>
        <w:jc w:val="center"/>
      </w:pPr>
    </w:p>
    <w:p w14:paraId="2784281A">
      <w:pPr>
        <w:pStyle w:val="9"/>
        <w:jc w:val="center"/>
      </w:pPr>
    </w:p>
    <w:p w14:paraId="3DC4EE4D">
      <w:pPr>
        <w:pStyle w:val="9"/>
        <w:jc w:val="center"/>
      </w:pPr>
    </w:p>
    <w:p w14:paraId="11F1B6A0">
      <w:pPr>
        <w:pStyle w:val="9"/>
        <w:jc w:val="center"/>
      </w:pPr>
    </w:p>
    <w:p w14:paraId="77557337">
      <w:pPr>
        <w:pStyle w:val="9"/>
        <w:jc w:val="center"/>
      </w:pPr>
    </w:p>
    <w:p w14:paraId="32436A92">
      <w:pPr>
        <w:pStyle w:val="9"/>
        <w:jc w:val="center"/>
      </w:pPr>
    </w:p>
    <w:p w14:paraId="362E7A67">
      <w:pPr>
        <w:pStyle w:val="9"/>
        <w:jc w:val="center"/>
      </w:pPr>
    </w:p>
    <w:p w14:paraId="77EA051E">
      <w:pPr>
        <w:pStyle w:val="9"/>
        <w:jc w:val="both"/>
      </w:pPr>
    </w:p>
    <w:p w14:paraId="10533EA3">
      <w:pPr>
        <w:pStyle w:val="9"/>
        <w:jc w:val="both"/>
        <w:rPr>
          <w:rFonts w:hint="default"/>
          <w:lang w:val="en-US" w:eastAsia="zh-CN"/>
        </w:rPr>
      </w:pPr>
    </w:p>
    <w:p w14:paraId="5FBFE2E7">
      <w:pPr>
        <w:pStyle w:val="21"/>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451B3255">
      <w:pPr>
        <w:rPr>
          <w:rFonts w:ascii="Times New Roman" w:hAnsi="Times New Roman"/>
        </w:rPr>
      </w:pPr>
    </w:p>
    <w:bookmarkEnd w:id="0"/>
    <w:bookmarkEnd w:id="1"/>
    <w:bookmarkEnd w:id="2"/>
    <w:bookmarkEnd w:id="3"/>
    <w:bookmarkEnd w:id="4"/>
    <w:bookmarkEnd w:id="5"/>
    <w:p w14:paraId="22CA0A47">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w:t>
      </w:r>
      <w:r>
        <w:rPr>
          <w:rFonts w:hint="eastAsia" w:eastAsia="黑体"/>
          <w:color w:val="auto"/>
          <w:sz w:val="48"/>
          <w:szCs w:val="48"/>
          <w:highlight w:val="none"/>
          <w:lang w:val="en-US" w:eastAsia="zh-CN"/>
        </w:rPr>
        <w:t xml:space="preserve">  </w:t>
      </w:r>
      <w:r>
        <w:rPr>
          <w:rFonts w:hint="eastAsia" w:ascii="Times New Roman" w:hAnsi="Times New Roman" w:eastAsia="黑体"/>
          <w:color w:val="auto"/>
          <w:sz w:val="48"/>
          <w:szCs w:val="48"/>
          <w:highlight w:val="none"/>
        </w:rPr>
        <w:t>录</w:t>
      </w:r>
    </w:p>
    <w:p w14:paraId="5A8FD06D">
      <w:pPr>
        <w:pStyle w:val="14"/>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公开时间：</w:t>
      </w:r>
      <w:r>
        <w:rPr>
          <w:rFonts w:hint="eastAsia" w:ascii="仿宋_GB2312" w:hAnsi="仿宋_GB2312" w:eastAsia="仿宋_GB2312" w:cs="仿宋_GB2312"/>
          <w:color w:val="auto"/>
          <w:sz w:val="32"/>
          <w:szCs w:val="32"/>
          <w:highlight w:val="none"/>
          <w:lang w:val="en-US" w:eastAsia="zh-CN"/>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日</w:t>
      </w:r>
    </w:p>
    <w:p w14:paraId="191086D5">
      <w:pPr>
        <w:rPr>
          <w:rFonts w:hint="eastAsia" w:ascii="仿宋_GB2312" w:hAnsi="仿宋_GB2312" w:eastAsia="仿宋_GB2312" w:cs="仿宋_GB2312"/>
          <w:color w:val="auto"/>
          <w:highlight w:val="none"/>
        </w:rPr>
      </w:pPr>
    </w:p>
    <w:p w14:paraId="4A70DA25">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before="0" w:line="600" w:lineRule="exact"/>
        <w:jc w:val="left"/>
        <w:textAlignment w:val="auto"/>
        <w:rPr>
          <w:rFonts w:hint="eastAsia" w:ascii="仿宋_GB2312" w:hAnsi="仿宋_GB2312" w:eastAsia="仿宋_GB2312" w:cs="仿宋_GB2312"/>
          <w:color w:val="auto"/>
          <w:sz w:val="32"/>
          <w:szCs w:val="32"/>
          <w:highlight w:val="none"/>
          <w:lang w:val="en-US" w:eastAsia="zh-CN"/>
        </w:rPr>
      </w:pPr>
      <w:bookmarkStart w:id="6" w:name="_Toc15377196"/>
      <w:bookmarkStart w:id="7" w:name="_Toc15396599"/>
      <w:r>
        <w:rPr>
          <w:rFonts w:hint="eastAsia" w:ascii="仿宋_GB2312" w:hAnsi="仿宋_GB2312" w:eastAsia="仿宋_GB2312" w:cs="仿宋_GB2312"/>
          <w:color w:val="auto"/>
          <w:sz w:val="32"/>
          <w:szCs w:val="32"/>
          <w:highlight w:val="none"/>
        </w:rPr>
        <w:t xml:space="preserve">第一部分 </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概况</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w:t>
      </w:r>
    </w:p>
    <w:p w14:paraId="160F5E36">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val="en-US" w:eastAsia="zh-CN"/>
        </w:rPr>
        <w:t>主要</w:t>
      </w:r>
      <w:r>
        <w:rPr>
          <w:rFonts w:hint="eastAsia" w:ascii="仿宋_GB2312" w:hAnsi="仿宋_GB2312" w:eastAsia="仿宋_GB2312" w:cs="仿宋_GB2312"/>
          <w:color w:val="auto"/>
          <w:sz w:val="32"/>
          <w:szCs w:val="32"/>
          <w:highlight w:val="none"/>
          <w:lang w:eastAsia="zh-CN"/>
        </w:rPr>
        <w:t>职责</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w:t>
      </w:r>
    </w:p>
    <w:p w14:paraId="04084D22">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二、机构设置</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w:t>
      </w:r>
    </w:p>
    <w:p w14:paraId="505E365C">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before="0" w:line="60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第二部分</w:t>
      </w:r>
      <w:r>
        <w:rPr>
          <w:rFonts w:hint="eastAsia" w:ascii="仿宋_GB2312" w:hAnsi="仿宋_GB2312" w:eastAsia="仿宋_GB2312" w:cs="仿宋_GB2312"/>
          <w:color w:val="auto"/>
          <w:sz w:val="32"/>
          <w:szCs w:val="32"/>
          <w:highlight w:val="none"/>
          <w:lang w:val="en-US" w:eastAsia="zh-CN"/>
        </w:rPr>
        <w:t xml:space="preserve"> 2024年度单位</w:t>
      </w:r>
      <w:r>
        <w:rPr>
          <w:rFonts w:hint="eastAsia" w:ascii="仿宋_GB2312" w:hAnsi="仿宋_GB2312" w:eastAsia="仿宋_GB2312" w:cs="仿宋_GB2312"/>
          <w:color w:val="auto"/>
          <w:sz w:val="32"/>
          <w:szCs w:val="32"/>
          <w:highlight w:val="none"/>
        </w:rPr>
        <w:t>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3</w:t>
      </w:r>
    </w:p>
    <w:p w14:paraId="117E3D3C">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一、收入支出决算总体情况说明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3</w:t>
      </w:r>
    </w:p>
    <w:p w14:paraId="3D5E6D02">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二、收入决算情况说明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3</w:t>
      </w:r>
    </w:p>
    <w:p w14:paraId="2070223F">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三、支出决算情况说明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4</w:t>
      </w:r>
    </w:p>
    <w:p w14:paraId="30D4633A">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四、财政拨款收入支出决算总体情况说明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4</w:t>
      </w:r>
    </w:p>
    <w:p w14:paraId="0A2692FF">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五、一般公共预算财政拨款支出决算情况说明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5</w:t>
      </w:r>
    </w:p>
    <w:p w14:paraId="34EF7E2D">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8</w:t>
      </w:r>
    </w:p>
    <w:p w14:paraId="59CD83F8">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七、财政拨款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三公”经费支出决算情况说明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8</w:t>
      </w:r>
    </w:p>
    <w:p w14:paraId="6B70707D">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10</w:t>
      </w:r>
    </w:p>
    <w:p w14:paraId="4FCE4BF6">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九、</w:t>
      </w:r>
      <w:r>
        <w:rPr>
          <w:rFonts w:hint="eastAsia" w:ascii="仿宋_GB2312" w:hAnsi="仿宋_GB2312" w:eastAsia="仿宋_GB2312" w:cs="仿宋_GB2312"/>
          <w:color w:val="auto"/>
          <w:sz w:val="32"/>
          <w:szCs w:val="32"/>
          <w:highlight w:val="none"/>
          <w:lang w:eastAsia="zh-CN"/>
        </w:rPr>
        <w:t>国</w:t>
      </w:r>
      <w:r>
        <w:rPr>
          <w:rFonts w:hint="eastAsia" w:ascii="仿宋_GB2312" w:hAnsi="仿宋_GB2312" w:eastAsia="仿宋_GB2312" w:cs="仿宋_GB2312"/>
          <w:color w:val="auto"/>
          <w:sz w:val="32"/>
          <w:szCs w:val="32"/>
          <w:highlight w:val="none"/>
        </w:rPr>
        <w:t>有资本经营预算支出决算情况说明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10</w:t>
      </w:r>
    </w:p>
    <w:p w14:paraId="4E8BC93D">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rPr>
        <w:t>、其他重要事项的情况说明</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10</w:t>
      </w:r>
    </w:p>
    <w:p w14:paraId="6834ADC5">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before="0" w:line="60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第三部分 名词解释</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12</w:t>
      </w:r>
    </w:p>
    <w:p w14:paraId="2B1182D9">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before="0" w:line="600" w:lineRule="exact"/>
        <w:jc w:val="left"/>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第四部分 附件</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15</w:t>
      </w:r>
    </w:p>
    <w:p w14:paraId="052F2C66">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before="0" w:line="60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第五部分 附表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29</w:t>
      </w:r>
    </w:p>
    <w:p w14:paraId="0EE9F720">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一、收入支出决算总表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20</w:t>
      </w:r>
    </w:p>
    <w:p w14:paraId="4E9A9D38">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二、收入决算表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20</w:t>
      </w:r>
    </w:p>
    <w:p w14:paraId="67F10026">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三、支出决算表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20</w:t>
      </w:r>
    </w:p>
    <w:p w14:paraId="2A161373">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四、财政拨款收入支出决算总表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20</w:t>
      </w:r>
    </w:p>
    <w:p w14:paraId="0B139AC7">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五、财政拨款支出决算明细表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20</w:t>
      </w:r>
    </w:p>
    <w:p w14:paraId="44581935">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六、一般公共预算财政拨款支出决算表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20</w:t>
      </w:r>
    </w:p>
    <w:p w14:paraId="70E2134D">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七、一般公共预算财政拨款支出决算明细表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20</w:t>
      </w:r>
    </w:p>
    <w:p w14:paraId="39A29AC1">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八、一般公共预算财政拨款基本支出决算</w:t>
      </w:r>
      <w:r>
        <w:rPr>
          <w:rFonts w:hint="eastAsia" w:ascii="仿宋_GB2312" w:hAnsi="仿宋_GB2312" w:eastAsia="仿宋_GB2312" w:cs="仿宋_GB2312"/>
          <w:color w:val="auto"/>
          <w:sz w:val="32"/>
          <w:szCs w:val="32"/>
          <w:highlight w:val="none"/>
          <w:lang w:eastAsia="zh-CN"/>
        </w:rPr>
        <w:t>明细</w:t>
      </w:r>
      <w:r>
        <w:rPr>
          <w:rFonts w:hint="eastAsia" w:ascii="仿宋_GB2312" w:hAnsi="仿宋_GB2312"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20</w:t>
      </w:r>
    </w:p>
    <w:p w14:paraId="065C7591">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九、一般公共预算财政拨款项目支出决算表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20</w:t>
      </w:r>
    </w:p>
    <w:p w14:paraId="3992708C">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20</w:t>
      </w:r>
    </w:p>
    <w:p w14:paraId="78D9BBE9">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20</w:t>
      </w:r>
    </w:p>
    <w:p w14:paraId="26756E43">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w:t>
      </w:r>
      <w:r>
        <w:rPr>
          <w:rFonts w:hint="eastAsia" w:ascii="仿宋_GB2312" w:hAnsi="仿宋_GB2312"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20</w:t>
      </w:r>
    </w:p>
    <w:p w14:paraId="72C2A486">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十三、财政拨款“三公”经费支出决算表</w:t>
      </w:r>
      <w:r>
        <w:rPr>
          <w:rFonts w:hint="eastAsia" w:ascii="仿宋_GB2312" w:hAnsi="仿宋_GB2312"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20</w:t>
      </w:r>
    </w:p>
    <w:p w14:paraId="5911C3C0">
      <w:pPr>
        <w:pStyle w:val="5"/>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b w:val="0"/>
          <w:color w:val="auto"/>
          <w:highlight w:val="none"/>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p>
    <w:p w14:paraId="1F95E1DD">
      <w:pPr>
        <w:pStyle w:val="5"/>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eastAsia="方正小标宋简体" w:cs="方正小标宋简体"/>
          <w:b w:val="0"/>
          <w:bCs w:val="0"/>
          <w:color w:val="auto"/>
          <w:highlight w:val="none"/>
          <w:lang w:val="en-US" w:eastAsia="zh-CN"/>
        </w:rPr>
        <w:t>单位</w:t>
      </w:r>
      <w:r>
        <w:rPr>
          <w:rStyle w:val="30"/>
          <w:rFonts w:hint="eastAsia" w:ascii="Times New Roman" w:hAnsi="Times New Roman" w:eastAsia="方正小标宋简体" w:cs="方正小标宋简体"/>
          <w:b w:val="0"/>
          <w:bCs w:val="0"/>
          <w:color w:val="auto"/>
          <w:highlight w:val="none"/>
        </w:rPr>
        <w:t>概况</w:t>
      </w:r>
      <w:bookmarkEnd w:id="6"/>
      <w:bookmarkEnd w:id="7"/>
    </w:p>
    <w:p w14:paraId="23880538">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Fonts w:hint="eastAsia" w:ascii="Times New Roman" w:hAnsi="Times New Roman" w:eastAsia="黑体"/>
          <w:b w:val="0"/>
          <w:color w:val="auto"/>
          <w:highlight w:val="none"/>
          <w:lang w:eastAsia="zh-CN"/>
        </w:rPr>
      </w:pPr>
      <w:bookmarkStart w:id="8" w:name="_Toc15396600"/>
      <w:bookmarkStart w:id="9" w:name="_Toc15377197"/>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val="en-US" w:eastAsia="zh-CN"/>
        </w:rPr>
        <w:t>主要</w:t>
      </w:r>
      <w:r>
        <w:rPr>
          <w:rFonts w:hint="eastAsia" w:ascii="Times New Roman" w:hAnsi="Times New Roman" w:eastAsia="黑体"/>
          <w:b w:val="0"/>
          <w:color w:val="auto"/>
          <w:highlight w:val="none"/>
          <w:lang w:eastAsia="zh-CN"/>
        </w:rPr>
        <w:t>职责</w:t>
      </w:r>
    </w:p>
    <w:p w14:paraId="615091C0">
      <w:pPr>
        <w:pageBreakBefore w:val="0"/>
        <w:widowControl w:val="0"/>
        <w:kinsoku/>
        <w:wordWrap/>
        <w:overflowPunct/>
        <w:topLinePunct w:val="0"/>
        <w:autoSpaceDE/>
        <w:autoSpaceDN/>
        <w:bidi w:val="0"/>
        <w:adjustRightInd/>
        <w:snapToGrid/>
        <w:spacing w:line="600" w:lineRule="exact"/>
        <w:ind w:right="0" w:firstLine="660" w:firstLineChars="200"/>
        <w:textAlignment w:val="auto"/>
        <w:outlineLvl w:val="1"/>
        <w:rPr>
          <w:rFonts w:hint="eastAsia" w:ascii="仿宋_GB2312" w:hAnsi="仿宋_GB2312" w:eastAsia="仿宋_GB2312" w:cs="仿宋_GB2312"/>
          <w:sz w:val="32"/>
          <w:szCs w:val="32"/>
        </w:rPr>
      </w:pPr>
      <w:bookmarkStart w:id="10" w:name="_Toc15377200"/>
      <w:bookmarkStart w:id="11" w:name="_Toc15396601"/>
      <w:r>
        <w:rPr>
          <w:rFonts w:hint="eastAsia" w:ascii="仿宋_GB2312" w:hAnsi="仿宋_GB2312" w:eastAsia="仿宋_GB2312" w:cs="仿宋_GB2312"/>
          <w:spacing w:val="5"/>
          <w:sz w:val="32"/>
          <w:szCs w:val="32"/>
        </w:rPr>
        <w:t>1.深入贯彻党的路线方针政策和决策部署，统</w:t>
      </w:r>
      <w:r>
        <w:rPr>
          <w:rFonts w:hint="eastAsia" w:ascii="仿宋_GB2312" w:hAnsi="仿宋_GB2312" w:eastAsia="仿宋_GB2312" w:cs="仿宋_GB2312"/>
          <w:spacing w:val="4"/>
          <w:sz w:val="32"/>
          <w:szCs w:val="32"/>
        </w:rPr>
        <w:t>一政法各部门思</w:t>
      </w:r>
      <w:r>
        <w:rPr>
          <w:rFonts w:hint="eastAsia" w:ascii="仿宋_GB2312" w:hAnsi="仿宋_GB2312" w:eastAsia="仿宋_GB2312" w:cs="仿宋_GB2312"/>
          <w:spacing w:val="6"/>
          <w:sz w:val="32"/>
          <w:szCs w:val="32"/>
        </w:rPr>
        <w:t>想和行动，坚持党对政法工作的绝对领导，坚决维护党中央</w:t>
      </w:r>
      <w:r>
        <w:rPr>
          <w:rFonts w:hint="eastAsia" w:ascii="仿宋_GB2312" w:hAnsi="仿宋_GB2312" w:eastAsia="仿宋_GB2312" w:cs="仿宋_GB2312"/>
          <w:spacing w:val="5"/>
          <w:sz w:val="32"/>
          <w:szCs w:val="32"/>
        </w:rPr>
        <w:t>权威和集中统一领导。</w:t>
      </w:r>
    </w:p>
    <w:p w14:paraId="7E777589">
      <w:pPr>
        <w:pageBreakBefore w:val="0"/>
        <w:widowControl w:val="0"/>
        <w:kinsoku/>
        <w:wordWrap/>
        <w:overflowPunct/>
        <w:topLinePunct w:val="0"/>
        <w:autoSpaceDE/>
        <w:autoSpaceDN/>
        <w:bidi w:val="0"/>
        <w:adjustRightInd/>
        <w:snapToGrid/>
        <w:spacing w:line="600" w:lineRule="exact"/>
        <w:ind w:left="0" w:right="0" w:firstLine="66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2.深入贯彻党中央决定和省委、市委、县委决策，对政法工作</w:t>
      </w:r>
      <w:r>
        <w:rPr>
          <w:rFonts w:hint="eastAsia" w:ascii="仿宋_GB2312" w:hAnsi="仿宋_GB2312" w:eastAsia="仿宋_GB2312" w:cs="仿宋_GB2312"/>
          <w:spacing w:val="6"/>
          <w:sz w:val="32"/>
          <w:szCs w:val="32"/>
        </w:rPr>
        <w:t>研究提出全局性部署，推进平安峨边、法治峨边建设，加强过硬政</w:t>
      </w:r>
      <w:r>
        <w:rPr>
          <w:rFonts w:hint="eastAsia" w:ascii="仿宋_GB2312" w:hAnsi="仿宋_GB2312" w:eastAsia="仿宋_GB2312" w:cs="仿宋_GB2312"/>
          <w:spacing w:val="5"/>
          <w:sz w:val="32"/>
          <w:szCs w:val="32"/>
        </w:rPr>
        <w:t>法队伍建设，深化职能化建设，坚决维护国家政治安全、确保社会</w:t>
      </w:r>
      <w:r>
        <w:rPr>
          <w:rFonts w:hint="eastAsia" w:ascii="仿宋_GB2312" w:hAnsi="仿宋_GB2312" w:eastAsia="仿宋_GB2312" w:cs="仿宋_GB2312"/>
          <w:spacing w:val="8"/>
          <w:sz w:val="32"/>
          <w:szCs w:val="32"/>
        </w:rPr>
        <w:t>大局稳定、促进社会公平正义、保障人民安居乐业。</w:t>
      </w:r>
    </w:p>
    <w:p w14:paraId="3B566420">
      <w:pPr>
        <w:pageBreakBefore w:val="0"/>
        <w:widowControl w:val="0"/>
        <w:kinsoku/>
        <w:wordWrap/>
        <w:overflowPunct/>
        <w:topLinePunct w:val="0"/>
        <w:autoSpaceDE/>
        <w:autoSpaceDN/>
        <w:bidi w:val="0"/>
        <w:adjustRightInd/>
        <w:snapToGrid/>
        <w:spacing w:line="600" w:lineRule="exact"/>
        <w:ind w:left="0" w:right="0" w:firstLine="648" w:firstLineChars="200"/>
        <w:textAlignment w:val="auto"/>
        <w:outlineLvl w:val="1"/>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2"/>
          <w:sz w:val="32"/>
          <w:szCs w:val="32"/>
        </w:rPr>
        <w:t>3.了解掌握和分析研判政法工作情况动态，分析全县社会稳定</w:t>
      </w:r>
      <w:r>
        <w:rPr>
          <w:rFonts w:hint="eastAsia" w:ascii="仿宋_GB2312" w:hAnsi="仿宋_GB2312" w:eastAsia="仿宋_GB2312" w:cs="仿宋_GB2312"/>
          <w:spacing w:val="6"/>
          <w:sz w:val="32"/>
          <w:szCs w:val="32"/>
        </w:rPr>
        <w:t>形势，创新完善多部门参与综治维稳工作机制，构建矛盾纠纷多元</w:t>
      </w:r>
      <w:r>
        <w:rPr>
          <w:rFonts w:hint="eastAsia" w:ascii="仿宋_GB2312" w:hAnsi="仿宋_GB2312" w:eastAsia="仿宋_GB2312" w:cs="仿宋_GB2312"/>
          <w:spacing w:val="-2"/>
          <w:sz w:val="32"/>
          <w:szCs w:val="32"/>
        </w:rPr>
        <w:t>化解体系和机制，协调推进预防、化解影响稳定的社会矛盾和风险，</w:t>
      </w:r>
      <w:r>
        <w:rPr>
          <w:rFonts w:hint="eastAsia" w:ascii="仿宋_GB2312" w:hAnsi="仿宋_GB2312" w:eastAsia="仿宋_GB2312" w:cs="仿宋_GB2312"/>
          <w:spacing w:val="7"/>
          <w:sz w:val="32"/>
          <w:szCs w:val="32"/>
        </w:rPr>
        <w:t>协调应对和处置重大突发事件，统筹推进全县维护社会稳定工作。</w:t>
      </w:r>
    </w:p>
    <w:p w14:paraId="0E6D469A">
      <w:pPr>
        <w:pageBreakBefore w:val="0"/>
        <w:widowControl w:val="0"/>
        <w:kinsoku/>
        <w:wordWrap/>
        <w:overflowPunct/>
        <w:topLinePunct w:val="0"/>
        <w:autoSpaceDE/>
        <w:autoSpaceDN/>
        <w:bidi w:val="0"/>
        <w:adjustRightInd/>
        <w:snapToGrid/>
        <w:spacing w:line="600" w:lineRule="exact"/>
        <w:ind w:left="0" w:right="0" w:firstLine="628"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4.加强对政法工作的监督，统筹协调维护政治安全、社会治安、</w:t>
      </w:r>
      <w:r>
        <w:rPr>
          <w:rFonts w:hint="eastAsia" w:ascii="仿宋_GB2312" w:hAnsi="仿宋_GB2312" w:eastAsia="仿宋_GB2312" w:cs="仿宋_GB2312"/>
          <w:spacing w:val="6"/>
          <w:sz w:val="32"/>
          <w:szCs w:val="32"/>
        </w:rPr>
        <w:t>综合治理、维护社会稳定、反邪教有关法律法规政策的实施工作；</w:t>
      </w:r>
      <w:r>
        <w:rPr>
          <w:rFonts w:hint="eastAsia" w:ascii="仿宋_GB2312" w:hAnsi="仿宋_GB2312" w:eastAsia="仿宋_GB2312" w:cs="仿宋_GB2312"/>
          <w:spacing w:val="8"/>
          <w:sz w:val="32"/>
          <w:szCs w:val="32"/>
        </w:rPr>
        <w:t>指导全县政法系统网络安全和</w:t>
      </w:r>
      <w:r>
        <w:rPr>
          <w:rFonts w:hint="eastAsia" w:ascii="仿宋_GB2312" w:hAnsi="仿宋_GB2312" w:eastAsia="仿宋_GB2312" w:cs="仿宋_GB2312"/>
          <w:spacing w:val="8"/>
          <w:sz w:val="32"/>
          <w:szCs w:val="32"/>
          <w:lang w:eastAsia="zh-CN"/>
        </w:rPr>
        <w:t>智能化</w:t>
      </w:r>
      <w:r>
        <w:rPr>
          <w:rFonts w:hint="eastAsia" w:ascii="仿宋_GB2312" w:hAnsi="仿宋_GB2312" w:eastAsia="仿宋_GB2312" w:cs="仿宋_GB2312"/>
          <w:spacing w:val="8"/>
          <w:sz w:val="32"/>
          <w:szCs w:val="32"/>
        </w:rPr>
        <w:t>建设工作。</w:t>
      </w:r>
    </w:p>
    <w:p w14:paraId="64FD9462">
      <w:pPr>
        <w:pageBreakBefore w:val="0"/>
        <w:widowControl w:val="0"/>
        <w:kinsoku/>
        <w:wordWrap/>
        <w:overflowPunct/>
        <w:topLinePunct w:val="0"/>
        <w:autoSpaceDE/>
        <w:autoSpaceDN/>
        <w:bidi w:val="0"/>
        <w:adjustRightInd/>
        <w:snapToGrid/>
        <w:spacing w:line="600" w:lineRule="exact"/>
        <w:ind w:left="0" w:right="0" w:firstLine="628" w:firstLineChars="200"/>
        <w:textAlignment w:val="auto"/>
        <w:outlineLvl w:val="1"/>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5.组织开展政法领域的调查研究，研究拟定全县政法工作的政策措施，及时向县委提出建议；参与有关法规、规章的起草、修改工作，及时提出立法建议。</w:t>
      </w:r>
    </w:p>
    <w:p w14:paraId="0173B28E">
      <w:pPr>
        <w:pageBreakBefore w:val="0"/>
        <w:widowControl w:val="0"/>
        <w:kinsoku/>
        <w:wordWrap/>
        <w:overflowPunct/>
        <w:topLinePunct w:val="0"/>
        <w:autoSpaceDE/>
        <w:autoSpaceDN/>
        <w:bidi w:val="0"/>
        <w:adjustRightInd/>
        <w:snapToGrid/>
        <w:spacing w:line="600" w:lineRule="exact"/>
        <w:ind w:left="0" w:right="0" w:firstLine="628" w:firstLineChars="200"/>
        <w:textAlignment w:val="auto"/>
        <w:outlineLvl w:val="1"/>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val="en-US" w:eastAsia="zh-CN"/>
        </w:rPr>
        <w:t>6.</w:t>
      </w:r>
      <w:r>
        <w:rPr>
          <w:rFonts w:hint="eastAsia" w:ascii="仿宋_GB2312" w:hAnsi="仿宋_GB2312" w:eastAsia="仿宋_GB2312" w:cs="仿宋_GB2312"/>
          <w:spacing w:val="-3"/>
          <w:sz w:val="32"/>
          <w:szCs w:val="32"/>
        </w:rPr>
        <w:t>掌握分析政法舆情动态，指导协调政法部门媒体网络宣传工作，指导政法部门做好涉及政法工作的重大宣传和舆论领导工作。</w:t>
      </w:r>
    </w:p>
    <w:p w14:paraId="291A6CAA">
      <w:pPr>
        <w:pageBreakBefore w:val="0"/>
        <w:widowControl w:val="0"/>
        <w:kinsoku/>
        <w:wordWrap/>
        <w:overflowPunct/>
        <w:topLinePunct w:val="0"/>
        <w:autoSpaceDE/>
        <w:autoSpaceDN/>
        <w:bidi w:val="0"/>
        <w:adjustRightInd/>
        <w:snapToGrid/>
        <w:spacing w:line="600" w:lineRule="exact"/>
        <w:ind w:left="0" w:right="0" w:firstLine="628" w:firstLineChars="200"/>
        <w:textAlignment w:val="auto"/>
        <w:outlineLvl w:val="1"/>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val="en-US" w:eastAsia="zh-CN"/>
        </w:rPr>
        <w:t>7.</w:t>
      </w:r>
      <w:r>
        <w:rPr>
          <w:rFonts w:hint="eastAsia" w:ascii="仿宋_GB2312" w:hAnsi="仿宋_GB2312" w:eastAsia="仿宋_GB2312" w:cs="仿宋_GB2312"/>
          <w:spacing w:val="-3"/>
          <w:sz w:val="32"/>
          <w:szCs w:val="32"/>
        </w:rPr>
        <w:t>监督和支持政法各部门依法行使职权，指导和协调政法各部门密切配合，研究和协调重大、疑难案件，推进严格执法、公正司法。</w:t>
      </w:r>
    </w:p>
    <w:p w14:paraId="2CA53E86">
      <w:pPr>
        <w:pageBreakBefore w:val="0"/>
        <w:widowControl w:val="0"/>
        <w:kinsoku/>
        <w:wordWrap/>
        <w:overflowPunct/>
        <w:topLinePunct w:val="0"/>
        <w:autoSpaceDE/>
        <w:autoSpaceDN/>
        <w:bidi w:val="0"/>
        <w:adjustRightInd/>
        <w:snapToGrid/>
        <w:spacing w:line="600" w:lineRule="exact"/>
        <w:ind w:left="0" w:right="0" w:firstLine="628" w:firstLineChars="200"/>
        <w:textAlignment w:val="auto"/>
        <w:outlineLvl w:val="1"/>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val="en-US" w:eastAsia="zh-CN"/>
        </w:rPr>
        <w:t>8.</w:t>
      </w:r>
      <w:r>
        <w:rPr>
          <w:rFonts w:hint="eastAsia" w:ascii="仿宋_GB2312" w:hAnsi="仿宋_GB2312" w:eastAsia="仿宋_GB2312" w:cs="仿宋_GB2312"/>
          <w:spacing w:val="-3"/>
          <w:sz w:val="32"/>
          <w:szCs w:val="32"/>
        </w:rPr>
        <w:t>组织研究政法改革中带有方向性、倾向性和普遍性的重大问题，深化政法改革。</w:t>
      </w:r>
    </w:p>
    <w:p w14:paraId="714532E7">
      <w:pPr>
        <w:pageBreakBefore w:val="0"/>
        <w:widowControl w:val="0"/>
        <w:kinsoku/>
        <w:wordWrap/>
        <w:overflowPunct/>
        <w:topLinePunct w:val="0"/>
        <w:autoSpaceDE/>
        <w:autoSpaceDN/>
        <w:bidi w:val="0"/>
        <w:adjustRightInd/>
        <w:snapToGrid/>
        <w:spacing w:line="600" w:lineRule="exact"/>
        <w:ind w:left="0" w:right="0" w:firstLine="628" w:firstLineChars="200"/>
        <w:textAlignment w:val="auto"/>
        <w:outlineLvl w:val="1"/>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val="en-US" w:eastAsia="zh-CN"/>
        </w:rPr>
        <w:t>9.</w:t>
      </w:r>
      <w:r>
        <w:rPr>
          <w:rFonts w:hint="eastAsia" w:ascii="仿宋_GB2312" w:hAnsi="仿宋_GB2312" w:eastAsia="仿宋_GB2312" w:cs="仿宋_GB2312"/>
          <w:spacing w:val="-3"/>
          <w:sz w:val="32"/>
          <w:szCs w:val="32"/>
        </w:rPr>
        <w:t>指导推动政法系统党的建设和政法队伍建设，协同县级有关职能部门管理监督政法领导干部，代管峨边彝族自治县法学会。</w:t>
      </w:r>
    </w:p>
    <w:p w14:paraId="65666F29">
      <w:pPr>
        <w:pageBreakBefore w:val="0"/>
        <w:widowControl w:val="0"/>
        <w:kinsoku/>
        <w:wordWrap/>
        <w:overflowPunct/>
        <w:topLinePunct w:val="0"/>
        <w:autoSpaceDE/>
        <w:autoSpaceDN/>
        <w:bidi w:val="0"/>
        <w:adjustRightInd/>
        <w:snapToGrid/>
        <w:spacing w:line="600" w:lineRule="exact"/>
        <w:ind w:left="0" w:right="0" w:firstLine="628" w:firstLineChars="200"/>
        <w:textAlignment w:val="auto"/>
        <w:outlineLvl w:val="1"/>
        <w:rPr>
          <w:rFonts w:hint="default" w:ascii="仿宋_GB2312" w:hAnsi="仿宋_GB2312" w:eastAsia="仿宋_GB2312" w:cs="仿宋_GB2312"/>
          <w:spacing w:val="-3"/>
          <w:sz w:val="32"/>
          <w:szCs w:val="32"/>
          <w:lang w:val="zh-CN"/>
        </w:rPr>
      </w:pPr>
      <w:r>
        <w:rPr>
          <w:rFonts w:hint="eastAsia" w:ascii="仿宋_GB2312" w:hAnsi="仿宋_GB2312" w:eastAsia="仿宋_GB2312" w:cs="仿宋_GB2312"/>
          <w:spacing w:val="-3"/>
          <w:sz w:val="32"/>
          <w:szCs w:val="32"/>
          <w:lang w:val="en-US" w:eastAsia="zh-CN"/>
        </w:rPr>
        <w:t>10.</w:t>
      </w:r>
      <w:r>
        <w:rPr>
          <w:rFonts w:hint="eastAsia" w:ascii="仿宋_GB2312" w:hAnsi="仿宋_GB2312" w:eastAsia="仿宋_GB2312" w:cs="仿宋_GB2312"/>
          <w:spacing w:val="-3"/>
          <w:sz w:val="32"/>
          <w:szCs w:val="32"/>
        </w:rPr>
        <w:t>完成县委、县政府和上级政法委交办的其他任务。</w:t>
      </w:r>
    </w:p>
    <w:p w14:paraId="77FEFE6A">
      <w:pPr>
        <w:pStyle w:val="6"/>
        <w:keepNext/>
        <w:keepLines/>
        <w:pageBreakBefore w:val="0"/>
        <w:widowControl w:val="0"/>
        <w:kinsoku/>
        <w:wordWrap/>
        <w:overflowPunct/>
        <w:topLinePunct w:val="0"/>
        <w:autoSpaceDE/>
        <w:autoSpaceDN/>
        <w:bidi w:val="0"/>
        <w:adjustRightInd/>
        <w:snapToGrid/>
        <w:spacing w:before="0" w:after="0" w:line="600" w:lineRule="exact"/>
        <w:textAlignment w:val="auto"/>
        <w:rPr>
          <w:rStyle w:val="31"/>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0"/>
      <w:bookmarkEnd w:id="11"/>
    </w:p>
    <w:p w14:paraId="5041B067">
      <w:pPr>
        <w:pageBreakBefore w:val="0"/>
        <w:widowControl w:val="0"/>
        <w:kinsoku/>
        <w:wordWrap/>
        <w:overflowPunct/>
        <w:topLinePunct w:val="0"/>
        <w:autoSpaceDE/>
        <w:autoSpaceDN/>
        <w:bidi w:val="0"/>
        <w:adjustRightInd/>
        <w:snapToGrid/>
        <w:spacing w:line="600" w:lineRule="exact"/>
        <w:ind w:left="0" w:right="0" w:firstLine="628" w:firstLineChars="200"/>
        <w:textAlignment w:val="auto"/>
        <w:outlineLvl w:val="1"/>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中共峨边彝族自治县委政法委员会下属二级</w:t>
      </w:r>
      <w:r>
        <w:rPr>
          <w:rFonts w:hint="eastAsia" w:ascii="仿宋_GB2312" w:hAnsi="仿宋_GB2312" w:eastAsia="仿宋_GB2312" w:cs="仿宋_GB2312"/>
          <w:spacing w:val="-3"/>
          <w:sz w:val="32"/>
          <w:szCs w:val="32"/>
          <w:lang w:eastAsia="zh-CN"/>
        </w:rPr>
        <w:t>预算</w:t>
      </w:r>
      <w:r>
        <w:rPr>
          <w:rFonts w:hint="eastAsia" w:ascii="仿宋_GB2312" w:hAnsi="仿宋_GB2312" w:eastAsia="仿宋_GB2312" w:cs="仿宋_GB2312"/>
          <w:spacing w:val="-3"/>
          <w:sz w:val="32"/>
          <w:szCs w:val="32"/>
        </w:rPr>
        <w:t>单位</w:t>
      </w:r>
      <w:r>
        <w:rPr>
          <w:rFonts w:hint="eastAsia" w:ascii="仿宋_GB2312" w:hAnsi="仿宋_GB2312" w:eastAsia="仿宋_GB2312" w:cs="仿宋_GB2312"/>
          <w:spacing w:val="-3"/>
          <w:sz w:val="32"/>
          <w:szCs w:val="32"/>
          <w:lang w:val="en-US" w:eastAsia="zh-CN"/>
        </w:rPr>
        <w:t>0</w:t>
      </w:r>
      <w:r>
        <w:rPr>
          <w:rFonts w:hint="eastAsia" w:ascii="仿宋_GB2312" w:hAnsi="仿宋_GB2312" w:eastAsia="仿宋_GB2312" w:cs="仿宋_GB2312"/>
          <w:spacing w:val="-3"/>
          <w:sz w:val="32"/>
          <w:szCs w:val="32"/>
        </w:rPr>
        <w:t>个，其中行政单位</w:t>
      </w:r>
      <w:r>
        <w:rPr>
          <w:rFonts w:hint="eastAsia" w:ascii="仿宋_GB2312" w:hAnsi="仿宋_GB2312" w:eastAsia="仿宋_GB2312" w:cs="仿宋_GB2312"/>
          <w:spacing w:val="-3"/>
          <w:sz w:val="32"/>
          <w:szCs w:val="32"/>
          <w:lang w:val="en-US" w:eastAsia="zh-CN"/>
        </w:rPr>
        <w:t>0</w:t>
      </w:r>
      <w:r>
        <w:rPr>
          <w:rFonts w:hint="eastAsia" w:ascii="仿宋_GB2312" w:hAnsi="仿宋_GB2312" w:eastAsia="仿宋_GB2312" w:cs="仿宋_GB2312"/>
          <w:spacing w:val="-3"/>
          <w:sz w:val="32"/>
          <w:szCs w:val="32"/>
        </w:rPr>
        <w:t>个，参照公务员法管理的事业单位</w:t>
      </w:r>
      <w:r>
        <w:rPr>
          <w:rFonts w:hint="eastAsia" w:ascii="仿宋_GB2312" w:hAnsi="仿宋_GB2312" w:eastAsia="仿宋_GB2312" w:cs="仿宋_GB2312"/>
          <w:spacing w:val="-3"/>
          <w:sz w:val="32"/>
          <w:szCs w:val="32"/>
          <w:lang w:val="en-US" w:eastAsia="zh-CN"/>
        </w:rPr>
        <w:t>0</w:t>
      </w:r>
      <w:r>
        <w:rPr>
          <w:rFonts w:hint="eastAsia" w:ascii="仿宋_GB2312" w:hAnsi="仿宋_GB2312" w:eastAsia="仿宋_GB2312" w:cs="仿宋_GB2312"/>
          <w:spacing w:val="-3"/>
          <w:sz w:val="32"/>
          <w:szCs w:val="32"/>
        </w:rPr>
        <w:t>个，其他事业单位</w:t>
      </w:r>
      <w:r>
        <w:rPr>
          <w:rFonts w:hint="eastAsia" w:ascii="仿宋_GB2312" w:hAnsi="仿宋_GB2312" w:eastAsia="仿宋_GB2312" w:cs="仿宋_GB2312"/>
          <w:spacing w:val="-3"/>
          <w:sz w:val="32"/>
          <w:szCs w:val="32"/>
          <w:lang w:val="en-US" w:eastAsia="zh-CN"/>
        </w:rPr>
        <w:t>0</w:t>
      </w:r>
      <w:r>
        <w:rPr>
          <w:rFonts w:hint="eastAsia" w:ascii="仿宋_GB2312" w:hAnsi="仿宋_GB2312" w:eastAsia="仿宋_GB2312" w:cs="仿宋_GB2312"/>
          <w:spacing w:val="-3"/>
          <w:sz w:val="32"/>
          <w:szCs w:val="32"/>
        </w:rPr>
        <w:t>个。</w:t>
      </w:r>
    </w:p>
    <w:p w14:paraId="6A046D9E">
      <w:pPr>
        <w:pageBreakBefore w:val="0"/>
        <w:widowControl w:val="0"/>
        <w:kinsoku/>
        <w:wordWrap/>
        <w:overflowPunct/>
        <w:topLinePunct w:val="0"/>
        <w:autoSpaceDE/>
        <w:autoSpaceDN/>
        <w:bidi w:val="0"/>
        <w:adjustRightInd/>
        <w:snapToGrid/>
        <w:spacing w:line="600" w:lineRule="exact"/>
        <w:ind w:left="0" w:right="0" w:firstLine="628" w:firstLineChars="200"/>
        <w:textAlignment w:val="auto"/>
        <w:outlineLvl w:val="1"/>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spacing w:val="-3"/>
          <w:sz w:val="32"/>
          <w:szCs w:val="32"/>
        </w:rPr>
        <w:t>纳入中共峨边彝族自治县委政法委员会</w:t>
      </w:r>
      <w:r>
        <w:rPr>
          <w:rFonts w:hint="eastAsia" w:ascii="仿宋_GB2312" w:hAnsi="仿宋_GB2312" w:eastAsia="仿宋_GB2312" w:cs="仿宋_GB2312"/>
          <w:spacing w:val="-3"/>
          <w:sz w:val="32"/>
          <w:szCs w:val="32"/>
          <w:lang w:eastAsia="zh-CN"/>
        </w:rPr>
        <w:t>2024年度</w:t>
      </w:r>
      <w:r>
        <w:rPr>
          <w:rFonts w:hint="eastAsia" w:ascii="仿宋_GB2312" w:hAnsi="仿宋_GB2312" w:eastAsia="仿宋_GB2312" w:cs="仿宋_GB2312"/>
          <w:spacing w:val="-3"/>
          <w:sz w:val="32"/>
          <w:szCs w:val="32"/>
        </w:rPr>
        <w:t>部门决算编制范围的二级预算单位包括：</w:t>
      </w:r>
      <w:r>
        <w:rPr>
          <w:rFonts w:hint="eastAsia" w:ascii="仿宋_GB2312" w:hAnsi="仿宋_GB2312" w:eastAsia="仿宋_GB2312" w:cs="仿宋_GB2312"/>
          <w:spacing w:val="-3"/>
          <w:sz w:val="32"/>
          <w:szCs w:val="32"/>
          <w:lang w:eastAsia="zh-CN"/>
        </w:rPr>
        <w:t>无</w:t>
      </w:r>
    </w:p>
    <w:p w14:paraId="7BC1BBE0">
      <w:pPr>
        <w:pStyle w:val="2"/>
        <w:rPr>
          <w:rFonts w:hint="eastAsia"/>
        </w:rPr>
      </w:pPr>
    </w:p>
    <w:p w14:paraId="38241136">
      <w:pPr>
        <w:pStyle w:val="5"/>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Times New Roman" w:hAnsi="Times New Roman" w:eastAsia="方正小标宋简体" w:cs="方正小标宋简体"/>
          <w:b w:val="0"/>
          <w:color w:val="auto"/>
          <w:highlight w:val="none"/>
        </w:rPr>
      </w:pPr>
      <w:bookmarkStart w:id="12" w:name="_Toc15396602"/>
      <w:bookmarkStart w:id="13"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2"/>
      <w:bookmarkEnd w:id="13"/>
    </w:p>
    <w:p w14:paraId="7E884C54">
      <w:pPr>
        <w:rPr>
          <w:rFonts w:ascii="Times New Roman" w:hAnsi="Times New Roman"/>
          <w:color w:val="auto"/>
          <w:highlight w:val="none"/>
        </w:rPr>
      </w:pPr>
    </w:p>
    <w:p w14:paraId="2DF6C8B7">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4" w:name="_Toc15396603"/>
      <w:bookmarkStart w:id="15"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4"/>
      <w:bookmarkEnd w:id="15"/>
    </w:p>
    <w:p w14:paraId="02E60F29">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814.75</w:t>
      </w:r>
      <w:r>
        <w:rPr>
          <w:rFonts w:hint="eastAsia" w:ascii="仿宋_GB2312" w:hAnsi="仿宋_GB2312" w:eastAsia="仿宋_GB2312" w:cs="仿宋_GB2312"/>
          <w:color w:val="auto"/>
          <w:sz w:val="32"/>
          <w:szCs w:val="32"/>
          <w:highlight w:val="none"/>
        </w:rPr>
        <w:t>万元。与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w:t>
      </w:r>
      <w:r>
        <w:rPr>
          <w:rFonts w:hint="eastAsia" w:ascii="仿宋_GB2312" w:hAnsi="仿宋_GB2312" w:eastAsia="仿宋_GB2312" w:cs="仿宋_GB2312"/>
          <w:color w:val="auto"/>
          <w:sz w:val="32"/>
          <w:szCs w:val="32"/>
          <w:highlight w:val="none"/>
          <w:lang w:eastAsia="zh-CN"/>
        </w:rPr>
        <w:t>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总计各减少</w:t>
      </w:r>
      <w:r>
        <w:rPr>
          <w:rFonts w:hint="eastAsia" w:ascii="仿宋_GB2312" w:hAnsi="仿宋_GB2312" w:eastAsia="仿宋_GB2312" w:cs="仿宋_GB2312"/>
          <w:color w:val="auto"/>
          <w:sz w:val="32"/>
          <w:szCs w:val="32"/>
          <w:highlight w:val="none"/>
          <w:lang w:val="en-US" w:eastAsia="zh-CN"/>
        </w:rPr>
        <w:t>218.83</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26.86</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项目减少。</w:t>
      </w:r>
    </w:p>
    <w:p w14:paraId="3DDCED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（图1：</w:t>
      </w:r>
      <w:r>
        <w:rPr>
          <w:rFonts w:hint="eastAsia" w:ascii="仿宋_GB2312" w:hAnsi="仿宋_GB2312" w:eastAsia="仿宋_GB2312" w:cs="仿宋_GB2312"/>
          <w:color w:val="auto"/>
          <w:sz w:val="32"/>
          <w:szCs w:val="32"/>
          <w:highlight w:val="none"/>
          <w:lang w:eastAsia="zh-CN"/>
        </w:rPr>
        <w:t>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决算总计变动情况图）（柱状图）</w:t>
      </w:r>
    </w:p>
    <w:p w14:paraId="08A13A3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rPr>
          <w:rFonts w:hint="eastAsia"/>
          <w:lang w:val="zh-CN"/>
        </w:rPr>
        <w:drawing>
          <wp:inline distT="0" distB="0" distL="114300" distR="114300">
            <wp:extent cx="4949190" cy="2414905"/>
            <wp:effectExtent l="4445" t="4445" r="18415" b="190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6D64A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77206"/>
      <w:bookmarkStart w:id="17" w:name="_Toc15396604"/>
      <w:r>
        <w:rPr>
          <w:rFonts w:hint="eastAsia" w:ascii="Times New Roman" w:hAnsi="Times New Roman" w:eastAsia="黑体"/>
          <w:color w:val="auto"/>
          <w:sz w:val="32"/>
          <w:szCs w:val="32"/>
          <w:highlight w:val="none"/>
          <w:lang w:eastAsia="zh-CN"/>
        </w:rPr>
        <w:t>二、收入决算情况说明</w:t>
      </w:r>
      <w:bookmarkEnd w:id="16"/>
      <w:bookmarkEnd w:id="17"/>
    </w:p>
    <w:p w14:paraId="52713A7F">
      <w:pPr>
        <w:pageBreakBefore w:val="0"/>
        <w:widowControl w:val="0"/>
        <w:kinsoku/>
        <w:wordWrap/>
        <w:overflowPunct/>
        <w:topLinePunct w:val="0"/>
        <w:autoSpaceDE/>
        <w:autoSpaceDN/>
        <w:bidi w:val="0"/>
        <w:adjustRightInd/>
        <w:snapToGrid/>
        <w:spacing w:line="600" w:lineRule="exact"/>
        <w:ind w:left="0" w:right="0" w:firstLine="628" w:firstLineChars="200"/>
        <w:textAlignment w:val="auto"/>
        <w:outlineLvl w:val="1"/>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spacing w:val="-3"/>
          <w:sz w:val="32"/>
          <w:szCs w:val="32"/>
          <w:lang w:eastAsia="zh-CN"/>
        </w:rPr>
        <w:t>2024年度本年收入合计</w:t>
      </w:r>
      <w:r>
        <w:rPr>
          <w:rFonts w:hint="eastAsia" w:ascii="仿宋_GB2312" w:hAnsi="仿宋_GB2312" w:eastAsia="仿宋_GB2312" w:cs="仿宋_GB2312"/>
          <w:spacing w:val="-3"/>
          <w:sz w:val="32"/>
          <w:szCs w:val="32"/>
        </w:rPr>
        <w:t>814.75万元，其中：一般公共预算财政拨款收入518.69</w:t>
      </w:r>
      <w:r>
        <w:rPr>
          <w:rFonts w:hint="eastAsia" w:ascii="仿宋_GB2312" w:hAnsi="仿宋_GB2312" w:eastAsia="仿宋_GB2312" w:cs="仿宋_GB2312"/>
          <w:spacing w:val="-3"/>
          <w:sz w:val="32"/>
          <w:szCs w:val="32"/>
          <w:lang w:eastAsia="zh-CN"/>
        </w:rPr>
        <w:t>万元，占</w:t>
      </w:r>
      <w:r>
        <w:rPr>
          <w:rFonts w:hint="eastAsia" w:ascii="仿宋_GB2312" w:hAnsi="仿宋_GB2312" w:eastAsia="仿宋_GB2312" w:cs="仿宋_GB2312"/>
          <w:spacing w:val="-3"/>
          <w:sz w:val="32"/>
          <w:szCs w:val="32"/>
        </w:rPr>
        <w:t>63.66</w:t>
      </w:r>
      <w:r>
        <w:rPr>
          <w:rFonts w:hint="eastAsia" w:ascii="仿宋_GB2312" w:hAnsi="仿宋_GB2312" w:eastAsia="仿宋_GB2312" w:cs="仿宋_GB2312"/>
          <w:spacing w:val="-3"/>
          <w:sz w:val="32"/>
          <w:szCs w:val="32"/>
          <w:lang w:eastAsia="zh-CN"/>
        </w:rPr>
        <w:t>%；政府性基金预算财政拨款收入</w:t>
      </w:r>
      <w:r>
        <w:rPr>
          <w:rFonts w:hint="eastAsia" w:ascii="仿宋_GB2312" w:hAnsi="仿宋_GB2312" w:eastAsia="仿宋_GB2312" w:cs="仿宋_GB2312"/>
          <w:spacing w:val="-3"/>
          <w:sz w:val="32"/>
          <w:szCs w:val="32"/>
        </w:rPr>
        <w:t>296.06</w:t>
      </w:r>
      <w:r>
        <w:rPr>
          <w:rFonts w:hint="eastAsia" w:ascii="仿宋_GB2312" w:hAnsi="仿宋_GB2312" w:eastAsia="仿宋_GB2312" w:cs="仿宋_GB2312"/>
          <w:spacing w:val="-3"/>
          <w:sz w:val="32"/>
          <w:szCs w:val="32"/>
          <w:lang w:eastAsia="zh-CN"/>
        </w:rPr>
        <w:t>万元，占</w:t>
      </w:r>
      <w:r>
        <w:rPr>
          <w:rFonts w:hint="eastAsia" w:ascii="仿宋_GB2312" w:hAnsi="仿宋_GB2312" w:eastAsia="仿宋_GB2312" w:cs="仿宋_GB2312"/>
          <w:spacing w:val="-3"/>
          <w:sz w:val="32"/>
          <w:szCs w:val="32"/>
        </w:rPr>
        <w:t>36.3</w:t>
      </w:r>
      <w:r>
        <w:rPr>
          <w:rFonts w:hint="eastAsia" w:ascii="仿宋_GB2312" w:hAnsi="仿宋_GB2312" w:eastAsia="仿宋_GB2312" w:cs="仿宋_GB2312"/>
          <w:spacing w:val="-3"/>
          <w:sz w:val="32"/>
          <w:szCs w:val="32"/>
          <w:lang w:val="en-US" w:eastAsia="zh-CN"/>
        </w:rPr>
        <w:t>4</w:t>
      </w:r>
      <w:r>
        <w:rPr>
          <w:rFonts w:hint="eastAsia" w:ascii="仿宋_GB2312" w:hAnsi="仿宋_GB2312" w:eastAsia="仿宋_GB2312" w:cs="仿宋_GB2312"/>
          <w:spacing w:val="-3"/>
          <w:sz w:val="32"/>
          <w:szCs w:val="32"/>
          <w:lang w:eastAsia="zh-CN"/>
        </w:rPr>
        <w:t>%。</w:t>
      </w:r>
    </w:p>
    <w:p w14:paraId="0391E90E">
      <w:pPr>
        <w:pageBreakBefore w:val="0"/>
        <w:widowControl w:val="0"/>
        <w:kinsoku/>
        <w:wordWrap/>
        <w:overflowPunct/>
        <w:topLinePunct w:val="0"/>
        <w:autoSpaceDE/>
        <w:autoSpaceDN/>
        <w:bidi w:val="0"/>
        <w:adjustRightInd/>
        <w:snapToGrid/>
        <w:spacing w:line="600" w:lineRule="exact"/>
        <w:ind w:left="0" w:right="0" w:firstLine="628" w:firstLineChars="200"/>
        <w:textAlignment w:val="auto"/>
        <w:outlineLvl w:val="1"/>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spacing w:val="-3"/>
          <w:sz w:val="32"/>
          <w:szCs w:val="32"/>
          <w:lang w:eastAsia="zh-CN"/>
        </w:rPr>
        <w:t>（图2：收入决算结构图）（饼状图）</w:t>
      </w:r>
    </w:p>
    <w:p w14:paraId="2BD0E455">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仿宋_GB2312" w:eastAsia="仿宋_GB2312"/>
          <w:sz w:val="32"/>
          <w:szCs w:val="32"/>
          <w:lang w:eastAsia="zh-CN"/>
        </w:rPr>
        <w:drawing>
          <wp:inline distT="0" distB="0" distL="114300" distR="114300">
            <wp:extent cx="3712845" cy="1906905"/>
            <wp:effectExtent l="4445" t="4445" r="16510" b="1270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070970">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8" w:name="_Toc15377207"/>
      <w:bookmarkStart w:id="19"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18"/>
      <w:bookmarkEnd w:id="19"/>
    </w:p>
    <w:p w14:paraId="297D7008">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8" w:firstLineChars="200"/>
        <w:jc w:val="left"/>
        <w:textAlignment w:val="auto"/>
        <w:outlineLvl w:val="1"/>
        <w:rPr>
          <w:rFonts w:hint="eastAsia" w:ascii="仿宋_GB2312" w:hAnsi="仿宋_GB2312" w:eastAsia="仿宋_GB2312" w:cs="仿宋_GB2312"/>
          <w:spacing w:val="-3"/>
          <w:kern w:val="2"/>
          <w:sz w:val="32"/>
          <w:szCs w:val="32"/>
          <w:lang w:val="en-US" w:eastAsia="zh-CN" w:bidi="ar-SA"/>
        </w:rPr>
      </w:pPr>
      <w:r>
        <w:rPr>
          <w:rFonts w:hint="eastAsia" w:ascii="仿宋_GB2312" w:hAnsi="仿宋_GB2312" w:eastAsia="仿宋_GB2312" w:cs="仿宋_GB2312"/>
          <w:spacing w:val="-3"/>
          <w:kern w:val="2"/>
          <w:sz w:val="32"/>
          <w:szCs w:val="32"/>
          <w:lang w:val="en-US" w:eastAsia="zh-CN" w:bidi="ar-SA"/>
        </w:rPr>
        <w:t>2024年度本年支出合计814.75万元，其中：基本支出440.21万元，占54.03%；项目支出374.55万元，占45.97%；</w:t>
      </w:r>
    </w:p>
    <w:p w14:paraId="4EA3A548">
      <w:pPr>
        <w:ind w:firstLine="785" w:firstLineChars="250"/>
        <w:rPr>
          <w:rFonts w:hint="eastAsia" w:ascii="仿宋_GB2312" w:hAnsi="仿宋_GB2312" w:eastAsia="仿宋_GB2312" w:cs="仿宋_GB2312"/>
          <w:spacing w:val="-3"/>
          <w:kern w:val="2"/>
          <w:sz w:val="32"/>
          <w:szCs w:val="32"/>
          <w:lang w:val="en-US" w:eastAsia="zh-CN" w:bidi="ar-SA"/>
        </w:rPr>
      </w:pPr>
      <w:r>
        <w:rPr>
          <w:rFonts w:hint="eastAsia" w:ascii="仿宋_GB2312" w:hAnsi="仿宋_GB2312" w:eastAsia="仿宋_GB2312" w:cs="仿宋_GB2312"/>
          <w:spacing w:val="-3"/>
          <w:kern w:val="2"/>
          <w:sz w:val="32"/>
          <w:szCs w:val="32"/>
          <w:lang w:val="en-US" w:eastAsia="zh-CN" w:bidi="ar-SA"/>
        </w:rPr>
        <w:t>（图3：支出决算结构图）（饼状图）</w:t>
      </w:r>
    </w:p>
    <w:p w14:paraId="6C6DD00B">
      <w:pPr>
        <w:ind w:firstLine="800" w:firstLineChars="250"/>
        <w:rPr>
          <w:rFonts w:hint="eastAsia" w:ascii="Times New Roman" w:hAnsi="Times New Roman" w:eastAsia="仿宋_GB2312" w:cs="仿宋_GB2312"/>
          <w:color w:val="auto"/>
          <w:sz w:val="32"/>
          <w:szCs w:val="32"/>
          <w:highlight w:val="none"/>
          <w:lang w:eastAsia="zh-CN"/>
        </w:rPr>
      </w:pPr>
      <w:r>
        <w:rPr>
          <w:rFonts w:ascii="仿宋_GB2312" w:eastAsia="仿宋_GB2312"/>
          <w:color w:val="auto"/>
          <w:sz w:val="32"/>
          <w:szCs w:val="32"/>
          <w:highlight w:val="none"/>
        </w:rPr>
        <w:drawing>
          <wp:inline distT="0" distB="0" distL="114300" distR="114300">
            <wp:extent cx="3820160" cy="2581275"/>
            <wp:effectExtent l="4445" t="4445" r="23495"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FFAF38">
      <w:pPr>
        <w:spacing w:line="600" w:lineRule="exact"/>
        <w:ind w:firstLine="640" w:firstLineChars="200"/>
        <w:outlineLvl w:val="1"/>
        <w:rPr>
          <w:rStyle w:val="31"/>
          <w:rFonts w:ascii="Times New Roman" w:hAnsi="Times New Roman" w:eastAsia="黑体"/>
          <w:b w:val="0"/>
          <w:color w:val="auto"/>
          <w:highlight w:val="none"/>
        </w:rPr>
      </w:pPr>
      <w:bookmarkStart w:id="20" w:name="_Toc15396606"/>
      <w:bookmarkStart w:id="21" w:name="_Toc15377208"/>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0"/>
      <w:bookmarkEnd w:id="21"/>
    </w:p>
    <w:p w14:paraId="5496A0DA">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2024年度财政拨款收入、支出总计均为</w:t>
      </w:r>
      <w:r>
        <w:rPr>
          <w:rFonts w:hint="eastAsia" w:ascii="仿宋_GB2312" w:hAnsi="仿宋_GB2312" w:eastAsia="仿宋_GB2312" w:cs="仿宋_GB2312"/>
          <w:color w:val="auto"/>
          <w:sz w:val="32"/>
          <w:szCs w:val="32"/>
          <w:highlight w:val="none"/>
          <w:lang w:eastAsia="zh-CN"/>
        </w:rPr>
        <w:t>814.75</w:t>
      </w:r>
      <w:r>
        <w:rPr>
          <w:rFonts w:hint="eastAsia" w:ascii="仿宋_GB2312" w:hAnsi="仿宋_GB2312" w:eastAsia="仿宋_GB2312" w:cs="仿宋_GB2312"/>
          <w:color w:val="auto"/>
          <w:sz w:val="32"/>
          <w:szCs w:val="32"/>
          <w:highlight w:val="none"/>
          <w:lang w:val="en-US" w:eastAsia="zh-CN"/>
        </w:rPr>
        <w:t>万元。与2023年度相比，财政拨款收入总计、支出总计</w:t>
      </w:r>
      <w:r>
        <w:rPr>
          <w:rFonts w:hint="eastAsia" w:ascii="仿宋_GB2312" w:hAnsi="仿宋_GB2312" w:eastAsia="仿宋_GB2312" w:cs="仿宋_GB2312"/>
          <w:color w:val="auto"/>
          <w:sz w:val="32"/>
          <w:szCs w:val="32"/>
          <w:highlight w:val="none"/>
          <w:lang w:eastAsia="zh-CN"/>
        </w:rPr>
        <w:t>各减少</w:t>
      </w:r>
      <w:r>
        <w:rPr>
          <w:rFonts w:hint="eastAsia" w:ascii="仿宋_GB2312" w:hAnsi="仿宋_GB2312" w:eastAsia="仿宋_GB2312" w:cs="仿宋_GB2312"/>
          <w:color w:val="auto"/>
          <w:sz w:val="32"/>
          <w:szCs w:val="32"/>
          <w:highlight w:val="none"/>
          <w:lang w:val="en-US" w:eastAsia="zh-CN"/>
        </w:rPr>
        <w:t>218.83</w:t>
      </w:r>
      <w:r>
        <w:rPr>
          <w:rFonts w:hint="eastAsia" w:ascii="仿宋_GB2312" w:hAnsi="仿宋_GB2312" w:eastAsia="仿宋_GB2312" w:cs="仿宋_GB2312"/>
          <w:color w:val="auto"/>
          <w:sz w:val="32"/>
          <w:szCs w:val="32"/>
          <w:highlight w:val="none"/>
          <w:lang w:eastAsia="zh-CN"/>
        </w:rPr>
        <w:t>万元，下降</w:t>
      </w:r>
      <w:r>
        <w:rPr>
          <w:rFonts w:hint="eastAsia" w:ascii="仿宋_GB2312" w:hAnsi="仿宋_GB2312" w:eastAsia="仿宋_GB2312" w:cs="仿宋_GB2312"/>
          <w:color w:val="auto"/>
          <w:sz w:val="32"/>
          <w:szCs w:val="32"/>
          <w:highlight w:val="none"/>
          <w:lang w:val="en-US" w:eastAsia="zh-CN"/>
        </w:rPr>
        <w:t>26.86</w:t>
      </w:r>
      <w:r>
        <w:rPr>
          <w:rFonts w:hint="eastAsia" w:ascii="仿宋_GB2312" w:hAnsi="仿宋_GB2312" w:eastAsia="仿宋_GB2312" w:cs="仿宋_GB2312"/>
          <w:color w:val="auto"/>
          <w:sz w:val="32"/>
          <w:szCs w:val="32"/>
          <w:highlight w:val="none"/>
          <w:lang w:eastAsia="zh-CN"/>
        </w:rPr>
        <w:t>%。主要变动原因是项目减少。</w:t>
      </w:r>
    </w:p>
    <w:p w14:paraId="5E7ACDAE">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489CA853">
      <w:pPr>
        <w:pStyle w:val="2"/>
        <w:rPr>
          <w:rFonts w:hint="eastAsia"/>
          <w:lang w:val="en-US" w:eastAsia="zh-CN"/>
        </w:rPr>
      </w:pPr>
      <w:r>
        <w:rPr>
          <w:rFonts w:hint="eastAsia"/>
          <w:lang w:val="zh-CN"/>
        </w:rPr>
        <w:drawing>
          <wp:inline distT="0" distB="0" distL="114300" distR="114300">
            <wp:extent cx="4949190" cy="2414905"/>
            <wp:effectExtent l="4445" t="4445" r="18415" b="190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CC20FE6">
      <w:pPr>
        <w:spacing w:line="600" w:lineRule="exact"/>
        <w:ind w:firstLine="640" w:firstLineChars="200"/>
        <w:outlineLvl w:val="1"/>
        <w:rPr>
          <w:rStyle w:val="31"/>
          <w:rFonts w:ascii="Times New Roman" w:hAnsi="Times New Roman" w:eastAsia="黑体"/>
          <w:b w:val="0"/>
          <w:color w:val="auto"/>
          <w:highlight w:val="none"/>
        </w:rPr>
      </w:pPr>
      <w:bookmarkStart w:id="22" w:name="_Toc15396607"/>
      <w:bookmarkStart w:id="23"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2"/>
      <w:bookmarkEnd w:id="23"/>
    </w:p>
    <w:p w14:paraId="2BBF7337">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24" w:name="_Toc15377210"/>
      <w:r>
        <w:rPr>
          <w:rFonts w:hint="eastAsia" w:ascii="Times New Roman" w:hAnsi="Times New Roman" w:eastAsia="楷体_GB2312" w:cs="楷体_GB2312"/>
          <w:b w:val="0"/>
          <w:bCs/>
          <w:color w:val="auto"/>
          <w:sz w:val="32"/>
          <w:szCs w:val="32"/>
          <w:highlight w:val="none"/>
        </w:rPr>
        <w:t>（一）一般公共预算财政拨款支出决算总体情况</w:t>
      </w:r>
      <w:bookmarkEnd w:id="24"/>
    </w:p>
    <w:p w14:paraId="0D2C224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度一般公共预算财政拨款支出518.69万元，占本年支出合计的63.66%。与2023年度相比，一般公共预算财政拨款支出增加60.38万元，增长11.64%。主要变动原因是政府性基金预算财政拨款项目支出调整为一般公共预算财政拨款支出。</w:t>
      </w:r>
    </w:p>
    <w:p w14:paraId="03B9CC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3B4C4A14">
      <w:pPr>
        <w:spacing w:line="600" w:lineRule="exact"/>
        <w:ind w:firstLine="640"/>
        <w:rPr>
          <w:rFonts w:hint="eastAsia" w:ascii="Times New Roman" w:hAnsi="Times New Roman" w:eastAsia="楷体_GB2312" w:cs="楷体_GB2312"/>
          <w:b w:val="0"/>
          <w:bCs w:val="0"/>
          <w:color w:val="auto"/>
          <w:sz w:val="32"/>
          <w:szCs w:val="32"/>
          <w:highlight w:val="none"/>
        </w:rPr>
      </w:pPr>
      <w:r>
        <w:rPr>
          <w:rFonts w:hint="eastAsia" w:eastAsia="仿宋_GB2312"/>
          <w:b w:val="0"/>
          <w:bCs w:val="0"/>
          <w:lang w:eastAsia="zh-CN"/>
        </w:rPr>
        <w:drawing>
          <wp:anchor distT="0" distB="0" distL="114300" distR="114300" simplePos="0" relativeHeight="251661312" behindDoc="0" locked="0" layoutInCell="1" allowOverlap="1">
            <wp:simplePos x="0" y="0"/>
            <wp:positionH relativeFrom="column">
              <wp:posOffset>675005</wp:posOffset>
            </wp:positionH>
            <wp:positionV relativeFrom="paragraph">
              <wp:posOffset>71120</wp:posOffset>
            </wp:positionV>
            <wp:extent cx="4323715" cy="2510155"/>
            <wp:effectExtent l="4445" t="5080" r="15240" b="1841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bookmarkStart w:id="25" w:name="_Toc15377211"/>
      <w:r>
        <w:rPr>
          <w:rFonts w:hint="eastAsia" w:ascii="Times New Roman" w:hAnsi="Times New Roman" w:eastAsia="楷体_GB2312" w:cs="楷体_GB2312"/>
          <w:b w:val="0"/>
          <w:bCs w:val="0"/>
          <w:color w:val="auto"/>
          <w:sz w:val="32"/>
          <w:szCs w:val="32"/>
          <w:highlight w:val="none"/>
        </w:rPr>
        <w:t>（二）一般公共预算财政拨款支出决算结构情况</w:t>
      </w:r>
      <w:bookmarkEnd w:id="25"/>
    </w:p>
    <w:p w14:paraId="6BCC595E">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drawing>
          <wp:anchor distT="0" distB="0" distL="114300" distR="114300" simplePos="0" relativeHeight="251662336" behindDoc="0" locked="0" layoutInCell="1" allowOverlap="1">
            <wp:simplePos x="0" y="0"/>
            <wp:positionH relativeFrom="column">
              <wp:posOffset>1101090</wp:posOffset>
            </wp:positionH>
            <wp:positionV relativeFrom="paragraph">
              <wp:posOffset>1758950</wp:posOffset>
            </wp:positionV>
            <wp:extent cx="4047490" cy="3030855"/>
            <wp:effectExtent l="4445" t="4445" r="5715" b="1270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_GB2312" w:hAnsi="仿宋_GB2312" w:eastAsia="仿宋_GB2312" w:cs="仿宋_GB2312"/>
          <w:color w:val="auto"/>
          <w:kern w:val="2"/>
          <w:sz w:val="32"/>
          <w:szCs w:val="32"/>
          <w:highlight w:val="none"/>
          <w:lang w:val="en-US" w:eastAsia="zh-CN" w:bidi="ar-SA"/>
        </w:rPr>
        <w:t>2024年度一般公共预算财政拨款支出518.69万元，主要用于以下方面：一般公共服务支出346.04万元，占66.71%；社会保障和就业支出46.29万元，占8.92%；卫生健康支出</w:t>
      </w:r>
      <w:r>
        <w:rPr>
          <w:rFonts w:hint="eastAsia" w:ascii="Times New Roman" w:hAnsi="Times New Roman" w:eastAsia="仿宋_GB2312" w:cs="仿宋_GB2312"/>
          <w:color w:val="auto"/>
          <w:kern w:val="2"/>
          <w:sz w:val="32"/>
          <w:szCs w:val="32"/>
          <w:highlight w:val="none"/>
          <w:lang w:val="en-US" w:eastAsia="zh-CN" w:bidi="ar-SA"/>
        </w:rPr>
        <w:t>7.71万元，占</w:t>
      </w:r>
      <w:r>
        <w:rPr>
          <w:rFonts w:hint="eastAsia" w:eastAsia="仿宋_GB2312" w:cs="仿宋_GB2312"/>
          <w:color w:val="auto"/>
          <w:kern w:val="2"/>
          <w:sz w:val="32"/>
          <w:szCs w:val="32"/>
          <w:highlight w:val="none"/>
          <w:lang w:val="en-US" w:eastAsia="zh-CN" w:bidi="ar-SA"/>
        </w:rPr>
        <w:t>1.49</w:t>
      </w:r>
      <w:r>
        <w:rPr>
          <w:rFonts w:hint="eastAsia" w:ascii="Times New Roman" w:hAnsi="Times New Roman" w:eastAsia="仿宋_GB2312" w:cs="仿宋_GB2312"/>
          <w:color w:val="auto"/>
          <w:kern w:val="2"/>
          <w:sz w:val="32"/>
          <w:szCs w:val="32"/>
          <w:highlight w:val="none"/>
          <w:lang w:val="en-US" w:eastAsia="zh-CN" w:bidi="ar-SA"/>
        </w:rPr>
        <w:t>%；农林水支出93.46万元，占18.02%；</w:t>
      </w:r>
      <w:r>
        <w:rPr>
          <w:rFonts w:hint="eastAsia" w:ascii="仿宋_GB2312" w:hAnsi="仿宋_GB2312" w:eastAsia="仿宋_GB2312" w:cs="仿宋_GB2312"/>
          <w:color w:val="auto"/>
          <w:kern w:val="2"/>
          <w:sz w:val="32"/>
          <w:szCs w:val="32"/>
          <w:highlight w:val="none"/>
          <w:lang w:val="en-US" w:eastAsia="zh-CN" w:bidi="ar-SA"/>
        </w:rPr>
        <w:t>住房保障支出25.19万元，占4.86%。</w:t>
      </w:r>
    </w:p>
    <w:p w14:paraId="39DB6F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3DD9A41F">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26" w:name="_Toc15377212"/>
      <w:r>
        <w:rPr>
          <w:rFonts w:hint="eastAsia" w:ascii="Times New Roman" w:hAnsi="Times New Roman" w:eastAsia="楷体_GB2312" w:cs="楷体_GB2312"/>
          <w:b w:val="0"/>
          <w:bCs/>
          <w:color w:val="auto"/>
          <w:sz w:val="32"/>
          <w:szCs w:val="32"/>
          <w:highlight w:val="none"/>
        </w:rPr>
        <w:t>（三）一般公共预算财政拨款支出决算具体情况</w:t>
      </w:r>
      <w:bookmarkEnd w:id="26"/>
    </w:p>
    <w:p w14:paraId="3339F5E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27" w:name="_Toc15377444"/>
      <w:bookmarkStart w:id="28" w:name="_Toc15378460"/>
      <w:bookmarkStart w:id="29" w:name="_Toc15377213"/>
      <w:r>
        <w:rPr>
          <w:rFonts w:hint="eastAsia" w:ascii="仿宋_GB2312" w:hAnsi="仿宋_GB2312" w:eastAsia="仿宋_GB2312" w:cs="仿宋_GB2312"/>
          <w:color w:val="auto"/>
          <w:kern w:val="2"/>
          <w:sz w:val="32"/>
          <w:szCs w:val="32"/>
          <w:highlight w:val="none"/>
          <w:lang w:val="en-US" w:eastAsia="zh-CN" w:bidi="ar-SA"/>
        </w:rPr>
        <w:t>2024年度一般公共预算财政拨款支出决算数为518.69，完成预算100%。其中：</w:t>
      </w:r>
      <w:bookmarkEnd w:id="27"/>
      <w:bookmarkEnd w:id="28"/>
      <w:bookmarkEnd w:id="29"/>
    </w:p>
    <w:p w14:paraId="76F95695">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1.一般公共服务（类）其他共产党事务支出（款）行政运行（项）：支出决算为211.00万元，完成预算100%，</w:t>
      </w:r>
      <w:r>
        <w:rPr>
          <w:rFonts w:hint="eastAsia" w:ascii="仿宋_GB2312" w:hAnsi="仿宋_GB2312" w:eastAsia="仿宋_GB2312" w:cs="仿宋_GB2312"/>
          <w:color w:val="auto"/>
          <w:kern w:val="2"/>
          <w:sz w:val="32"/>
          <w:szCs w:val="32"/>
          <w:highlight w:val="none"/>
          <w:lang w:val="zh-CN" w:eastAsia="zh-CN" w:bidi="ar-SA"/>
        </w:rPr>
        <w:t>决算数与预算数持平。</w:t>
      </w:r>
    </w:p>
    <w:p w14:paraId="441DBCDD">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2.一般公共服务（类）其他共产党事务支出（款）一般行政管理事务（项）：支出决算为68.48万元，完成预算100%，</w:t>
      </w:r>
      <w:r>
        <w:rPr>
          <w:rFonts w:hint="eastAsia" w:ascii="仿宋_GB2312" w:hAnsi="仿宋_GB2312" w:eastAsia="仿宋_GB2312" w:cs="仿宋_GB2312"/>
          <w:color w:val="auto"/>
          <w:kern w:val="2"/>
          <w:sz w:val="32"/>
          <w:szCs w:val="32"/>
          <w:highlight w:val="none"/>
          <w:lang w:val="zh-CN" w:eastAsia="zh-CN" w:bidi="ar-SA"/>
        </w:rPr>
        <w:t>决算数与预算数持平。</w:t>
      </w:r>
    </w:p>
    <w:p w14:paraId="027259AE">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3.一般公共服务（类）其他共产党事务支出（款）事业运行（项）：支出决算为66.55万元，完成预算100%，</w:t>
      </w:r>
      <w:r>
        <w:rPr>
          <w:rFonts w:hint="eastAsia" w:ascii="仿宋_GB2312" w:hAnsi="仿宋_GB2312" w:eastAsia="仿宋_GB2312" w:cs="仿宋_GB2312"/>
          <w:color w:val="auto"/>
          <w:kern w:val="2"/>
          <w:sz w:val="32"/>
          <w:szCs w:val="32"/>
          <w:highlight w:val="none"/>
          <w:lang w:val="zh-CN" w:eastAsia="zh-CN" w:bidi="ar-SA"/>
        </w:rPr>
        <w:t>决算数与预算数持平。</w:t>
      </w:r>
    </w:p>
    <w:p w14:paraId="53D8AB69">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4.社会保障和就业（类）行政事业单位养老支出（款）机关事业单位基本养老保险缴费支出（项）：支出决算为28.71万元，完成预算100%，</w:t>
      </w:r>
      <w:r>
        <w:rPr>
          <w:rFonts w:hint="eastAsia" w:ascii="仿宋_GB2312" w:hAnsi="仿宋_GB2312" w:eastAsia="仿宋_GB2312" w:cs="仿宋_GB2312"/>
          <w:color w:val="auto"/>
          <w:kern w:val="2"/>
          <w:sz w:val="32"/>
          <w:szCs w:val="32"/>
          <w:highlight w:val="none"/>
          <w:lang w:val="zh-CN" w:eastAsia="zh-CN" w:bidi="ar-SA"/>
        </w:rPr>
        <w:t>决算数与预算数持平。</w:t>
      </w:r>
    </w:p>
    <w:p w14:paraId="7BD33D53">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5.社会保障和就业（类）行政事业单位养老支出（款）机关事业单位职业年金缴费支出（项）：支出决算为14.05万元，完成预算100%，</w:t>
      </w:r>
      <w:r>
        <w:rPr>
          <w:rFonts w:hint="eastAsia" w:ascii="仿宋_GB2312" w:hAnsi="仿宋_GB2312" w:eastAsia="仿宋_GB2312" w:cs="仿宋_GB2312"/>
          <w:color w:val="auto"/>
          <w:kern w:val="2"/>
          <w:sz w:val="32"/>
          <w:szCs w:val="32"/>
          <w:highlight w:val="none"/>
          <w:lang w:val="zh-CN" w:eastAsia="zh-CN" w:bidi="ar-SA"/>
        </w:rPr>
        <w:t>决算数与预算数持平。</w:t>
      </w:r>
    </w:p>
    <w:p w14:paraId="480766C7">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6.社会保障和就业（类）其他社会保障和就业支出（款）其他社会保障和就业支出（项）：支出决算为3.53万元，完成预算100%，</w:t>
      </w:r>
      <w:r>
        <w:rPr>
          <w:rFonts w:hint="eastAsia" w:ascii="仿宋_GB2312" w:hAnsi="仿宋_GB2312" w:eastAsia="仿宋_GB2312" w:cs="仿宋_GB2312"/>
          <w:color w:val="auto"/>
          <w:kern w:val="2"/>
          <w:sz w:val="32"/>
          <w:szCs w:val="32"/>
          <w:highlight w:val="none"/>
          <w:lang w:val="zh-CN" w:eastAsia="zh-CN" w:bidi="ar-SA"/>
        </w:rPr>
        <w:t>决算数与预算数持平。</w:t>
      </w:r>
    </w:p>
    <w:p w14:paraId="6A846BFE">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7.卫生健康（类）行政事业单位医疗（款）行政单位医疗（项）：支出决算为7.71万元，完成预算100%，</w:t>
      </w:r>
      <w:r>
        <w:rPr>
          <w:rFonts w:hint="eastAsia" w:ascii="仿宋_GB2312" w:hAnsi="仿宋_GB2312" w:eastAsia="仿宋_GB2312" w:cs="仿宋_GB2312"/>
          <w:color w:val="auto"/>
          <w:kern w:val="2"/>
          <w:sz w:val="32"/>
          <w:szCs w:val="32"/>
          <w:highlight w:val="none"/>
          <w:lang w:val="zh-CN" w:eastAsia="zh-CN" w:bidi="ar-SA"/>
        </w:rPr>
        <w:t>决算数与预算数持平。</w:t>
      </w:r>
    </w:p>
    <w:p w14:paraId="782CA259">
      <w:pPr>
        <w:spacing w:line="600" w:lineRule="exact"/>
        <w:ind w:firstLine="640"/>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8.农林水支出（类）巩固脱贫攻坚成果衔接乡村振兴（款）其他巩固脱贫攻坚成果衔接乡村振兴支出（项）：支出决算为93.46万元，完成预算100%，</w:t>
      </w:r>
      <w:r>
        <w:rPr>
          <w:rFonts w:hint="eastAsia" w:ascii="仿宋_GB2312" w:hAnsi="仿宋_GB2312" w:eastAsia="仿宋_GB2312" w:cs="仿宋_GB2312"/>
          <w:color w:val="auto"/>
          <w:kern w:val="2"/>
          <w:sz w:val="32"/>
          <w:szCs w:val="32"/>
          <w:highlight w:val="none"/>
          <w:lang w:val="zh-CN" w:eastAsia="zh-CN" w:bidi="ar-SA"/>
        </w:rPr>
        <w:t>决算数与预算数持平。</w:t>
      </w:r>
    </w:p>
    <w:p w14:paraId="6C5F5DF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9.住房保障支出（类）住房改革支出（款）住房公积金（项）：支出决算为25.19万元，完成预算100%，</w:t>
      </w:r>
      <w:r>
        <w:rPr>
          <w:rFonts w:hint="eastAsia" w:ascii="仿宋_GB2312" w:hAnsi="仿宋_GB2312" w:eastAsia="仿宋_GB2312" w:cs="仿宋_GB2312"/>
          <w:color w:val="auto"/>
          <w:kern w:val="2"/>
          <w:sz w:val="32"/>
          <w:szCs w:val="32"/>
          <w:highlight w:val="none"/>
          <w:lang w:val="zh-CN" w:eastAsia="zh-CN" w:bidi="ar-SA"/>
        </w:rPr>
        <w:t>决算数与预算数持平。</w:t>
      </w:r>
    </w:p>
    <w:p w14:paraId="2C47C681">
      <w:pPr>
        <w:tabs>
          <w:tab w:val="right" w:pos="8306"/>
        </w:tabs>
        <w:spacing w:line="600" w:lineRule="exact"/>
        <w:ind w:firstLine="640"/>
        <w:outlineLvl w:val="1"/>
        <w:rPr>
          <w:rStyle w:val="31"/>
          <w:rFonts w:ascii="Times New Roman" w:hAnsi="Times New Roman"/>
          <w:color w:val="auto"/>
          <w:highlight w:val="none"/>
        </w:rPr>
      </w:pPr>
      <w:bookmarkStart w:id="30" w:name="_Toc15377214"/>
      <w:bookmarkStart w:id="31"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0"/>
      <w:bookmarkEnd w:id="31"/>
      <w:r>
        <w:rPr>
          <w:rStyle w:val="31"/>
          <w:rFonts w:ascii="Times New Roman" w:hAnsi="Times New Roman" w:eastAsia="黑体"/>
          <w:b w:val="0"/>
          <w:color w:val="auto"/>
          <w:highlight w:val="none"/>
        </w:rPr>
        <w:tab/>
      </w:r>
    </w:p>
    <w:p w14:paraId="0934724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2024年度一般公共预算财政拨款基本支出440.21万元，其中：</w:t>
      </w:r>
    </w:p>
    <w:p w14:paraId="79468DD1">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人员经费389.96万元，主要包括：基本工资、津贴补贴、奖金、伙食补助费、绩效工资、机关事业单位基本养老保险缴费、职业年金缴费、职工基本医疗保险缴费、其他社会保障缴费、住房公积金、其他工资福利支出、生活补助。</w:t>
      </w:r>
      <w:r>
        <w:rPr>
          <w:rFonts w:hint="eastAsia" w:ascii="仿宋_GB2312" w:hAnsi="仿宋_GB2312" w:eastAsia="仿宋_GB2312" w:cs="仿宋_GB2312"/>
          <w:color w:val="auto"/>
          <w:kern w:val="2"/>
          <w:sz w:val="32"/>
          <w:szCs w:val="32"/>
          <w:highlight w:val="none"/>
          <w:lang w:val="en-US" w:eastAsia="zh-CN" w:bidi="ar-SA"/>
        </w:rPr>
        <w:br w:type="textWrapping"/>
      </w:r>
      <w:r>
        <w:rPr>
          <w:rFonts w:hint="eastAsia" w:ascii="仿宋_GB2312" w:hAnsi="仿宋_GB2312" w:eastAsia="仿宋_GB2312" w:cs="仿宋_GB2312"/>
          <w:color w:val="auto"/>
          <w:kern w:val="2"/>
          <w:sz w:val="32"/>
          <w:szCs w:val="32"/>
          <w:highlight w:val="none"/>
          <w:lang w:val="en-US" w:eastAsia="zh-CN" w:bidi="ar-SA"/>
        </w:rPr>
        <w:t>　　公用经费50.25万元，主要包括：办公费、差旅费、租赁费、培训费、工会经费、福利费、其他交通费用、其他商品和服务支出。</w:t>
      </w:r>
      <w:bookmarkStart w:id="32" w:name="_Toc15377215"/>
      <w:bookmarkStart w:id="33" w:name="_Toc15396609"/>
    </w:p>
    <w:p w14:paraId="6F6AC823">
      <w:pPr>
        <w:spacing w:line="600" w:lineRule="exact"/>
        <w:ind w:firstLine="640"/>
        <w:outlineLvl w:val="1"/>
        <w:rPr>
          <w:rStyle w:val="31"/>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2"/>
      <w:bookmarkEnd w:id="33"/>
    </w:p>
    <w:p w14:paraId="3FB1349F">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34" w:name="_Toc15377216"/>
      <w:r>
        <w:rPr>
          <w:rFonts w:hint="eastAsia" w:ascii="Times New Roman" w:hAnsi="Times New Roman" w:eastAsia="楷体_GB2312" w:cs="楷体_GB2312"/>
          <w:b w:val="0"/>
          <w:bCs/>
          <w:color w:val="auto"/>
          <w:sz w:val="32"/>
          <w:szCs w:val="32"/>
          <w:highlight w:val="none"/>
        </w:rPr>
        <w:t>（一）“三公”经费财政拨款支出决算总体情况说明</w:t>
      </w:r>
      <w:bookmarkEnd w:id="34"/>
    </w:p>
    <w:p w14:paraId="7E853B6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2024年度“三公”经费财政拨款支出决算为0万元，完成预算0%，较上年度减少0.05万元，下降100%。决算数与预算数持平。</w:t>
      </w:r>
    </w:p>
    <w:p w14:paraId="4176857F">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35" w:name="_Toc15377217"/>
      <w:r>
        <w:rPr>
          <w:rFonts w:hint="eastAsia" w:ascii="Times New Roman" w:hAnsi="Times New Roman" w:eastAsia="楷体_GB2312" w:cs="楷体_GB2312"/>
          <w:b w:val="0"/>
          <w:bCs/>
          <w:color w:val="auto"/>
          <w:sz w:val="32"/>
          <w:szCs w:val="32"/>
          <w:highlight w:val="none"/>
        </w:rPr>
        <w:t>（二）“三公”经费财政拨款支出决算具体情况说明</w:t>
      </w:r>
      <w:bookmarkEnd w:id="35"/>
    </w:p>
    <w:p w14:paraId="200AF96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2024年度“三公”经费财政拨款支出决算中，因公出国（境）费支出决算0万元，占0%；公务用车购置及运行维护费支出决算0万元，占0%；公务接待费支出决算0万元，占0%。具体情况如下：</w:t>
      </w:r>
    </w:p>
    <w:p w14:paraId="41AF780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（图7：“三公”经费财政拨款支出结构）（饼状图）</w:t>
      </w:r>
    </w:p>
    <w:p w14:paraId="0BA92BAC">
      <w:pPr>
        <w:pStyle w:val="16"/>
        <w:rPr>
          <w:rFonts w:hint="eastAsia"/>
          <w:lang w:val="en-US" w:eastAsia="zh-CN"/>
        </w:rPr>
      </w:pPr>
      <w:r>
        <w:rPr>
          <w:rFonts w:hint="eastAsia" w:ascii="仿宋_GB2312" w:hAnsi="仿宋_GB2312" w:eastAsia="仿宋_GB2312"/>
          <w:color w:val="000000"/>
          <w:kern w:val="2"/>
          <w:sz w:val="32"/>
          <w:szCs w:val="24"/>
          <w:lang w:val="zh-CN"/>
        </w:rPr>
        <w:drawing>
          <wp:inline distT="0" distB="0" distL="114300" distR="114300">
            <wp:extent cx="3104515" cy="2256155"/>
            <wp:effectExtent l="4445" t="5080" r="15240" b="571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B6403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1.因公出国（境）经费支出0万元，完成预算0%。全年安排因公出国（境）团组0次，出国（境）0人。因公出国（境）支出决算比2023年持平。</w:t>
      </w:r>
    </w:p>
    <w:p w14:paraId="4097054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2.公务用车购置及运行维护费支出0万元，完成预算0%。公务用车购置及运行维护费支出决算比2023年度持平。</w:t>
      </w:r>
    </w:p>
    <w:p w14:paraId="7AE8EEC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7501573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公务用车运行维护费支出0万元。</w:t>
      </w:r>
    </w:p>
    <w:p w14:paraId="2AD794E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3.公务接待费支出0万元，完成预算0%。公务接待费支出决算比2023年度减少0.05万元，下降100%。主要原因是厉行节约。其中：</w:t>
      </w:r>
    </w:p>
    <w:p w14:paraId="3493EF1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国内公务接待支出0万元。</w:t>
      </w:r>
    </w:p>
    <w:p w14:paraId="3F6D77A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外事接待支出0万元。</w:t>
      </w:r>
    </w:p>
    <w:p w14:paraId="2833DE84">
      <w:pPr>
        <w:spacing w:line="600" w:lineRule="exact"/>
        <w:ind w:firstLine="640"/>
        <w:outlineLvl w:val="1"/>
        <w:rPr>
          <w:rStyle w:val="31"/>
          <w:rFonts w:ascii="Times New Roman" w:hAnsi="Times New Roman" w:eastAsia="黑体"/>
          <w:color w:val="auto"/>
          <w:highlight w:val="none"/>
        </w:rPr>
      </w:pPr>
      <w:bookmarkStart w:id="36" w:name="_Toc15377218"/>
      <w:bookmarkStart w:id="37" w:name="_Toc15396610"/>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36"/>
      <w:bookmarkEnd w:id="37"/>
    </w:p>
    <w:p w14:paraId="38153334">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2024年度政府性基金预算财政拨款支出296.06万元，占本年支出合计的36.34%。与2023年度相比，政府性基金预算财政拨款支出减少279.21万元，下降94.31%。主要变动原因是项目减少。</w:t>
      </w:r>
    </w:p>
    <w:p w14:paraId="7B1BE33D">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38" w:name="_Toc15396611"/>
      <w:bookmarkStart w:id="39" w:name="_Toc15377219"/>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38"/>
      <w:bookmarkEnd w:id="39"/>
    </w:p>
    <w:p w14:paraId="46350C67">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2024年度国有资本经营预算财政拨款支出0万元，占本年支出合计的0%。与2023年度相比，国有资本经营预算财政拨款支出持平。</w:t>
      </w:r>
    </w:p>
    <w:p w14:paraId="309B4F4C">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40" w:name="_Toc15396612"/>
      <w:bookmarkStart w:id="41" w:name="_Toc15377221"/>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0"/>
      <w:bookmarkEnd w:id="41"/>
    </w:p>
    <w:p w14:paraId="369E25AD">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42" w:name="_Toc15377222"/>
      <w:r>
        <w:rPr>
          <w:rFonts w:hint="eastAsia" w:ascii="Times New Roman" w:hAnsi="Times New Roman" w:eastAsia="楷体_GB2312" w:cs="楷体_GB2312"/>
          <w:b w:val="0"/>
          <w:bCs/>
          <w:color w:val="auto"/>
          <w:sz w:val="32"/>
          <w:szCs w:val="32"/>
          <w:highlight w:val="none"/>
        </w:rPr>
        <w:t>（一）机关运行经费支出情况</w:t>
      </w:r>
      <w:bookmarkEnd w:id="42"/>
    </w:p>
    <w:p w14:paraId="547E902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2024年度，中共峨边彝族自治县委政法委员会机关运行经费支出50.25万元，比2023年度减少3.81万元，下降7.58%主要原因是人员减少。</w:t>
      </w:r>
    </w:p>
    <w:p w14:paraId="6E1FD236">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43" w:name="_Toc15377223"/>
      <w:r>
        <w:rPr>
          <w:rFonts w:hint="eastAsia" w:ascii="Times New Roman" w:hAnsi="Times New Roman" w:eastAsia="楷体_GB2312" w:cs="楷体_GB2312"/>
          <w:b w:val="0"/>
          <w:bCs/>
          <w:color w:val="auto"/>
          <w:sz w:val="32"/>
          <w:szCs w:val="32"/>
          <w:highlight w:val="none"/>
        </w:rPr>
        <w:t>（二）政府采购支出情况</w:t>
      </w:r>
      <w:bookmarkEnd w:id="43"/>
    </w:p>
    <w:p w14:paraId="52ECB6E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中共峨边彝族自治县委政法委员会政府采购支出总额22.83万元，其中：政府采购货物支出0万元、政府采购工程支出0万元、政府采购服务支出22.83万元。主要用于“雪亮工程”项目采购。授予中小企业合同金额0万元，占政府采购支出总额的0%，其中：授予小微企业合同金额0万元，占政府采购支出总额的0%。</w:t>
      </w:r>
    </w:p>
    <w:p w14:paraId="1B995895">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bookmarkStart w:id="44" w:name="_Toc15377224"/>
      <w:r>
        <w:rPr>
          <w:rFonts w:hint="eastAsia" w:ascii="Times New Roman" w:hAnsi="Times New Roman" w:eastAsia="楷体_GB2312" w:cs="楷体_GB2312"/>
          <w:b w:val="0"/>
          <w:bCs/>
          <w:color w:val="auto"/>
          <w:sz w:val="32"/>
          <w:szCs w:val="32"/>
          <w:highlight w:val="none"/>
        </w:rPr>
        <w:t>（三）国有资产占有使用情况</w:t>
      </w:r>
      <w:bookmarkEnd w:id="44"/>
    </w:p>
    <w:p w14:paraId="31AA9C9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截至2024年12月31日，中共峨边彝族自治县委政法委员会共有车辆0辆，其中：主要负责人用车0辆、机要通信用车0辆、应急保障用车0辆、其他用车0辆。单价100万元（含）以上设备（不含车辆）0台（套）。</w:t>
      </w:r>
    </w:p>
    <w:p w14:paraId="5D435D74">
      <w:pPr>
        <w:spacing w:line="600" w:lineRule="exact"/>
        <w:ind w:firstLine="640" w:firstLineChars="200"/>
        <w:outlineLvl w:val="2"/>
        <w:rPr>
          <w:rFonts w:hint="eastAsia" w:ascii="Times New Roman" w:hAnsi="Times New Roman" w:eastAsia="楷体_GB2312" w:cs="楷体_GB2312"/>
          <w:b w:val="0"/>
          <w:bCs/>
          <w:color w:val="auto"/>
          <w:sz w:val="32"/>
          <w:szCs w:val="32"/>
          <w:highlight w:val="none"/>
        </w:rPr>
      </w:pPr>
      <w:r>
        <w:rPr>
          <w:rFonts w:hint="eastAsia" w:ascii="Times New Roman" w:hAnsi="Times New Roman" w:eastAsia="楷体_GB2312" w:cs="楷体_GB2312"/>
          <w:b w:val="0"/>
          <w:bCs/>
          <w:color w:val="auto"/>
          <w:sz w:val="32"/>
          <w:szCs w:val="32"/>
          <w:highlight w:val="none"/>
        </w:rPr>
        <w:t>（四）预算绩效管理情况</w:t>
      </w:r>
    </w:p>
    <w:p w14:paraId="6C1AFBC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预算绩效管理要求，本单位在2024年度预算编制阶段，组织对平安峨边建设经费等5个项目开展了预算事前绩效评估，对5个项目编制了绩效目标，在预算执行过程中，选取5个项目开展绩效监控，组织对5个项目开展绩效自评，绩效自评表详见第四部分附件。</w:t>
      </w:r>
    </w:p>
    <w:p w14:paraId="16D6CB5B">
      <w:pPr>
        <w:rPr>
          <w:rFonts w:hint="eastAsia" w:ascii="Times New Roman" w:hAnsi="Times New Roman" w:eastAsia="黑体"/>
          <w:color w:val="auto"/>
          <w:sz w:val="44"/>
          <w:szCs w:val="44"/>
          <w:highlight w:val="none"/>
        </w:rPr>
      </w:pPr>
      <w:bookmarkStart w:id="45" w:name="_Toc15396613"/>
      <w:bookmarkStart w:id="46" w:name="_Toc15377225"/>
      <w:r>
        <w:rPr>
          <w:rFonts w:hint="eastAsia" w:ascii="Times New Roman" w:hAnsi="Times New Roman" w:eastAsia="黑体"/>
          <w:color w:val="auto"/>
          <w:sz w:val="44"/>
          <w:szCs w:val="44"/>
          <w:highlight w:val="none"/>
        </w:rPr>
        <w:br w:type="page"/>
      </w:r>
    </w:p>
    <w:p w14:paraId="013F7C2D">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64588407">
      <w:pPr>
        <w:spacing w:line="600" w:lineRule="exact"/>
        <w:jc w:val="left"/>
        <w:rPr>
          <w:rFonts w:ascii="Times New Roman" w:hAnsi="Times New Roman"/>
          <w:b/>
          <w:color w:val="auto"/>
          <w:sz w:val="44"/>
          <w:szCs w:val="44"/>
          <w:highlight w:val="none"/>
        </w:rPr>
      </w:pPr>
    </w:p>
    <w:p w14:paraId="62A8CC90">
      <w:pPr>
        <w:keepNext w:val="0"/>
        <w:keepLines w:val="0"/>
        <w:pageBreakBefore w:val="0"/>
        <w:wordWrap/>
        <w:overflowPunct/>
        <w:topLinePunct w:val="0"/>
        <w:bidi w:val="0"/>
        <w:spacing w:line="600" w:lineRule="exact"/>
        <w:ind w:left="0" w:right="0" w:firstLine="672" w:firstLineChars="200"/>
        <w:rPr>
          <w:rFonts w:hint="eastAsia" w:ascii="仿宋_GB2312" w:hAnsi="仿宋_GB2312" w:eastAsia="仿宋_GB2312" w:cs="仿宋_GB2312"/>
          <w:sz w:val="32"/>
          <w:szCs w:val="32"/>
        </w:rPr>
      </w:pPr>
      <w:bookmarkStart w:id="47" w:name="_Toc15377226"/>
      <w:r>
        <w:rPr>
          <w:rFonts w:hint="eastAsia" w:ascii="仿宋_GB2312" w:hAnsi="仿宋_GB2312" w:eastAsia="仿宋_GB2312" w:cs="仿宋_GB2312"/>
          <w:color w:val="0C0C0C"/>
          <w:spacing w:val="8"/>
          <w:sz w:val="32"/>
          <w:szCs w:val="32"/>
        </w:rPr>
        <w:t>1.财政拨款收入：指单位从同级财政部门取得的财政预算资</w:t>
      </w:r>
      <w:r>
        <w:rPr>
          <w:rFonts w:hint="eastAsia" w:ascii="仿宋_GB2312" w:hAnsi="仿宋_GB2312" w:eastAsia="仿宋_GB2312" w:cs="仿宋_GB2312"/>
          <w:color w:val="0C0C0C"/>
          <w:spacing w:val="-3"/>
          <w:sz w:val="32"/>
          <w:szCs w:val="32"/>
        </w:rPr>
        <w:t>金。</w:t>
      </w:r>
    </w:p>
    <w:p w14:paraId="7982A07B">
      <w:pPr>
        <w:keepNext w:val="0"/>
        <w:keepLines w:val="0"/>
        <w:pageBreakBefore w:val="0"/>
        <w:wordWrap/>
        <w:overflowPunct/>
        <w:topLinePunct w:val="0"/>
        <w:bidi w:val="0"/>
        <w:spacing w:line="600" w:lineRule="exact"/>
        <w:ind w:left="0" w:right="0" w:firstLine="66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C0C0C"/>
          <w:spacing w:val="5"/>
          <w:sz w:val="32"/>
          <w:szCs w:val="32"/>
        </w:rPr>
        <w:t>2.年初结转和结余：指以前年度尚未完成、结转到本年按有关</w:t>
      </w:r>
      <w:r>
        <w:rPr>
          <w:rFonts w:hint="eastAsia" w:ascii="仿宋_GB2312" w:hAnsi="仿宋_GB2312" w:eastAsia="仿宋_GB2312" w:cs="仿宋_GB2312"/>
          <w:color w:val="0C0C0C"/>
          <w:spacing w:val="6"/>
          <w:sz w:val="32"/>
          <w:szCs w:val="32"/>
        </w:rPr>
        <w:t>规定继续使用的资金。</w:t>
      </w:r>
    </w:p>
    <w:p w14:paraId="523C1C9D">
      <w:pPr>
        <w:keepNext w:val="0"/>
        <w:keepLines w:val="0"/>
        <w:pageBreakBefore w:val="0"/>
        <w:wordWrap/>
        <w:overflowPunct/>
        <w:topLinePunct w:val="0"/>
        <w:bidi w:val="0"/>
        <w:spacing w:line="600" w:lineRule="exact"/>
        <w:ind w:left="0" w:right="0" w:firstLine="66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C0C0C"/>
          <w:spacing w:val="5"/>
          <w:sz w:val="32"/>
          <w:szCs w:val="32"/>
        </w:rPr>
        <w:t>3.一般公共服务（类）其他共产党事务支出（款）一般行政管理事务（项）：反映行政单位（包括实行公务员管理的事业单位）未单独设置项级科目的其他项目支出。</w:t>
      </w:r>
    </w:p>
    <w:p w14:paraId="5FD624D4">
      <w:pPr>
        <w:keepNext w:val="0"/>
        <w:keepLines w:val="0"/>
        <w:pageBreakBefore w:val="0"/>
        <w:widowControl/>
        <w:suppressAutoHyphens/>
        <w:kinsoku w:val="0"/>
        <w:wordWrap/>
        <w:overflowPunct/>
        <w:topLinePunct w:val="0"/>
        <w:autoSpaceDE w:val="0"/>
        <w:autoSpaceDN w:val="0"/>
        <w:bidi w:val="0"/>
        <w:adjustRightInd w:val="0"/>
        <w:snapToGrid w:val="0"/>
        <w:spacing w:line="600" w:lineRule="exact"/>
        <w:ind w:left="0" w:right="0" w:firstLine="572" w:firstLineChars="200"/>
        <w:jc w:val="left"/>
        <w:textAlignment w:val="baseline"/>
        <w:rPr>
          <w:rFonts w:hint="eastAsia" w:ascii="仿宋_GB2312" w:hAnsi="仿宋_GB2312" w:eastAsia="仿宋_GB2312" w:cs="仿宋_GB2312"/>
          <w:snapToGrid w:val="0"/>
          <w:color w:val="0C0C0C"/>
          <w:spacing w:val="-17"/>
          <w:kern w:val="0"/>
          <w:sz w:val="32"/>
          <w:szCs w:val="32"/>
          <w:lang w:eastAsia="en-US"/>
        </w:rPr>
      </w:pPr>
      <w:r>
        <w:rPr>
          <w:rFonts w:hint="eastAsia" w:ascii="仿宋_GB2312" w:hAnsi="仿宋_GB2312" w:eastAsia="仿宋_GB2312" w:cs="仿宋_GB2312"/>
          <w:snapToGrid w:val="0"/>
          <w:color w:val="0C0C0C"/>
          <w:spacing w:val="-17"/>
          <w:kern w:val="0"/>
          <w:sz w:val="32"/>
          <w:szCs w:val="32"/>
          <w:lang w:eastAsia="en-US"/>
        </w:rPr>
        <w:t>4.一般公共服务（类）其他共产党事务支出（款）行政运行（项）：反映行政单位（包括实行公务员管理的事业单位）的基本支出。</w:t>
      </w:r>
    </w:p>
    <w:p w14:paraId="4F54E697">
      <w:pPr>
        <w:keepNext w:val="0"/>
        <w:keepLines w:val="0"/>
        <w:pageBreakBefore w:val="0"/>
        <w:widowControl/>
        <w:suppressAutoHyphens/>
        <w:kinsoku w:val="0"/>
        <w:wordWrap/>
        <w:overflowPunct/>
        <w:topLinePunct w:val="0"/>
        <w:autoSpaceDE w:val="0"/>
        <w:autoSpaceDN w:val="0"/>
        <w:bidi w:val="0"/>
        <w:adjustRightInd w:val="0"/>
        <w:snapToGrid w:val="0"/>
        <w:spacing w:line="600" w:lineRule="exact"/>
        <w:ind w:left="0" w:right="0" w:firstLine="572" w:firstLineChars="200"/>
        <w:jc w:val="left"/>
        <w:textAlignment w:val="baseline"/>
        <w:rPr>
          <w:rFonts w:hint="eastAsia" w:ascii="仿宋_GB2312" w:hAnsi="仿宋_GB2312" w:eastAsia="仿宋_GB2312" w:cs="仿宋_GB2312"/>
          <w:snapToGrid w:val="0"/>
          <w:color w:val="0C0C0C"/>
          <w:spacing w:val="-17"/>
          <w:kern w:val="0"/>
          <w:sz w:val="32"/>
          <w:szCs w:val="32"/>
          <w:lang w:eastAsia="en-US"/>
        </w:rPr>
      </w:pPr>
      <w:r>
        <w:rPr>
          <w:rFonts w:hint="eastAsia" w:ascii="仿宋_GB2312" w:hAnsi="仿宋_GB2312" w:eastAsia="仿宋_GB2312" w:cs="仿宋_GB2312"/>
          <w:snapToGrid w:val="0"/>
          <w:color w:val="0C0C0C"/>
          <w:spacing w:val="-17"/>
          <w:kern w:val="0"/>
          <w:sz w:val="32"/>
          <w:szCs w:val="32"/>
          <w:lang w:eastAsia="en-US"/>
        </w:rPr>
        <w:t>5.一般公共服务（类）其他共产党事务支出（款）事业运行（项）：反映事业单位的基本支出，不包括行政单位（包括实行公务员管理的事业单位）后勤服务中心、医务室等附属事业单位。</w:t>
      </w:r>
    </w:p>
    <w:p w14:paraId="2E51E667">
      <w:pPr>
        <w:keepNext w:val="0"/>
        <w:keepLines w:val="0"/>
        <w:pageBreakBefore w:val="0"/>
        <w:wordWrap/>
        <w:overflowPunct/>
        <w:topLinePunct w:val="0"/>
        <w:bidi w:val="0"/>
        <w:spacing w:line="600" w:lineRule="exact"/>
        <w:ind w:left="0" w:right="0" w:firstLine="660" w:firstLineChars="200"/>
        <w:rPr>
          <w:rFonts w:hint="eastAsia" w:ascii="仿宋_GB2312" w:hAnsi="仿宋_GB2312" w:eastAsia="仿宋_GB2312" w:cs="仿宋_GB2312"/>
          <w:color w:val="0C0C0C"/>
          <w:spacing w:val="8"/>
          <w:sz w:val="32"/>
          <w:szCs w:val="32"/>
        </w:rPr>
      </w:pPr>
      <w:r>
        <w:rPr>
          <w:rFonts w:hint="eastAsia" w:ascii="仿宋_GB2312" w:hAnsi="仿宋_GB2312" w:eastAsia="仿宋_GB2312" w:cs="仿宋_GB2312"/>
          <w:color w:val="0C0C0C"/>
          <w:spacing w:val="5"/>
          <w:sz w:val="32"/>
          <w:szCs w:val="32"/>
        </w:rPr>
        <w:t>6.社会保障和就业支出（类）</w:t>
      </w:r>
      <w:r>
        <w:rPr>
          <w:rFonts w:hint="eastAsia" w:ascii="仿宋_GB2312" w:hAnsi="仿宋_GB2312" w:eastAsia="仿宋_GB2312" w:cs="仿宋_GB2312"/>
          <w:spacing w:val="5"/>
          <w:sz w:val="32"/>
          <w:szCs w:val="32"/>
        </w:rPr>
        <w:t>行政事业</w:t>
      </w:r>
      <w:r>
        <w:rPr>
          <w:rFonts w:hint="eastAsia" w:ascii="仿宋_GB2312" w:hAnsi="仿宋_GB2312" w:eastAsia="仿宋_GB2312" w:cs="仿宋_GB2312"/>
          <w:spacing w:val="5"/>
          <w:sz w:val="32"/>
          <w:szCs w:val="32"/>
          <w:lang w:eastAsia="zh-CN"/>
        </w:rPr>
        <w:t>单位养老支出</w:t>
      </w:r>
      <w:r>
        <w:rPr>
          <w:rFonts w:hint="eastAsia" w:ascii="仿宋_GB2312" w:hAnsi="仿宋_GB2312" w:eastAsia="仿宋_GB2312" w:cs="仿宋_GB2312"/>
          <w:color w:val="0C0C0C"/>
          <w:spacing w:val="5"/>
          <w:sz w:val="32"/>
          <w:szCs w:val="32"/>
        </w:rPr>
        <w:t>（款）</w:t>
      </w:r>
      <w:r>
        <w:rPr>
          <w:rFonts w:hint="eastAsia" w:ascii="仿宋_GB2312" w:hAnsi="仿宋_GB2312" w:eastAsia="仿宋_GB2312" w:cs="仿宋_GB2312"/>
          <w:color w:val="0C0C0C"/>
          <w:spacing w:val="4"/>
          <w:sz w:val="32"/>
          <w:szCs w:val="32"/>
        </w:rPr>
        <w:t>机关</w:t>
      </w:r>
      <w:r>
        <w:rPr>
          <w:rFonts w:hint="eastAsia" w:ascii="仿宋_GB2312" w:hAnsi="仿宋_GB2312" w:eastAsia="仿宋_GB2312" w:cs="仿宋_GB2312"/>
          <w:color w:val="0C0C0C"/>
          <w:spacing w:val="7"/>
          <w:sz w:val="32"/>
          <w:szCs w:val="32"/>
        </w:rPr>
        <w:t>事业单位基本养老保险缴费支出（项</w:t>
      </w:r>
      <w:r>
        <w:rPr>
          <w:rFonts w:hint="eastAsia" w:ascii="仿宋_GB2312" w:hAnsi="仿宋_GB2312" w:eastAsia="仿宋_GB2312" w:cs="仿宋_GB2312"/>
          <w:color w:val="0C0C0C"/>
          <w:spacing w:val="-8"/>
          <w:sz w:val="32"/>
          <w:szCs w:val="32"/>
        </w:rPr>
        <w:t>）：</w:t>
      </w:r>
      <w:r>
        <w:rPr>
          <w:rFonts w:hint="eastAsia" w:ascii="仿宋_GB2312" w:hAnsi="仿宋_GB2312" w:eastAsia="仿宋_GB2312" w:cs="仿宋_GB2312"/>
          <w:color w:val="0C0C0C"/>
          <w:spacing w:val="7"/>
          <w:sz w:val="32"/>
          <w:szCs w:val="32"/>
        </w:rPr>
        <w:t>反映机关事业单位实施养</w:t>
      </w:r>
      <w:r>
        <w:rPr>
          <w:rFonts w:hint="eastAsia" w:ascii="仿宋_GB2312" w:hAnsi="仿宋_GB2312" w:eastAsia="仿宋_GB2312" w:cs="仿宋_GB2312"/>
          <w:color w:val="0C0C0C"/>
          <w:spacing w:val="8"/>
          <w:sz w:val="32"/>
          <w:szCs w:val="32"/>
        </w:rPr>
        <w:t>老保险制度由单位缴纳的养老保险费支出。</w:t>
      </w:r>
    </w:p>
    <w:p w14:paraId="7A60A209">
      <w:pPr>
        <w:keepNext w:val="0"/>
        <w:keepLines w:val="0"/>
        <w:pageBreakBefore w:val="0"/>
        <w:wordWrap/>
        <w:overflowPunct/>
        <w:topLinePunct w:val="0"/>
        <w:bidi w:val="0"/>
        <w:spacing w:line="600" w:lineRule="exact"/>
        <w:ind w:left="0" w:right="0" w:firstLine="660" w:firstLineChars="200"/>
        <w:rPr>
          <w:rFonts w:hint="eastAsia" w:ascii="仿宋_GB2312" w:hAnsi="仿宋_GB2312" w:eastAsia="仿宋_GB2312" w:cs="仿宋_GB2312"/>
          <w:color w:val="0C0C0C"/>
          <w:spacing w:val="7"/>
          <w:sz w:val="32"/>
          <w:szCs w:val="32"/>
          <w:lang w:eastAsia="zh-CN"/>
        </w:rPr>
      </w:pPr>
      <w:r>
        <w:rPr>
          <w:rFonts w:hint="eastAsia" w:ascii="仿宋_GB2312" w:hAnsi="仿宋_GB2312" w:eastAsia="仿宋_GB2312" w:cs="仿宋_GB2312"/>
          <w:color w:val="0C0C0C"/>
          <w:spacing w:val="5"/>
          <w:sz w:val="32"/>
          <w:szCs w:val="32"/>
        </w:rPr>
        <w:t>7.社会保障和就业支出（类）</w:t>
      </w:r>
      <w:r>
        <w:rPr>
          <w:rFonts w:hint="eastAsia" w:ascii="仿宋_GB2312" w:hAnsi="仿宋_GB2312" w:eastAsia="仿宋_GB2312" w:cs="仿宋_GB2312"/>
          <w:spacing w:val="5"/>
          <w:sz w:val="32"/>
          <w:szCs w:val="32"/>
        </w:rPr>
        <w:t>行政事业</w:t>
      </w:r>
      <w:r>
        <w:rPr>
          <w:rFonts w:hint="eastAsia" w:ascii="仿宋_GB2312" w:hAnsi="仿宋_GB2312" w:eastAsia="仿宋_GB2312" w:cs="仿宋_GB2312"/>
          <w:spacing w:val="5"/>
          <w:sz w:val="32"/>
          <w:szCs w:val="32"/>
          <w:lang w:eastAsia="zh-CN"/>
        </w:rPr>
        <w:t>单位养老支出</w:t>
      </w:r>
      <w:r>
        <w:rPr>
          <w:rFonts w:hint="eastAsia" w:ascii="仿宋_GB2312" w:hAnsi="仿宋_GB2312" w:eastAsia="仿宋_GB2312" w:cs="仿宋_GB2312"/>
          <w:color w:val="0C0C0C"/>
          <w:spacing w:val="5"/>
          <w:sz w:val="32"/>
          <w:szCs w:val="32"/>
        </w:rPr>
        <w:t>（款）</w:t>
      </w:r>
      <w:r>
        <w:rPr>
          <w:rFonts w:hint="eastAsia" w:ascii="仿宋_GB2312" w:hAnsi="仿宋_GB2312" w:eastAsia="仿宋_GB2312" w:cs="仿宋_GB2312"/>
          <w:color w:val="0C0C0C"/>
          <w:spacing w:val="4"/>
          <w:sz w:val="32"/>
          <w:szCs w:val="32"/>
        </w:rPr>
        <w:t>机关</w:t>
      </w:r>
      <w:r>
        <w:rPr>
          <w:rFonts w:hint="eastAsia" w:ascii="仿宋_GB2312" w:hAnsi="仿宋_GB2312" w:eastAsia="仿宋_GB2312" w:cs="仿宋_GB2312"/>
          <w:color w:val="0C0C0C"/>
          <w:spacing w:val="7"/>
          <w:sz w:val="32"/>
          <w:szCs w:val="32"/>
        </w:rPr>
        <w:t>事业单位职业年金缴费支出（项</w:t>
      </w:r>
      <w:r>
        <w:rPr>
          <w:rFonts w:hint="eastAsia" w:ascii="仿宋_GB2312" w:hAnsi="仿宋_GB2312" w:eastAsia="仿宋_GB2312" w:cs="仿宋_GB2312"/>
          <w:color w:val="0C0C0C"/>
          <w:spacing w:val="-13"/>
          <w:sz w:val="32"/>
          <w:szCs w:val="32"/>
        </w:rPr>
        <w:t>）：</w:t>
      </w:r>
      <w:r>
        <w:rPr>
          <w:rFonts w:hint="eastAsia" w:ascii="仿宋_GB2312" w:hAnsi="仿宋_GB2312" w:eastAsia="仿宋_GB2312" w:cs="仿宋_GB2312"/>
          <w:color w:val="0C0C0C"/>
          <w:spacing w:val="7"/>
          <w:sz w:val="32"/>
          <w:szCs w:val="32"/>
        </w:rPr>
        <w:t>反映机关事业单位实施养老保险制度由单位实际缴纳的职业年金支出</w:t>
      </w:r>
      <w:r>
        <w:rPr>
          <w:rFonts w:hint="eastAsia" w:ascii="仿宋_GB2312" w:hAnsi="仿宋_GB2312" w:eastAsia="仿宋_GB2312" w:cs="仿宋_GB2312"/>
          <w:color w:val="0C0C0C"/>
          <w:spacing w:val="7"/>
          <w:sz w:val="32"/>
          <w:szCs w:val="32"/>
          <w:lang w:eastAsia="zh-CN"/>
        </w:rPr>
        <w:t>。</w:t>
      </w:r>
    </w:p>
    <w:p w14:paraId="10A9072A">
      <w:pPr>
        <w:keepNext w:val="0"/>
        <w:keepLines w:val="0"/>
        <w:pageBreakBefore w:val="0"/>
        <w:numPr>
          <w:ilvl w:val="0"/>
          <w:numId w:val="0"/>
        </w:numPr>
        <w:wordWrap/>
        <w:overflowPunct/>
        <w:topLinePunct w:val="0"/>
        <w:bidi w:val="0"/>
        <w:spacing w:line="600" w:lineRule="exact"/>
        <w:ind w:left="0" w:right="0" w:rightChars="0" w:firstLine="66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C0C0C"/>
          <w:spacing w:val="5"/>
          <w:sz w:val="32"/>
          <w:szCs w:val="32"/>
          <w:lang w:val="en-US" w:eastAsia="zh-CN"/>
        </w:rPr>
        <w:t>8.</w:t>
      </w:r>
      <w:r>
        <w:rPr>
          <w:rFonts w:hint="eastAsia" w:ascii="仿宋_GB2312" w:hAnsi="仿宋_GB2312" w:eastAsia="仿宋_GB2312" w:cs="仿宋_GB2312"/>
          <w:color w:val="0C0C0C"/>
          <w:spacing w:val="5"/>
          <w:sz w:val="32"/>
          <w:szCs w:val="32"/>
        </w:rPr>
        <w:t>社会保障和就业支出（类）</w:t>
      </w:r>
      <w:r>
        <w:rPr>
          <w:rFonts w:hint="eastAsia" w:ascii="仿宋_GB2312" w:hAnsi="仿宋_GB2312" w:eastAsia="仿宋_GB2312" w:cs="仿宋_GB2312"/>
          <w:spacing w:val="5"/>
          <w:sz w:val="32"/>
          <w:szCs w:val="32"/>
          <w:lang w:eastAsia="zh-CN"/>
        </w:rPr>
        <w:t>其他</w:t>
      </w:r>
      <w:r>
        <w:rPr>
          <w:rFonts w:hint="eastAsia" w:ascii="仿宋_GB2312" w:hAnsi="仿宋_GB2312" w:eastAsia="仿宋_GB2312" w:cs="仿宋_GB2312"/>
          <w:spacing w:val="5"/>
          <w:sz w:val="32"/>
          <w:szCs w:val="32"/>
        </w:rPr>
        <w:t>社会保障和就业支出</w:t>
      </w:r>
      <w:r>
        <w:rPr>
          <w:rFonts w:hint="eastAsia" w:ascii="仿宋_GB2312" w:hAnsi="仿宋_GB2312" w:eastAsia="仿宋_GB2312" w:cs="仿宋_GB2312"/>
          <w:color w:val="0C0C0C"/>
          <w:spacing w:val="5"/>
          <w:sz w:val="32"/>
          <w:szCs w:val="32"/>
        </w:rPr>
        <w:t>（款）</w:t>
      </w:r>
      <w:r>
        <w:rPr>
          <w:rFonts w:hint="eastAsia" w:ascii="仿宋_GB2312" w:hAnsi="仿宋_GB2312" w:eastAsia="仿宋_GB2312" w:cs="仿宋_GB2312"/>
          <w:spacing w:val="5"/>
          <w:sz w:val="32"/>
          <w:szCs w:val="32"/>
          <w:lang w:eastAsia="zh-CN"/>
        </w:rPr>
        <w:t>其他</w:t>
      </w:r>
      <w:r>
        <w:rPr>
          <w:rFonts w:hint="eastAsia" w:ascii="仿宋_GB2312" w:hAnsi="仿宋_GB2312" w:eastAsia="仿宋_GB2312" w:cs="仿宋_GB2312"/>
          <w:spacing w:val="5"/>
          <w:sz w:val="32"/>
          <w:szCs w:val="32"/>
        </w:rPr>
        <w:t>社会保障和就业支出</w:t>
      </w:r>
      <w:r>
        <w:rPr>
          <w:rFonts w:hint="eastAsia" w:ascii="仿宋_GB2312" w:hAnsi="仿宋_GB2312" w:eastAsia="仿宋_GB2312" w:cs="仿宋_GB2312"/>
          <w:color w:val="0C0C0C"/>
          <w:spacing w:val="5"/>
          <w:sz w:val="32"/>
          <w:szCs w:val="32"/>
        </w:rPr>
        <w:t>（项</w:t>
      </w:r>
      <w:r>
        <w:rPr>
          <w:rFonts w:hint="eastAsia" w:ascii="仿宋_GB2312" w:hAnsi="仿宋_GB2312" w:eastAsia="仿宋_GB2312" w:cs="仿宋_GB2312"/>
          <w:color w:val="0C0C0C"/>
          <w:spacing w:val="4"/>
          <w:sz w:val="32"/>
          <w:szCs w:val="32"/>
        </w:rPr>
        <w:t>）：</w:t>
      </w:r>
      <w:r>
        <w:rPr>
          <w:rFonts w:hint="eastAsia" w:ascii="仿宋_GB2312" w:hAnsi="仿宋_GB2312" w:eastAsia="仿宋_GB2312" w:cs="仿宋_GB2312"/>
          <w:color w:val="0C0C0C"/>
          <w:spacing w:val="5"/>
          <w:sz w:val="32"/>
          <w:szCs w:val="32"/>
        </w:rPr>
        <w:t>反</w:t>
      </w:r>
      <w:r>
        <w:rPr>
          <w:rFonts w:hint="eastAsia" w:ascii="仿宋_GB2312" w:hAnsi="仿宋_GB2312" w:eastAsia="仿宋_GB2312" w:cs="仿宋_GB2312"/>
          <w:color w:val="0C0C0C"/>
          <w:spacing w:val="7"/>
          <w:sz w:val="32"/>
          <w:szCs w:val="32"/>
        </w:rPr>
        <w:t>映</w:t>
      </w:r>
      <w:r>
        <w:rPr>
          <w:rFonts w:hint="eastAsia" w:ascii="仿宋_GB2312" w:hAnsi="仿宋_GB2312" w:eastAsia="仿宋_GB2312" w:cs="仿宋_GB2312"/>
          <w:spacing w:val="5"/>
          <w:sz w:val="32"/>
          <w:szCs w:val="32"/>
          <w:lang w:eastAsia="zh-CN"/>
        </w:rPr>
        <w:t>其他</w:t>
      </w:r>
      <w:r>
        <w:rPr>
          <w:rFonts w:hint="eastAsia" w:ascii="仿宋_GB2312" w:hAnsi="仿宋_GB2312" w:eastAsia="仿宋_GB2312" w:cs="仿宋_GB2312"/>
          <w:spacing w:val="5"/>
          <w:sz w:val="32"/>
          <w:szCs w:val="32"/>
        </w:rPr>
        <w:t>社会保障和就业支出</w:t>
      </w:r>
      <w:r>
        <w:rPr>
          <w:rFonts w:hint="eastAsia" w:ascii="仿宋_GB2312" w:hAnsi="仿宋_GB2312" w:eastAsia="仿宋_GB2312" w:cs="仿宋_GB2312"/>
          <w:spacing w:val="5"/>
          <w:sz w:val="32"/>
          <w:szCs w:val="32"/>
          <w:lang w:eastAsia="zh-CN"/>
        </w:rPr>
        <w:t>。</w:t>
      </w:r>
    </w:p>
    <w:p w14:paraId="4D09EBD9">
      <w:pPr>
        <w:keepNext w:val="0"/>
        <w:keepLines w:val="0"/>
        <w:pageBreakBefore w:val="0"/>
        <w:wordWrap/>
        <w:overflowPunct/>
        <w:topLinePunct w:val="0"/>
        <w:bidi w:val="0"/>
        <w:spacing w:line="600" w:lineRule="exact"/>
        <w:ind w:left="0" w:right="0" w:firstLine="66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C0C0C"/>
          <w:spacing w:val="5"/>
          <w:sz w:val="32"/>
          <w:szCs w:val="32"/>
        </w:rPr>
        <w:t>9.卫生健康支出（类）行政事业单位医疗（款）行政单位医疗</w:t>
      </w:r>
      <w:r>
        <w:rPr>
          <w:rFonts w:hint="eastAsia" w:ascii="仿宋_GB2312" w:hAnsi="仿宋_GB2312" w:eastAsia="仿宋_GB2312" w:cs="仿宋_GB2312"/>
          <w:color w:val="0C0C0C"/>
          <w:spacing w:val="6"/>
          <w:sz w:val="32"/>
          <w:szCs w:val="32"/>
        </w:rPr>
        <w:t>（项</w:t>
      </w:r>
      <w:r>
        <w:rPr>
          <w:rFonts w:hint="eastAsia" w:ascii="仿宋_GB2312" w:hAnsi="仿宋_GB2312" w:eastAsia="仿宋_GB2312" w:cs="仿宋_GB2312"/>
          <w:color w:val="0C0C0C"/>
          <w:spacing w:val="-107"/>
          <w:sz w:val="32"/>
          <w:szCs w:val="32"/>
        </w:rPr>
        <w:t>）</w:t>
      </w:r>
      <w:r>
        <w:rPr>
          <w:rFonts w:hint="eastAsia" w:ascii="仿宋_GB2312" w:hAnsi="仿宋_GB2312" w:eastAsia="仿宋_GB2312" w:cs="仿宋_GB2312"/>
          <w:color w:val="0C0C0C"/>
          <w:spacing w:val="-107"/>
          <w:sz w:val="32"/>
          <w:szCs w:val="32"/>
          <w:lang w:eastAsia="zh-CN"/>
        </w:rPr>
        <w:t>：</w:t>
      </w:r>
      <w:r>
        <w:rPr>
          <w:rFonts w:hint="eastAsia" w:ascii="仿宋_GB2312" w:hAnsi="仿宋_GB2312" w:eastAsia="仿宋_GB2312" w:cs="仿宋_GB2312"/>
          <w:color w:val="0C0C0C"/>
          <w:spacing w:val="6"/>
          <w:sz w:val="32"/>
          <w:szCs w:val="32"/>
        </w:rPr>
        <w:t>反映财政部门集中安排的行政单位基本医疗保险缴费经费，未参加医疗保险的行政单位的公费医疗费，按国家规定享受离休人</w:t>
      </w:r>
      <w:r>
        <w:rPr>
          <w:rFonts w:hint="eastAsia" w:ascii="仿宋_GB2312" w:hAnsi="仿宋_GB2312" w:eastAsia="仿宋_GB2312" w:cs="仿宋_GB2312"/>
          <w:color w:val="0C0C0C"/>
          <w:spacing w:val="9"/>
          <w:sz w:val="32"/>
          <w:szCs w:val="32"/>
        </w:rPr>
        <w:t>员、红军老战士待遇人员的医疗经费。</w:t>
      </w:r>
    </w:p>
    <w:p w14:paraId="6FA73C16">
      <w:pPr>
        <w:keepNext w:val="0"/>
        <w:keepLines w:val="0"/>
        <w:pageBreakBefore w:val="0"/>
        <w:wordWrap/>
        <w:overflowPunct/>
        <w:topLinePunct w:val="0"/>
        <w:bidi w:val="0"/>
        <w:spacing w:line="600" w:lineRule="exact"/>
        <w:ind w:left="0" w:right="0" w:firstLine="672" w:firstLineChars="200"/>
        <w:outlineLvl w:val="0"/>
        <w:rPr>
          <w:rFonts w:hint="eastAsia" w:ascii="仿宋_GB2312" w:hAnsi="仿宋_GB2312" w:eastAsia="仿宋_GB2312" w:cs="仿宋_GB2312"/>
          <w:color w:val="0C0C0C"/>
          <w:spacing w:val="8"/>
          <w:sz w:val="32"/>
          <w:szCs w:val="32"/>
        </w:rPr>
      </w:pPr>
      <w:r>
        <w:rPr>
          <w:rFonts w:hint="eastAsia" w:ascii="仿宋_GB2312" w:hAnsi="仿宋_GB2312" w:eastAsia="仿宋_GB2312" w:cs="仿宋_GB2312"/>
          <w:color w:val="0C0C0C"/>
          <w:spacing w:val="8"/>
          <w:sz w:val="32"/>
          <w:szCs w:val="32"/>
        </w:rPr>
        <w:t>10.卫生健康支出（类）行政事业单位医疗（款）公务员医疗补助（项）财政部门安排的公务员医疗补助经费。</w:t>
      </w:r>
    </w:p>
    <w:p w14:paraId="11FB0D07">
      <w:pPr>
        <w:keepNext w:val="0"/>
        <w:keepLines w:val="0"/>
        <w:pageBreakBefore w:val="0"/>
        <w:wordWrap/>
        <w:overflowPunct/>
        <w:topLinePunct w:val="0"/>
        <w:bidi w:val="0"/>
        <w:spacing w:line="600" w:lineRule="exact"/>
        <w:ind w:left="0" w:right="0" w:firstLine="672"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C0C0C"/>
          <w:spacing w:val="8"/>
          <w:sz w:val="32"/>
          <w:szCs w:val="32"/>
        </w:rPr>
        <w:t>11.农林水支出（类）巩固脱贫衔接乡村振兴（款）</w:t>
      </w:r>
      <w:r>
        <w:rPr>
          <w:rFonts w:hint="eastAsia" w:ascii="仿宋_GB2312" w:hAnsi="仿宋_GB2312" w:eastAsia="仿宋_GB2312" w:cs="仿宋_GB2312"/>
          <w:spacing w:val="10"/>
          <w:sz w:val="32"/>
          <w:szCs w:val="32"/>
        </w:rPr>
        <w:t>其他巩固</w:t>
      </w:r>
      <w:r>
        <w:rPr>
          <w:rFonts w:hint="eastAsia" w:ascii="仿宋_GB2312" w:hAnsi="仿宋_GB2312" w:eastAsia="仿宋_GB2312" w:cs="仿宋_GB2312"/>
          <w:spacing w:val="10"/>
          <w:sz w:val="32"/>
          <w:szCs w:val="32"/>
          <w:lang w:eastAsia="zh-CN"/>
        </w:rPr>
        <w:t>拓展</w:t>
      </w:r>
      <w:r>
        <w:rPr>
          <w:rFonts w:hint="eastAsia" w:ascii="仿宋_GB2312" w:hAnsi="仿宋_GB2312" w:eastAsia="仿宋_GB2312" w:cs="仿宋_GB2312"/>
          <w:spacing w:val="10"/>
          <w:sz w:val="32"/>
          <w:szCs w:val="32"/>
        </w:rPr>
        <w:t>脱贫攻坚成果衔接</w:t>
      </w:r>
      <w:r>
        <w:rPr>
          <w:rFonts w:hint="eastAsia" w:ascii="仿宋_GB2312" w:hAnsi="仿宋_GB2312" w:eastAsia="仿宋_GB2312" w:cs="仿宋_GB2312"/>
          <w:spacing w:val="10"/>
          <w:sz w:val="32"/>
          <w:szCs w:val="32"/>
          <w:lang w:eastAsia="zh-CN"/>
        </w:rPr>
        <w:t>乡村振兴</w:t>
      </w:r>
      <w:r>
        <w:rPr>
          <w:rFonts w:hint="eastAsia" w:ascii="仿宋_GB2312" w:hAnsi="仿宋_GB2312" w:eastAsia="仿宋_GB2312" w:cs="仿宋_GB2312"/>
          <w:color w:val="0C0C0C"/>
          <w:spacing w:val="8"/>
          <w:sz w:val="32"/>
          <w:szCs w:val="32"/>
        </w:rPr>
        <w:t>（项</w:t>
      </w:r>
      <w:r>
        <w:rPr>
          <w:rFonts w:hint="eastAsia" w:ascii="仿宋_GB2312" w:hAnsi="仿宋_GB2312" w:eastAsia="仿宋_GB2312" w:cs="仿宋_GB2312"/>
          <w:color w:val="0C0C0C"/>
          <w:spacing w:val="-16"/>
          <w:sz w:val="32"/>
          <w:szCs w:val="32"/>
        </w:rPr>
        <w:t>）：</w:t>
      </w:r>
      <w:r>
        <w:rPr>
          <w:rFonts w:hint="eastAsia" w:ascii="仿宋_GB2312" w:hAnsi="仿宋_GB2312" w:eastAsia="仿宋_GB2312" w:cs="仿宋_GB2312"/>
          <w:color w:val="0C0C0C"/>
          <w:spacing w:val="8"/>
          <w:sz w:val="32"/>
          <w:szCs w:val="32"/>
        </w:rPr>
        <w:t>反映除上述项目</w:t>
      </w:r>
      <w:r>
        <w:rPr>
          <w:rFonts w:hint="eastAsia" w:ascii="仿宋_GB2312" w:hAnsi="仿宋_GB2312" w:eastAsia="仿宋_GB2312" w:cs="仿宋_GB2312"/>
          <w:color w:val="0C0C0C"/>
          <w:spacing w:val="7"/>
          <w:sz w:val="32"/>
          <w:szCs w:val="32"/>
        </w:rPr>
        <w:t>以外其他用于扶贫</w:t>
      </w:r>
      <w:r>
        <w:rPr>
          <w:rFonts w:hint="eastAsia" w:ascii="仿宋_GB2312" w:hAnsi="仿宋_GB2312" w:eastAsia="仿宋_GB2312" w:cs="仿宋_GB2312"/>
          <w:color w:val="0C0C0C"/>
          <w:spacing w:val="5"/>
          <w:sz w:val="32"/>
          <w:szCs w:val="32"/>
        </w:rPr>
        <w:t>方面的支出。</w:t>
      </w:r>
    </w:p>
    <w:p w14:paraId="124B349F">
      <w:pPr>
        <w:keepNext w:val="0"/>
        <w:keepLines w:val="0"/>
        <w:pageBreakBefore w:val="0"/>
        <w:wordWrap/>
        <w:overflowPunct/>
        <w:topLinePunct w:val="0"/>
        <w:bidi w:val="0"/>
        <w:spacing w:line="600" w:lineRule="exact"/>
        <w:ind w:left="0" w:right="0" w:firstLine="656"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0C0C0C"/>
          <w:spacing w:val="4"/>
          <w:sz w:val="32"/>
          <w:szCs w:val="32"/>
        </w:rPr>
        <w:t>12.住房保障支出（类）住房改革支出（款）住房公积金（项）</w:t>
      </w:r>
      <w:r>
        <w:rPr>
          <w:rFonts w:hint="eastAsia" w:ascii="仿宋_GB2312" w:hAnsi="仿宋_GB2312" w:eastAsia="仿宋_GB2312" w:cs="仿宋_GB2312"/>
          <w:color w:val="0C0C0C"/>
          <w:spacing w:val="6"/>
          <w:sz w:val="32"/>
          <w:szCs w:val="32"/>
        </w:rPr>
        <w:t>反映行政事业单位按人力资源和社会保障部、财政部规定的基本工</w:t>
      </w:r>
      <w:r>
        <w:rPr>
          <w:rFonts w:hint="eastAsia" w:ascii="仿宋_GB2312" w:hAnsi="仿宋_GB2312" w:eastAsia="仿宋_GB2312" w:cs="仿宋_GB2312"/>
          <w:color w:val="0C0C0C"/>
          <w:spacing w:val="8"/>
          <w:sz w:val="32"/>
          <w:szCs w:val="32"/>
        </w:rPr>
        <w:t>资和津贴以及规定比例为职工缴纳的住房公积金。</w:t>
      </w:r>
    </w:p>
    <w:p w14:paraId="5E3DAAC9">
      <w:pPr>
        <w:spacing w:line="600" w:lineRule="exact"/>
        <w:jc w:val="center"/>
        <w:rPr>
          <w:rStyle w:val="30"/>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4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p w14:paraId="2B93167B">
      <w:pPr>
        <w:pStyle w:val="3"/>
        <w:keepNext w:val="0"/>
        <w:keepLines w:val="0"/>
        <w:pageBreakBefore w:val="0"/>
        <w:numPr>
          <w:ilvl w:val="0"/>
          <w:numId w:val="0"/>
        </w:numPr>
        <w:kinsoku/>
        <w:wordWrap/>
        <w:overflowPunct/>
        <w:topLinePunct w:val="0"/>
        <w:autoSpaceDE/>
        <w:autoSpaceDN/>
        <w:bidi w:val="0"/>
        <w:spacing w:line="560" w:lineRule="exact"/>
        <w:ind w:firstLine="1280" w:firstLineChars="4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
        </w:rPr>
        <w:t>部门预算项目支出绩效自评表（2024年度）</w:t>
      </w:r>
    </w:p>
    <w:tbl>
      <w:tblPr>
        <w:tblStyle w:val="17"/>
        <w:tblW w:w="87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68"/>
        <w:gridCol w:w="942"/>
        <w:gridCol w:w="928"/>
        <w:gridCol w:w="1786"/>
        <w:gridCol w:w="516"/>
        <w:gridCol w:w="588"/>
        <w:gridCol w:w="501"/>
        <w:gridCol w:w="954"/>
        <w:gridCol w:w="432"/>
        <w:gridCol w:w="432"/>
        <w:gridCol w:w="891"/>
      </w:tblGrid>
      <w:tr w14:paraId="33C81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7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6701F5">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292E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E448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25D26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51113222T000000289133-</w:t>
            </w:r>
            <w:r>
              <w:rPr>
                <w:rFonts w:hint="eastAsia" w:ascii="宋体" w:hAnsi="宋体" w:cs="宋体"/>
                <w:i w:val="0"/>
                <w:iCs w:val="0"/>
                <w:color w:val="000000"/>
                <w:kern w:val="0"/>
                <w:sz w:val="18"/>
                <w:szCs w:val="18"/>
                <w:u w:val="none"/>
                <w:lang w:val="en-US" w:eastAsia="zh-CN" w:bidi="ar"/>
              </w:rPr>
              <w:t>“雪亮工程”</w:t>
            </w:r>
            <w:r>
              <w:rPr>
                <w:rFonts w:ascii="宋体" w:hAnsi="宋体" w:eastAsia="宋体" w:cs="宋体"/>
                <w:i w:val="0"/>
                <w:iCs w:val="0"/>
                <w:color w:val="000000"/>
                <w:kern w:val="0"/>
                <w:sz w:val="18"/>
                <w:szCs w:val="18"/>
                <w:u w:val="none"/>
                <w:lang w:val="en-US" w:eastAsia="zh-CN" w:bidi="ar"/>
              </w:rPr>
              <w:t>建设运行经费（按实）</w:t>
            </w:r>
          </w:p>
        </w:tc>
      </w:tr>
      <w:tr w14:paraId="01EB2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47" w:hRule="atLeast"/>
          <w:jc w:val="center"/>
        </w:trPr>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F493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DA516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中共峨边彝族自治县委政法委员会本级</w:t>
            </w:r>
          </w:p>
        </w:tc>
        <w:tc>
          <w:tcPr>
            <w:tcW w:w="954" w:type="dxa"/>
            <w:tcBorders>
              <w:top w:val="nil"/>
              <w:left w:val="nil"/>
              <w:bottom w:val="nil"/>
              <w:right w:val="nil"/>
            </w:tcBorders>
            <w:shd w:val="clear" w:color="auto" w:fill="auto"/>
            <w:vAlign w:val="center"/>
          </w:tcPr>
          <w:p w14:paraId="51AFEE51">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769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中共峨边彝族自治县委政法委员会</w:t>
            </w:r>
          </w:p>
        </w:tc>
      </w:tr>
      <w:tr w14:paraId="60922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50F3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B887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D2B4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621EC1">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9B2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0299E">
            <w:pPr>
              <w:snapToGrid w:val="0"/>
              <w:rPr>
                <w:rFonts w:hint="eastAsia" w:ascii="宋体" w:hAnsi="宋体" w:eastAsia="宋体" w:cs="宋体"/>
                <w:i w:val="0"/>
                <w:iCs w:val="0"/>
                <w:color w:val="000000"/>
                <w:sz w:val="18"/>
                <w:szCs w:val="18"/>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246CE">
            <w:pPr>
              <w:snapToGrid w:val="0"/>
              <w:rPr>
                <w:rFonts w:hint="eastAsia" w:ascii="宋体" w:hAnsi="宋体" w:eastAsia="宋体" w:cs="宋体"/>
                <w:i w:val="0"/>
                <w:iCs w:val="0"/>
                <w:color w:val="000000"/>
                <w:sz w:val="18"/>
                <w:szCs w:val="18"/>
                <w:u w:val="none"/>
              </w:rPr>
            </w:pPr>
          </w:p>
        </w:tc>
        <w:tc>
          <w:tcPr>
            <w:tcW w:w="43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FEC4E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“雪亮工程”是以县、乡、村三级综治中心为指挥平台、以综治信息化为支撑，以网格化管理</w:t>
            </w:r>
            <w:r>
              <w:rPr>
                <w:rFonts w:hint="eastAsia" w:ascii="宋体" w:hAnsi="宋体" w:cs="宋体"/>
                <w:i w:val="0"/>
                <w:iCs w:val="0"/>
                <w:color w:val="000000"/>
                <w:kern w:val="0"/>
                <w:sz w:val="18"/>
                <w:szCs w:val="18"/>
                <w:u w:val="none"/>
                <w:lang w:val="en-US" w:eastAsia="zh-CN" w:bidi="ar"/>
              </w:rPr>
              <w:t>为</w:t>
            </w:r>
            <w:r>
              <w:rPr>
                <w:rFonts w:ascii="宋体" w:hAnsi="宋体" w:eastAsia="宋体" w:cs="宋体"/>
                <w:i w:val="0"/>
                <w:iCs w:val="0"/>
                <w:color w:val="000000"/>
                <w:kern w:val="0"/>
                <w:sz w:val="18"/>
                <w:szCs w:val="18"/>
                <w:u w:val="none"/>
                <w:lang w:val="en-US" w:eastAsia="zh-CN" w:bidi="ar"/>
              </w:rPr>
              <w:t>基础，以公共安全视频监控联网应用为重点的“群众性治安防控工程”。</w:t>
            </w:r>
          </w:p>
        </w:tc>
        <w:tc>
          <w:tcPr>
            <w:tcW w:w="27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BBBB8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完成2024年度“雪亮工程”建设工作</w:t>
            </w:r>
          </w:p>
        </w:tc>
      </w:tr>
      <w:tr w14:paraId="5216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97C9E">
            <w:pPr>
              <w:snapToGrid w:val="0"/>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529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764E3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“雪亮工程”是以县、乡、村三级综治中心为指挥平台、以综治信息化为支撑，以网格化管理</w:t>
            </w:r>
            <w:r>
              <w:rPr>
                <w:rFonts w:hint="eastAsia" w:ascii="宋体" w:hAnsi="宋体" w:cs="宋体"/>
                <w:i w:val="0"/>
                <w:iCs w:val="0"/>
                <w:color w:val="000000"/>
                <w:kern w:val="0"/>
                <w:sz w:val="18"/>
                <w:szCs w:val="18"/>
                <w:u w:val="none"/>
                <w:lang w:val="en-US" w:eastAsia="zh-CN" w:bidi="ar"/>
              </w:rPr>
              <w:t>为</w:t>
            </w:r>
            <w:r>
              <w:rPr>
                <w:rFonts w:ascii="宋体" w:hAnsi="宋体" w:eastAsia="宋体" w:cs="宋体"/>
                <w:i w:val="0"/>
                <w:iCs w:val="0"/>
                <w:color w:val="000000"/>
                <w:kern w:val="0"/>
                <w:sz w:val="18"/>
                <w:szCs w:val="18"/>
                <w:u w:val="none"/>
                <w:lang w:val="en-US" w:eastAsia="zh-CN" w:bidi="ar"/>
              </w:rPr>
              <w:t>基础，以公共安全视频监控联网应用为重点的“群众性治安防控工程”。</w:t>
            </w:r>
          </w:p>
        </w:tc>
      </w:tr>
      <w:tr w14:paraId="79733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A04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74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D4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BE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1D2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CD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05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CE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37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F24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98D5F">
            <w:pPr>
              <w:snapToGrid w:val="0"/>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1D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3B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95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22.83</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C7D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18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6E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0A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2EB51">
            <w:pPr>
              <w:snapToGrid w:val="0"/>
              <w:rPr>
                <w:rFonts w:hint="eastAsia" w:ascii="黑体" w:hAnsi="黑体" w:eastAsia="黑体" w:cs="黑体"/>
                <w:i/>
                <w:iCs/>
                <w:color w:val="000000"/>
                <w:sz w:val="18"/>
                <w:szCs w:val="18"/>
                <w:u w:val="none"/>
              </w:rPr>
            </w:pPr>
          </w:p>
        </w:tc>
      </w:tr>
      <w:tr w14:paraId="33754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8471D">
            <w:pPr>
              <w:snapToGrid w:val="0"/>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E1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36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01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22.83</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14EE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84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30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B5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F6E12">
            <w:pPr>
              <w:snapToGrid w:val="0"/>
              <w:rPr>
                <w:rFonts w:hint="eastAsia" w:ascii="黑体" w:hAnsi="黑体" w:eastAsia="黑体" w:cs="黑体"/>
                <w:i/>
                <w:iCs/>
                <w:color w:val="000000"/>
                <w:sz w:val="18"/>
                <w:szCs w:val="18"/>
                <w:u w:val="none"/>
              </w:rPr>
            </w:pPr>
          </w:p>
        </w:tc>
      </w:tr>
      <w:tr w14:paraId="22BD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5B823">
            <w:pPr>
              <w:snapToGrid w:val="0"/>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D0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AA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49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FE4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30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B2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D1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5A5D7">
            <w:pPr>
              <w:snapToGrid w:val="0"/>
              <w:rPr>
                <w:rFonts w:hint="eastAsia" w:ascii="黑体" w:hAnsi="黑体" w:eastAsia="黑体" w:cs="黑体"/>
                <w:i/>
                <w:iCs/>
                <w:color w:val="000000"/>
                <w:sz w:val="18"/>
                <w:szCs w:val="18"/>
                <w:u w:val="none"/>
              </w:rPr>
            </w:pPr>
          </w:p>
        </w:tc>
      </w:tr>
      <w:tr w14:paraId="7D1D6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542B9">
            <w:pPr>
              <w:snapToGrid w:val="0"/>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0D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62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63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A5B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8C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E3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F7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48593">
            <w:pPr>
              <w:snapToGrid w:val="0"/>
              <w:rPr>
                <w:rFonts w:hint="eastAsia" w:ascii="黑体" w:hAnsi="黑体" w:eastAsia="黑体" w:cs="黑体"/>
                <w:i/>
                <w:iCs/>
                <w:color w:val="000000"/>
                <w:sz w:val="18"/>
                <w:szCs w:val="18"/>
                <w:u w:val="none"/>
              </w:rPr>
            </w:pPr>
          </w:p>
        </w:tc>
      </w:tr>
      <w:tr w14:paraId="2A036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EB6D3">
            <w:pPr>
              <w:snapToGrid w:val="0"/>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10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13E5">
            <w:pPr>
              <w:snapToGrid w:val="0"/>
              <w:jc w:val="center"/>
              <w:rPr>
                <w:rFonts w:hint="eastAsia" w:ascii="微软雅黑" w:hAnsi="微软雅黑" w:eastAsia="微软雅黑" w:cs="微软雅黑"/>
                <w:i/>
                <w:iCs/>
                <w:color w:val="000000"/>
                <w:sz w:val="16"/>
                <w:szCs w:val="16"/>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378A">
            <w:pPr>
              <w:snapToGrid w:val="0"/>
              <w:jc w:val="center"/>
              <w:rPr>
                <w:rFonts w:hint="eastAsia" w:ascii="微软雅黑" w:hAnsi="微软雅黑" w:eastAsia="微软雅黑" w:cs="微软雅黑"/>
                <w:i/>
                <w:iCs/>
                <w:color w:val="000000"/>
                <w:sz w:val="16"/>
                <w:szCs w:val="16"/>
                <w:u w:val="none"/>
              </w:rPr>
            </w:pP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9DFE6">
            <w:pPr>
              <w:snapToGrid w:val="0"/>
              <w:jc w:val="center"/>
              <w:rPr>
                <w:rFonts w:hint="eastAsia" w:ascii="微软雅黑" w:hAnsi="微软雅黑" w:eastAsia="微软雅黑" w:cs="微软雅黑"/>
                <w:i/>
                <w:iCs/>
                <w:color w:val="000000"/>
                <w:sz w:val="16"/>
                <w:szCs w:val="16"/>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9D64">
            <w:pPr>
              <w:snapToGrid w:val="0"/>
              <w:jc w:val="center"/>
              <w:rPr>
                <w:rFonts w:hint="eastAsia" w:ascii="微软雅黑" w:hAnsi="微软雅黑" w:eastAsia="微软雅黑" w:cs="微软雅黑"/>
                <w:i/>
                <w:iCs/>
                <w:color w:val="000000"/>
                <w:sz w:val="16"/>
                <w:szCs w:val="16"/>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4B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6D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A15DC">
            <w:pPr>
              <w:snapToGrid w:val="0"/>
              <w:rPr>
                <w:rFonts w:hint="eastAsia" w:ascii="黑体" w:hAnsi="黑体" w:eastAsia="黑体" w:cs="黑体"/>
                <w:i/>
                <w:iCs/>
                <w:color w:val="000000"/>
                <w:sz w:val="18"/>
                <w:szCs w:val="18"/>
                <w:u w:val="none"/>
              </w:rPr>
            </w:pPr>
          </w:p>
        </w:tc>
      </w:tr>
      <w:tr w14:paraId="5D14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B8B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CB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40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66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83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90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59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B7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AF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89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E3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5AC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3CCF7">
            <w:pPr>
              <w:snapToGrid w:val="0"/>
              <w:jc w:val="center"/>
              <w:rPr>
                <w:rFonts w:hint="eastAsia" w:ascii="宋体" w:hAnsi="宋体" w:eastAsia="宋体" w:cs="宋体"/>
                <w:i w:val="0"/>
                <w:iCs w:val="0"/>
                <w:color w:val="000000"/>
                <w:sz w:val="18"/>
                <w:szCs w:val="18"/>
                <w:u w:val="none"/>
              </w:rPr>
            </w:pP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9A2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16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51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项目开展期限</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7C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0E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44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33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7E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A2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5377">
            <w:pPr>
              <w:snapToGrid w:val="0"/>
              <w:jc w:val="center"/>
              <w:rPr>
                <w:rFonts w:hint="eastAsia" w:ascii="宋体" w:hAnsi="宋体" w:eastAsia="宋体" w:cs="宋体"/>
                <w:i w:val="0"/>
                <w:iCs w:val="0"/>
                <w:color w:val="000000"/>
                <w:sz w:val="18"/>
                <w:szCs w:val="18"/>
                <w:u w:val="none"/>
              </w:rPr>
            </w:pPr>
          </w:p>
        </w:tc>
      </w:tr>
      <w:tr w14:paraId="11A6E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40196">
            <w:pPr>
              <w:snapToGrid w:val="0"/>
              <w:jc w:val="center"/>
              <w:rPr>
                <w:rFonts w:hint="eastAsia" w:ascii="宋体" w:hAnsi="宋体" w:eastAsia="宋体" w:cs="宋体"/>
                <w:i w:val="0"/>
                <w:iCs w:val="0"/>
                <w:color w:val="000000"/>
                <w:sz w:val="18"/>
                <w:szCs w:val="18"/>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F2AA7">
            <w:pPr>
              <w:snapToGrid w:val="0"/>
              <w:jc w:val="center"/>
              <w:rPr>
                <w:rFonts w:hint="eastAsia" w:ascii="宋体" w:hAnsi="宋体" w:eastAsia="宋体" w:cs="宋体"/>
                <w:i w:val="0"/>
                <w:iCs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EB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74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全年县、乡、村三级</w:t>
            </w:r>
            <w:r>
              <w:rPr>
                <w:rFonts w:hint="eastAsia" w:ascii="宋体" w:hAnsi="宋体" w:cs="宋体"/>
                <w:i w:val="0"/>
                <w:iCs w:val="0"/>
                <w:color w:val="000000"/>
                <w:kern w:val="0"/>
                <w:sz w:val="18"/>
                <w:szCs w:val="18"/>
                <w:u w:val="none"/>
                <w:lang w:val="en-US" w:eastAsia="zh-CN" w:bidi="ar"/>
              </w:rPr>
              <w:t>“雪亮工程”</w:t>
            </w:r>
            <w:r>
              <w:rPr>
                <w:rFonts w:ascii="宋体" w:hAnsi="宋体" w:eastAsia="宋体" w:cs="宋体"/>
                <w:i w:val="0"/>
                <w:iCs w:val="0"/>
                <w:color w:val="000000"/>
                <w:kern w:val="0"/>
                <w:sz w:val="18"/>
                <w:szCs w:val="18"/>
                <w:u w:val="none"/>
                <w:lang w:val="en-US" w:eastAsia="zh-CN" w:bidi="ar"/>
              </w:rPr>
              <w:t>正常运行</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EA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BA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554F">
            <w:pPr>
              <w:snapToGrid w:val="0"/>
              <w:jc w:val="center"/>
              <w:rPr>
                <w:rFonts w:hint="eastAsia" w:ascii="宋体" w:hAnsi="宋体" w:eastAsia="宋体" w:cs="宋体"/>
                <w:i w:val="0"/>
                <w:iCs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2F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F1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85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A37C">
            <w:pPr>
              <w:snapToGrid w:val="0"/>
              <w:jc w:val="center"/>
              <w:rPr>
                <w:rFonts w:hint="eastAsia" w:ascii="宋体" w:hAnsi="宋体" w:eastAsia="宋体" w:cs="宋体"/>
                <w:i w:val="0"/>
                <w:iCs w:val="0"/>
                <w:color w:val="000000"/>
                <w:sz w:val="18"/>
                <w:szCs w:val="18"/>
                <w:u w:val="none"/>
              </w:rPr>
            </w:pPr>
          </w:p>
        </w:tc>
      </w:tr>
      <w:tr w14:paraId="14D35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6DD49">
            <w:pPr>
              <w:snapToGrid w:val="0"/>
              <w:jc w:val="center"/>
              <w:rPr>
                <w:rFonts w:hint="eastAsia" w:ascii="宋体" w:hAnsi="宋体" w:eastAsia="宋体" w:cs="宋体"/>
                <w:i w:val="0"/>
                <w:iCs w:val="0"/>
                <w:color w:val="000000"/>
                <w:sz w:val="18"/>
                <w:szCs w:val="18"/>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F2066">
            <w:pPr>
              <w:snapToGrid w:val="0"/>
              <w:jc w:val="center"/>
              <w:rPr>
                <w:rFonts w:hint="eastAsia" w:ascii="宋体" w:hAnsi="宋体" w:eastAsia="宋体" w:cs="宋体"/>
                <w:i w:val="0"/>
                <w:iCs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26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C2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项目预算22.83</w:t>
            </w:r>
            <w:r>
              <w:rPr>
                <w:rFonts w:hint="eastAsia" w:ascii="宋体" w:hAnsi="宋体" w:cs="宋体"/>
                <w:i w:val="0"/>
                <w:iCs w:val="0"/>
                <w:color w:val="000000"/>
                <w:kern w:val="0"/>
                <w:sz w:val="18"/>
                <w:szCs w:val="18"/>
                <w:u w:val="none"/>
                <w:lang w:val="en-US" w:eastAsia="zh-CN" w:bidi="ar"/>
              </w:rPr>
              <w:t>万元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0E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F0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22.83</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10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FD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22.83</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08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21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3AF0">
            <w:pPr>
              <w:snapToGrid w:val="0"/>
              <w:jc w:val="center"/>
              <w:rPr>
                <w:rFonts w:hint="eastAsia" w:ascii="宋体" w:hAnsi="宋体" w:eastAsia="宋体" w:cs="宋体"/>
                <w:i w:val="0"/>
                <w:iCs w:val="0"/>
                <w:color w:val="000000"/>
                <w:sz w:val="18"/>
                <w:szCs w:val="18"/>
                <w:u w:val="none"/>
              </w:rPr>
            </w:pPr>
          </w:p>
        </w:tc>
      </w:tr>
      <w:tr w14:paraId="61C29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9BE33">
            <w:pPr>
              <w:snapToGrid w:val="0"/>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37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BE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07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确保全县</w:t>
            </w:r>
            <w:r>
              <w:rPr>
                <w:rFonts w:hint="eastAsia" w:ascii="宋体" w:hAnsi="宋体" w:cs="宋体"/>
                <w:i w:val="0"/>
                <w:iCs w:val="0"/>
                <w:color w:val="000000"/>
                <w:kern w:val="0"/>
                <w:sz w:val="18"/>
                <w:szCs w:val="18"/>
                <w:u w:val="none"/>
                <w:lang w:val="en-US" w:eastAsia="zh-CN" w:bidi="ar"/>
              </w:rPr>
              <w:t>“雪亮工程”</w:t>
            </w:r>
            <w:r>
              <w:rPr>
                <w:rFonts w:ascii="宋体" w:hAnsi="宋体" w:eastAsia="宋体" w:cs="宋体"/>
                <w:i w:val="0"/>
                <w:iCs w:val="0"/>
                <w:color w:val="000000"/>
                <w:kern w:val="0"/>
                <w:sz w:val="18"/>
                <w:szCs w:val="18"/>
                <w:u w:val="none"/>
                <w:lang w:val="en-US" w:eastAsia="zh-CN" w:bidi="ar"/>
              </w:rPr>
              <w:t>有序进行</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F8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9E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FB6F">
            <w:pPr>
              <w:snapToGrid w:val="0"/>
              <w:jc w:val="center"/>
              <w:rPr>
                <w:rFonts w:hint="eastAsia" w:ascii="宋体" w:hAnsi="宋体" w:eastAsia="宋体" w:cs="宋体"/>
                <w:i w:val="0"/>
                <w:iCs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56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C4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4A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E1D5">
            <w:pPr>
              <w:snapToGrid w:val="0"/>
              <w:jc w:val="center"/>
              <w:rPr>
                <w:rFonts w:hint="eastAsia" w:ascii="宋体" w:hAnsi="宋体" w:eastAsia="宋体" w:cs="宋体"/>
                <w:i w:val="0"/>
                <w:iCs w:val="0"/>
                <w:color w:val="000000"/>
                <w:sz w:val="18"/>
                <w:szCs w:val="18"/>
                <w:u w:val="none"/>
              </w:rPr>
            </w:pPr>
          </w:p>
        </w:tc>
      </w:tr>
      <w:tr w14:paraId="1618A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DDCCD">
            <w:pPr>
              <w:snapToGrid w:val="0"/>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0E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B9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3A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6B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ED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09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7A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94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AE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59F3">
            <w:pPr>
              <w:snapToGrid w:val="0"/>
              <w:jc w:val="center"/>
              <w:rPr>
                <w:rFonts w:hint="eastAsia" w:ascii="宋体" w:hAnsi="宋体" w:eastAsia="宋体" w:cs="宋体"/>
                <w:i w:val="0"/>
                <w:iCs w:val="0"/>
                <w:color w:val="000000"/>
                <w:sz w:val="18"/>
                <w:szCs w:val="18"/>
                <w:u w:val="none"/>
              </w:rPr>
            </w:pPr>
          </w:p>
        </w:tc>
      </w:tr>
      <w:tr w14:paraId="7F9B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9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5C55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0A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1E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5289">
            <w:pPr>
              <w:snapToGrid w:val="0"/>
              <w:rPr>
                <w:rFonts w:hint="eastAsia" w:ascii="宋体" w:hAnsi="宋体" w:eastAsia="宋体" w:cs="宋体"/>
                <w:i w:val="0"/>
                <w:iCs w:val="0"/>
                <w:color w:val="000000"/>
                <w:sz w:val="18"/>
                <w:szCs w:val="18"/>
                <w:u w:val="none"/>
              </w:rPr>
            </w:pPr>
          </w:p>
        </w:tc>
      </w:tr>
      <w:tr w14:paraId="3B2DB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D2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174E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“雪亮工程”是以县、乡、村三级综治中心为指挥平台、以综治信息化为支撑，以网格化管理</w:t>
            </w:r>
            <w:r>
              <w:rPr>
                <w:rFonts w:hint="eastAsia" w:ascii="宋体" w:hAnsi="宋体" w:cs="宋体"/>
                <w:i w:val="0"/>
                <w:iCs w:val="0"/>
                <w:color w:val="000000"/>
                <w:kern w:val="0"/>
                <w:sz w:val="18"/>
                <w:szCs w:val="18"/>
                <w:u w:val="none"/>
                <w:lang w:val="en-US" w:eastAsia="zh-CN" w:bidi="ar"/>
              </w:rPr>
              <w:t>为</w:t>
            </w:r>
            <w:r>
              <w:rPr>
                <w:rFonts w:ascii="宋体" w:hAnsi="宋体" w:eastAsia="宋体" w:cs="宋体"/>
                <w:i w:val="0"/>
                <w:iCs w:val="0"/>
                <w:color w:val="000000"/>
                <w:kern w:val="0"/>
                <w:sz w:val="18"/>
                <w:szCs w:val="18"/>
                <w:u w:val="none"/>
                <w:lang w:val="en-US" w:eastAsia="zh-CN" w:bidi="ar"/>
              </w:rPr>
              <w:t>基础，以公共安全视频监控联网应用为重点的“群众性治安防控工程”。</w:t>
            </w:r>
          </w:p>
        </w:tc>
      </w:tr>
      <w:tr w14:paraId="3B6D0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F1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97A15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22D15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5A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B6359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79181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9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3F782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项目负责人：罗小博</w:t>
            </w:r>
          </w:p>
        </w:tc>
        <w:tc>
          <w:tcPr>
            <w:tcW w:w="37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539A8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财务负责人：杨浩</w:t>
            </w:r>
          </w:p>
        </w:tc>
      </w:tr>
    </w:tbl>
    <w:p w14:paraId="7D4BC3DA">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7"/>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82"/>
        <w:gridCol w:w="1021"/>
        <w:gridCol w:w="896"/>
        <w:gridCol w:w="1439"/>
        <w:gridCol w:w="486"/>
        <w:gridCol w:w="579"/>
        <w:gridCol w:w="481"/>
        <w:gridCol w:w="1073"/>
        <w:gridCol w:w="481"/>
        <w:gridCol w:w="482"/>
        <w:gridCol w:w="714"/>
      </w:tblGrid>
      <w:tr w14:paraId="1DDD9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78AFE1">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62E0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6D25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E2A3E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51113222T000000289159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网格及设备更新（按实）</w:t>
            </w:r>
          </w:p>
        </w:tc>
      </w:tr>
      <w:tr w14:paraId="7D10C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AF33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AECC7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中共峨边彝族自治县委政法委员会本级</w:t>
            </w:r>
          </w:p>
        </w:tc>
        <w:tc>
          <w:tcPr>
            <w:tcW w:w="1073" w:type="dxa"/>
            <w:tcBorders>
              <w:top w:val="nil"/>
              <w:left w:val="nil"/>
              <w:bottom w:val="nil"/>
              <w:right w:val="nil"/>
            </w:tcBorders>
            <w:shd w:val="clear" w:color="auto" w:fill="auto"/>
            <w:vAlign w:val="center"/>
          </w:tcPr>
          <w:p w14:paraId="66FDFC09">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0B9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中共峨边彝族自治县委政法委员会</w:t>
            </w:r>
          </w:p>
        </w:tc>
      </w:tr>
      <w:tr w14:paraId="3D026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7137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4C7D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4D11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3F01EF">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24D5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BEB46">
            <w:pPr>
              <w:snapToGrid w:val="0"/>
              <w:rPr>
                <w:rFonts w:hint="eastAsia" w:ascii="宋体" w:hAnsi="宋体" w:eastAsia="宋体" w:cs="宋体"/>
                <w:i w:val="0"/>
                <w:iCs w:val="0"/>
                <w:color w:val="000000"/>
                <w:sz w:val="18"/>
                <w:szCs w:val="18"/>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A7B1B">
            <w:pPr>
              <w:snapToGrid w:val="0"/>
              <w:rPr>
                <w:rFonts w:hint="eastAsia" w:ascii="宋体" w:hAnsi="宋体" w:eastAsia="宋体" w:cs="宋体"/>
                <w:i w:val="0"/>
                <w:iCs w:val="0"/>
                <w:color w:val="000000"/>
                <w:sz w:val="18"/>
                <w:szCs w:val="18"/>
                <w:u w:val="none"/>
              </w:rPr>
            </w:pPr>
          </w:p>
        </w:tc>
        <w:tc>
          <w:tcPr>
            <w:tcW w:w="38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DF540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实施保障全县网格员手机终端及电脑PC端的正常运行。</w:t>
            </w:r>
          </w:p>
        </w:tc>
        <w:tc>
          <w:tcPr>
            <w:tcW w:w="2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35D16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保障全县网格员手机终端及电脑PC端的正常运行。</w:t>
            </w:r>
          </w:p>
        </w:tc>
      </w:tr>
      <w:tr w14:paraId="4A6CF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3D2D4">
            <w:pPr>
              <w:snapToGrid w:val="0"/>
              <w:rPr>
                <w:rFonts w:hint="eastAsia" w:ascii="宋体" w:hAnsi="宋体" w:eastAsia="宋体" w:cs="宋体"/>
                <w:i w:val="0"/>
                <w:iCs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325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1EFC8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该项目实施保障全县网格员手机终端及电脑PC端的正常运行。</w:t>
            </w:r>
          </w:p>
        </w:tc>
      </w:tr>
      <w:tr w14:paraId="1E79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5DB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04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35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6E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72C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0F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C1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28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72F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AC1B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36259">
            <w:pPr>
              <w:snapToGrid w:val="0"/>
              <w:jc w:val="center"/>
              <w:rPr>
                <w:rFonts w:hint="eastAsia" w:ascii="宋体" w:hAnsi="宋体" w:eastAsia="宋体" w:cs="宋体"/>
                <w:i w:val="0"/>
                <w:iCs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AB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48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AD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15.70</w:t>
            </w:r>
          </w:p>
        </w:tc>
        <w:tc>
          <w:tcPr>
            <w:tcW w:w="1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5DC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4D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AF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4B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FAB71">
            <w:pPr>
              <w:snapToGrid w:val="0"/>
              <w:rPr>
                <w:rFonts w:hint="eastAsia" w:ascii="黑体" w:hAnsi="黑体" w:eastAsia="黑体" w:cs="黑体"/>
                <w:i/>
                <w:iCs/>
                <w:color w:val="000000"/>
                <w:sz w:val="18"/>
                <w:szCs w:val="18"/>
                <w:u w:val="none"/>
              </w:rPr>
            </w:pPr>
          </w:p>
        </w:tc>
      </w:tr>
      <w:tr w14:paraId="424AF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4075B">
            <w:pPr>
              <w:snapToGrid w:val="0"/>
              <w:jc w:val="center"/>
              <w:rPr>
                <w:rFonts w:hint="eastAsia" w:ascii="宋体" w:hAnsi="宋体" w:eastAsia="宋体" w:cs="宋体"/>
                <w:i w:val="0"/>
                <w:iCs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38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B2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4C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15.70</w:t>
            </w:r>
          </w:p>
        </w:tc>
        <w:tc>
          <w:tcPr>
            <w:tcW w:w="1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846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C5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8D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E8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940D3">
            <w:pPr>
              <w:snapToGrid w:val="0"/>
              <w:rPr>
                <w:rFonts w:hint="eastAsia" w:ascii="黑体" w:hAnsi="黑体" w:eastAsia="黑体" w:cs="黑体"/>
                <w:i/>
                <w:iCs/>
                <w:color w:val="000000"/>
                <w:sz w:val="18"/>
                <w:szCs w:val="18"/>
                <w:u w:val="none"/>
              </w:rPr>
            </w:pPr>
          </w:p>
        </w:tc>
      </w:tr>
      <w:tr w14:paraId="23555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A86BA">
            <w:pPr>
              <w:snapToGrid w:val="0"/>
              <w:jc w:val="center"/>
              <w:rPr>
                <w:rFonts w:hint="eastAsia" w:ascii="宋体" w:hAnsi="宋体" w:eastAsia="宋体" w:cs="宋体"/>
                <w:i w:val="0"/>
                <w:iCs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FF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45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30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315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1F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67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9D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4EEFB">
            <w:pPr>
              <w:snapToGrid w:val="0"/>
              <w:rPr>
                <w:rFonts w:hint="eastAsia" w:ascii="黑体" w:hAnsi="黑体" w:eastAsia="黑体" w:cs="黑体"/>
                <w:i/>
                <w:iCs/>
                <w:color w:val="000000"/>
                <w:sz w:val="18"/>
                <w:szCs w:val="18"/>
                <w:u w:val="none"/>
              </w:rPr>
            </w:pPr>
          </w:p>
        </w:tc>
      </w:tr>
      <w:tr w14:paraId="26193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A2149">
            <w:pPr>
              <w:snapToGrid w:val="0"/>
              <w:jc w:val="center"/>
              <w:rPr>
                <w:rFonts w:hint="eastAsia" w:ascii="宋体" w:hAnsi="宋体" w:eastAsia="宋体" w:cs="宋体"/>
                <w:i w:val="0"/>
                <w:iCs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AF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69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75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15B6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F6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24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41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2BA8D">
            <w:pPr>
              <w:snapToGrid w:val="0"/>
              <w:rPr>
                <w:rFonts w:hint="eastAsia" w:ascii="黑体" w:hAnsi="黑体" w:eastAsia="黑体" w:cs="黑体"/>
                <w:i/>
                <w:iCs/>
                <w:color w:val="000000"/>
                <w:sz w:val="18"/>
                <w:szCs w:val="18"/>
                <w:u w:val="none"/>
              </w:rPr>
            </w:pPr>
          </w:p>
        </w:tc>
      </w:tr>
      <w:tr w14:paraId="5A690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AF04D">
            <w:pPr>
              <w:snapToGrid w:val="0"/>
              <w:jc w:val="center"/>
              <w:rPr>
                <w:rFonts w:hint="eastAsia" w:ascii="宋体" w:hAnsi="宋体" w:eastAsia="宋体" w:cs="宋体"/>
                <w:i w:val="0"/>
                <w:iCs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49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1C43">
            <w:pPr>
              <w:snapToGrid w:val="0"/>
              <w:jc w:val="center"/>
              <w:rPr>
                <w:rFonts w:hint="eastAsia" w:ascii="微软雅黑" w:hAnsi="微软雅黑" w:eastAsia="微软雅黑" w:cs="微软雅黑"/>
                <w:i/>
                <w:iCs/>
                <w:color w:val="000000"/>
                <w:sz w:val="16"/>
                <w:szCs w:val="16"/>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F0EA">
            <w:pPr>
              <w:snapToGrid w:val="0"/>
              <w:jc w:val="center"/>
              <w:rPr>
                <w:rFonts w:hint="eastAsia" w:ascii="微软雅黑" w:hAnsi="微软雅黑" w:eastAsia="微软雅黑" w:cs="微软雅黑"/>
                <w:i/>
                <w:iCs/>
                <w:color w:val="000000"/>
                <w:sz w:val="16"/>
                <w:szCs w:val="16"/>
                <w:u w:val="none"/>
              </w:rPr>
            </w:pPr>
          </w:p>
        </w:tc>
        <w:tc>
          <w:tcPr>
            <w:tcW w:w="15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BD5704">
            <w:pPr>
              <w:snapToGrid w:val="0"/>
              <w:jc w:val="center"/>
              <w:rPr>
                <w:rFonts w:hint="eastAsia" w:ascii="微软雅黑" w:hAnsi="微软雅黑" w:eastAsia="微软雅黑" w:cs="微软雅黑"/>
                <w:i/>
                <w:iCs/>
                <w:color w:val="000000"/>
                <w:sz w:val="16"/>
                <w:szCs w:val="16"/>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CC73">
            <w:pPr>
              <w:snapToGrid w:val="0"/>
              <w:jc w:val="center"/>
              <w:rPr>
                <w:rFonts w:hint="eastAsia" w:ascii="微软雅黑" w:hAnsi="微软雅黑" w:eastAsia="微软雅黑" w:cs="微软雅黑"/>
                <w:i/>
                <w:iCs/>
                <w:color w:val="000000"/>
                <w:sz w:val="16"/>
                <w:szCs w:val="16"/>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F5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A1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FBA60">
            <w:pPr>
              <w:snapToGrid w:val="0"/>
              <w:rPr>
                <w:rFonts w:hint="eastAsia" w:ascii="黑体" w:hAnsi="黑体" w:eastAsia="黑体" w:cs="黑体"/>
                <w:i/>
                <w:iCs/>
                <w:color w:val="000000"/>
                <w:sz w:val="18"/>
                <w:szCs w:val="18"/>
                <w:u w:val="none"/>
              </w:rPr>
            </w:pPr>
          </w:p>
        </w:tc>
      </w:tr>
      <w:tr w14:paraId="661B9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27B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CA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2F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28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4B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8E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8C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B8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AD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36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AB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A069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8721D">
            <w:pPr>
              <w:snapToGrid w:val="0"/>
              <w:jc w:val="center"/>
              <w:rPr>
                <w:rFonts w:hint="eastAsia" w:ascii="宋体" w:hAnsi="宋体" w:eastAsia="宋体" w:cs="宋体"/>
                <w:i w:val="0"/>
                <w:iCs w:val="0"/>
                <w:color w:val="000000"/>
                <w:sz w:val="18"/>
                <w:szCs w:val="18"/>
                <w:u w:val="none"/>
              </w:rPr>
            </w:pP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A3E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47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1F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网格员手机终端及设备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FE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61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41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78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8A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18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CA5E">
            <w:pPr>
              <w:snapToGrid w:val="0"/>
              <w:jc w:val="center"/>
              <w:rPr>
                <w:rFonts w:hint="eastAsia" w:ascii="宋体" w:hAnsi="宋体" w:eastAsia="宋体" w:cs="宋体"/>
                <w:i w:val="0"/>
                <w:iCs w:val="0"/>
                <w:color w:val="000000"/>
                <w:sz w:val="18"/>
                <w:szCs w:val="18"/>
                <w:u w:val="none"/>
              </w:rPr>
            </w:pPr>
          </w:p>
        </w:tc>
      </w:tr>
      <w:tr w14:paraId="4E3DD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B7F47">
            <w:pPr>
              <w:snapToGrid w:val="0"/>
              <w:jc w:val="center"/>
              <w:rPr>
                <w:rFonts w:hint="eastAsia" w:ascii="宋体" w:hAnsi="宋体" w:eastAsia="宋体" w:cs="宋体"/>
                <w:i w:val="0"/>
                <w:iCs w:val="0"/>
                <w:color w:val="000000"/>
                <w:sz w:val="18"/>
                <w:szCs w:val="18"/>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83CD1">
            <w:pPr>
              <w:snapToGrid w:val="0"/>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6F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17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项目开展期限</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15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3E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F6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86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58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6E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F079">
            <w:pPr>
              <w:snapToGrid w:val="0"/>
              <w:jc w:val="center"/>
              <w:rPr>
                <w:rFonts w:hint="eastAsia" w:ascii="宋体" w:hAnsi="宋体" w:eastAsia="宋体" w:cs="宋体"/>
                <w:i w:val="0"/>
                <w:iCs w:val="0"/>
                <w:color w:val="000000"/>
                <w:sz w:val="18"/>
                <w:szCs w:val="18"/>
                <w:u w:val="none"/>
              </w:rPr>
            </w:pPr>
          </w:p>
        </w:tc>
      </w:tr>
      <w:tr w14:paraId="714C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A9CB1">
            <w:pPr>
              <w:snapToGrid w:val="0"/>
              <w:jc w:val="center"/>
              <w:rPr>
                <w:rFonts w:hint="eastAsia" w:ascii="宋体" w:hAnsi="宋体" w:eastAsia="宋体" w:cs="宋体"/>
                <w:i w:val="0"/>
                <w:iCs w:val="0"/>
                <w:color w:val="000000"/>
                <w:sz w:val="18"/>
                <w:szCs w:val="18"/>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2FD9D">
            <w:pPr>
              <w:snapToGrid w:val="0"/>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69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64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发现化解网格类矛盾纠纷</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4B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7D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77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43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D7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A0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B1D6">
            <w:pPr>
              <w:snapToGrid w:val="0"/>
              <w:jc w:val="center"/>
              <w:rPr>
                <w:rFonts w:hint="eastAsia" w:ascii="宋体" w:hAnsi="宋体" w:eastAsia="宋体" w:cs="宋体"/>
                <w:i w:val="0"/>
                <w:iCs w:val="0"/>
                <w:color w:val="000000"/>
                <w:sz w:val="18"/>
                <w:szCs w:val="18"/>
                <w:u w:val="none"/>
              </w:rPr>
            </w:pPr>
          </w:p>
        </w:tc>
      </w:tr>
      <w:tr w14:paraId="04469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2EA1B">
            <w:pPr>
              <w:snapToGrid w:val="0"/>
              <w:jc w:val="center"/>
              <w:rPr>
                <w:rFonts w:hint="eastAsia" w:ascii="宋体" w:hAnsi="宋体" w:eastAsia="宋体" w:cs="宋体"/>
                <w:i w:val="0"/>
                <w:iCs w:val="0"/>
                <w:color w:val="000000"/>
                <w:sz w:val="18"/>
                <w:szCs w:val="18"/>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30554">
            <w:pPr>
              <w:snapToGrid w:val="0"/>
              <w:jc w:val="center"/>
              <w:rPr>
                <w:rFonts w:hint="eastAsia" w:ascii="宋体" w:hAnsi="宋体" w:eastAsia="宋体" w:cs="宋体"/>
                <w:i w:val="0"/>
                <w:iCs w:val="0"/>
                <w:color w:val="000000"/>
                <w:sz w:val="18"/>
                <w:szCs w:val="18"/>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13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85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项目投入金额</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E7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A8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90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50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15.7</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D9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BC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3328">
            <w:pPr>
              <w:snapToGrid w:val="0"/>
              <w:jc w:val="center"/>
              <w:rPr>
                <w:rFonts w:hint="eastAsia" w:ascii="宋体" w:hAnsi="宋体" w:eastAsia="宋体" w:cs="宋体"/>
                <w:i w:val="0"/>
                <w:iCs w:val="0"/>
                <w:color w:val="000000"/>
                <w:sz w:val="18"/>
                <w:szCs w:val="18"/>
                <w:u w:val="none"/>
              </w:rPr>
            </w:pPr>
          </w:p>
        </w:tc>
      </w:tr>
      <w:tr w14:paraId="5A953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1184C">
            <w:pPr>
              <w:snapToGrid w:val="0"/>
              <w:jc w:val="center"/>
              <w:rPr>
                <w:rFonts w:hint="eastAsia" w:ascii="宋体" w:hAnsi="宋体" w:eastAsia="宋体" w:cs="宋体"/>
                <w:i w:val="0"/>
                <w:iCs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CA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1B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E2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服务群众，解决民生事项，提升群众满意度</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FE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D3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F004">
            <w:pPr>
              <w:snapToGrid w:val="0"/>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D0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57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09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358F">
            <w:pPr>
              <w:snapToGrid w:val="0"/>
              <w:jc w:val="center"/>
              <w:rPr>
                <w:rFonts w:hint="eastAsia" w:ascii="宋体" w:hAnsi="宋体" w:eastAsia="宋体" w:cs="宋体"/>
                <w:i w:val="0"/>
                <w:iCs w:val="0"/>
                <w:color w:val="000000"/>
                <w:sz w:val="18"/>
                <w:szCs w:val="18"/>
                <w:u w:val="none"/>
              </w:rPr>
            </w:pPr>
          </w:p>
        </w:tc>
      </w:tr>
      <w:tr w14:paraId="06F8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72F0B">
            <w:pPr>
              <w:snapToGrid w:val="0"/>
              <w:jc w:val="center"/>
              <w:rPr>
                <w:rFonts w:hint="eastAsia" w:ascii="宋体" w:hAnsi="宋体" w:eastAsia="宋体" w:cs="宋体"/>
                <w:i w:val="0"/>
                <w:iCs w:val="0"/>
                <w:color w:val="000000"/>
                <w:sz w:val="18"/>
                <w:szCs w:val="18"/>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CE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63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服务对象满意度指标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FA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服务对象满意度</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75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31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82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53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B3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D7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E4E3">
            <w:pPr>
              <w:snapToGrid w:val="0"/>
              <w:jc w:val="center"/>
              <w:rPr>
                <w:rFonts w:hint="eastAsia" w:ascii="宋体" w:hAnsi="宋体" w:eastAsia="宋体" w:cs="宋体"/>
                <w:i w:val="0"/>
                <w:iCs w:val="0"/>
                <w:color w:val="000000"/>
                <w:sz w:val="18"/>
                <w:szCs w:val="18"/>
                <w:u w:val="none"/>
              </w:rPr>
            </w:pPr>
          </w:p>
        </w:tc>
      </w:tr>
      <w:tr w14:paraId="1D0C5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5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6FFC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EB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0CB1">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4CE7">
            <w:pPr>
              <w:snapToGrid w:val="0"/>
              <w:rPr>
                <w:rFonts w:hint="eastAsia" w:ascii="宋体" w:hAnsi="宋体" w:eastAsia="宋体" w:cs="宋体"/>
                <w:i w:val="0"/>
                <w:iCs w:val="0"/>
                <w:color w:val="000000"/>
                <w:sz w:val="18"/>
                <w:szCs w:val="18"/>
                <w:u w:val="none"/>
              </w:rPr>
            </w:pPr>
          </w:p>
        </w:tc>
      </w:tr>
      <w:tr w14:paraId="4FDB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D7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6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73CAB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加强以信息化为支撑</w:t>
            </w:r>
            <w:r>
              <w:rPr>
                <w:rFonts w:hint="eastAsia" w:ascii="宋体" w:hAnsi="宋体" w:cs="宋体"/>
                <w:i w:val="0"/>
                <w:iCs w:val="0"/>
                <w:color w:val="000000"/>
                <w:kern w:val="0"/>
                <w:sz w:val="18"/>
                <w:szCs w:val="18"/>
                <w:u w:val="none"/>
                <w:lang w:val="en-US" w:eastAsia="zh-CN" w:bidi="ar"/>
              </w:rPr>
              <w:t>的</w:t>
            </w:r>
            <w:r>
              <w:rPr>
                <w:rFonts w:ascii="宋体" w:hAnsi="宋体" w:eastAsia="宋体" w:cs="宋体"/>
                <w:i w:val="0"/>
                <w:iCs w:val="0"/>
                <w:color w:val="000000"/>
                <w:kern w:val="0"/>
                <w:sz w:val="18"/>
                <w:szCs w:val="18"/>
                <w:u w:val="none"/>
                <w:lang w:val="en-US" w:eastAsia="zh-CN" w:bidi="ar"/>
              </w:rPr>
              <w:t>网格化和综治信息化为支撑的网格化管理和综治信息化建设，对实现资源整合、力量协调、工作统筹，推动更高层次、更高水平的平安建设和社会管理意义重大。该项目的实施保障全县网格员手机终端及电脑PC端的正常运行。</w:t>
            </w:r>
          </w:p>
        </w:tc>
      </w:tr>
      <w:tr w14:paraId="27CA4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D1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6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AF6AB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5F267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5F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6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7073A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00AF9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6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8CB35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项目负责人：罗小博</w:t>
            </w:r>
          </w:p>
        </w:tc>
        <w:tc>
          <w:tcPr>
            <w:tcW w:w="3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C1602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财务负责人：杨浩</w:t>
            </w:r>
          </w:p>
        </w:tc>
      </w:tr>
    </w:tbl>
    <w:p w14:paraId="66A4968C">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7"/>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38"/>
        <w:gridCol w:w="1034"/>
        <w:gridCol w:w="869"/>
        <w:gridCol w:w="1483"/>
        <w:gridCol w:w="477"/>
        <w:gridCol w:w="481"/>
        <w:gridCol w:w="476"/>
        <w:gridCol w:w="1037"/>
        <w:gridCol w:w="455"/>
        <w:gridCol w:w="459"/>
        <w:gridCol w:w="725"/>
      </w:tblGrid>
      <w:tr w14:paraId="462A3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503FF5">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2FB1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A9AD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4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3344F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51113223T000009284175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信访维稳处突国安专项经费</w:t>
            </w:r>
          </w:p>
        </w:tc>
      </w:tr>
      <w:tr w14:paraId="6C202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A507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68138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中共峨边彝族自治县委政法委员会本级</w:t>
            </w:r>
          </w:p>
        </w:tc>
        <w:tc>
          <w:tcPr>
            <w:tcW w:w="1037" w:type="dxa"/>
            <w:tcBorders>
              <w:top w:val="nil"/>
              <w:left w:val="nil"/>
              <w:bottom w:val="nil"/>
              <w:right w:val="nil"/>
            </w:tcBorders>
            <w:shd w:val="clear" w:color="auto" w:fill="auto"/>
            <w:vAlign w:val="center"/>
          </w:tcPr>
          <w:p w14:paraId="4C5F166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2271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中共峨边彝族自治县委政法委员会</w:t>
            </w:r>
          </w:p>
        </w:tc>
      </w:tr>
      <w:tr w14:paraId="30A9E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37E0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B577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4375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C51AF2">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5AC0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A2CEC">
            <w:pPr>
              <w:snapToGrid w:val="0"/>
              <w:rPr>
                <w:rFonts w:hint="eastAsia" w:ascii="宋体" w:hAnsi="宋体" w:eastAsia="宋体" w:cs="宋体"/>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45790">
            <w:pPr>
              <w:snapToGrid w:val="0"/>
              <w:rPr>
                <w:rFonts w:hint="eastAsia" w:ascii="宋体" w:hAnsi="宋体" w:eastAsia="宋体" w:cs="宋体"/>
                <w:i w:val="0"/>
                <w:iCs w:val="0"/>
                <w:color w:val="000000"/>
                <w:sz w:val="18"/>
                <w:szCs w:val="18"/>
                <w:u w:val="none"/>
              </w:rPr>
            </w:pPr>
          </w:p>
        </w:tc>
        <w:tc>
          <w:tcPr>
            <w:tcW w:w="3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7F577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推进平安峨边，法治峨边建设，全县经济社会稳定进行</w:t>
            </w:r>
          </w:p>
        </w:tc>
        <w:tc>
          <w:tcPr>
            <w:tcW w:w="2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D758A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推进平安峨边，法治峨边建设，全县经济社会稳定进行</w:t>
            </w:r>
          </w:p>
        </w:tc>
      </w:tr>
      <w:tr w14:paraId="0496C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39AF0">
            <w:pPr>
              <w:snapToGrid w:val="0"/>
              <w:rPr>
                <w:rFonts w:hint="eastAsia" w:ascii="宋体" w:hAnsi="宋体" w:eastAsia="宋体" w:cs="宋体"/>
                <w:i w:val="0"/>
                <w:iCs w:val="0"/>
                <w:color w:val="000000"/>
                <w:sz w:val="18"/>
                <w:szCs w:val="18"/>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8CC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4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CDB2A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利用各种资源化解社会矛盾，确保社会稳定；为有效维护社会稳定，保障社会公平正义，旨在保障</w:t>
            </w:r>
            <w:r>
              <w:rPr>
                <w:rFonts w:hint="eastAsia" w:ascii="宋体" w:hAnsi="宋体" w:cs="宋体"/>
                <w:i w:val="0"/>
                <w:iCs w:val="0"/>
                <w:color w:val="000000"/>
                <w:kern w:val="0"/>
                <w:sz w:val="18"/>
                <w:szCs w:val="18"/>
                <w:u w:val="none"/>
                <w:lang w:val="en-US" w:eastAsia="zh-CN" w:bidi="ar"/>
              </w:rPr>
              <w:t>全县</w:t>
            </w:r>
            <w:r>
              <w:rPr>
                <w:rFonts w:ascii="宋体" w:hAnsi="宋体" w:eastAsia="宋体" w:cs="宋体"/>
                <w:i w:val="0"/>
                <w:iCs w:val="0"/>
                <w:color w:val="000000"/>
                <w:kern w:val="0"/>
                <w:sz w:val="18"/>
                <w:szCs w:val="18"/>
                <w:u w:val="none"/>
                <w:lang w:val="en-US" w:eastAsia="zh-CN" w:bidi="ar"/>
              </w:rPr>
              <w:t>维护社会稳定工作，促进社会和谐稳定。</w:t>
            </w:r>
          </w:p>
        </w:tc>
      </w:tr>
      <w:tr w14:paraId="71A5D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31A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9A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61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0C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699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DA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E4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9F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E8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42BB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E65CC">
            <w:pPr>
              <w:snapToGrid w:val="0"/>
              <w:jc w:val="center"/>
              <w:rPr>
                <w:rFonts w:hint="eastAsia" w:ascii="宋体" w:hAnsi="宋体" w:eastAsia="宋体" w:cs="宋体"/>
                <w:i w:val="0"/>
                <w:iCs w:val="0"/>
                <w:color w:val="000000"/>
                <w:sz w:val="18"/>
                <w:szCs w:val="18"/>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F9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27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76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296.06</w:t>
            </w:r>
          </w:p>
        </w:tc>
        <w:tc>
          <w:tcPr>
            <w:tcW w:w="1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6FD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296.06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3F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BA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26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E9213">
            <w:pPr>
              <w:snapToGrid w:val="0"/>
              <w:rPr>
                <w:rFonts w:hint="eastAsia" w:ascii="黑体" w:hAnsi="黑体" w:eastAsia="黑体" w:cs="黑体"/>
                <w:i/>
                <w:iCs/>
                <w:color w:val="000000"/>
                <w:sz w:val="18"/>
                <w:szCs w:val="18"/>
                <w:u w:val="none"/>
              </w:rPr>
            </w:pPr>
          </w:p>
        </w:tc>
      </w:tr>
      <w:tr w14:paraId="6CB67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4A655">
            <w:pPr>
              <w:snapToGrid w:val="0"/>
              <w:jc w:val="center"/>
              <w:rPr>
                <w:rFonts w:hint="eastAsia" w:ascii="宋体" w:hAnsi="宋体" w:eastAsia="宋体" w:cs="宋体"/>
                <w:i w:val="0"/>
                <w:iCs w:val="0"/>
                <w:color w:val="000000"/>
                <w:sz w:val="18"/>
                <w:szCs w:val="18"/>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2A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54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1C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296.06</w:t>
            </w:r>
          </w:p>
        </w:tc>
        <w:tc>
          <w:tcPr>
            <w:tcW w:w="1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930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296.06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7D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BC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27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B8B6D">
            <w:pPr>
              <w:snapToGrid w:val="0"/>
              <w:rPr>
                <w:rFonts w:hint="eastAsia" w:ascii="黑体" w:hAnsi="黑体" w:eastAsia="黑体" w:cs="黑体"/>
                <w:i/>
                <w:iCs/>
                <w:color w:val="000000"/>
                <w:sz w:val="18"/>
                <w:szCs w:val="18"/>
                <w:u w:val="none"/>
              </w:rPr>
            </w:pPr>
          </w:p>
        </w:tc>
      </w:tr>
      <w:tr w14:paraId="56B2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47647">
            <w:pPr>
              <w:snapToGrid w:val="0"/>
              <w:jc w:val="center"/>
              <w:rPr>
                <w:rFonts w:hint="eastAsia" w:ascii="宋体" w:hAnsi="宋体" w:eastAsia="宋体" w:cs="宋体"/>
                <w:i w:val="0"/>
                <w:iCs w:val="0"/>
                <w:color w:val="000000"/>
                <w:sz w:val="18"/>
                <w:szCs w:val="18"/>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BE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6E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57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ED4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62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78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FB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0832F">
            <w:pPr>
              <w:snapToGrid w:val="0"/>
              <w:rPr>
                <w:rFonts w:hint="eastAsia" w:ascii="黑体" w:hAnsi="黑体" w:eastAsia="黑体" w:cs="黑体"/>
                <w:i/>
                <w:iCs/>
                <w:color w:val="000000"/>
                <w:sz w:val="18"/>
                <w:szCs w:val="18"/>
                <w:u w:val="none"/>
              </w:rPr>
            </w:pPr>
          </w:p>
        </w:tc>
      </w:tr>
      <w:tr w14:paraId="27BB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10596">
            <w:pPr>
              <w:snapToGrid w:val="0"/>
              <w:jc w:val="center"/>
              <w:rPr>
                <w:rFonts w:hint="eastAsia" w:ascii="宋体" w:hAnsi="宋体" w:eastAsia="宋体" w:cs="宋体"/>
                <w:i w:val="0"/>
                <w:iCs w:val="0"/>
                <w:color w:val="000000"/>
                <w:sz w:val="18"/>
                <w:szCs w:val="18"/>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ED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C1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B9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C82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CF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FC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2F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5D44">
            <w:pPr>
              <w:snapToGrid w:val="0"/>
              <w:rPr>
                <w:rFonts w:hint="eastAsia" w:ascii="黑体" w:hAnsi="黑体" w:eastAsia="黑体" w:cs="黑体"/>
                <w:i/>
                <w:iCs/>
                <w:color w:val="000000"/>
                <w:sz w:val="18"/>
                <w:szCs w:val="18"/>
                <w:u w:val="none"/>
              </w:rPr>
            </w:pPr>
          </w:p>
        </w:tc>
      </w:tr>
      <w:tr w14:paraId="403A2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29B64">
            <w:pPr>
              <w:snapToGrid w:val="0"/>
              <w:jc w:val="center"/>
              <w:rPr>
                <w:rFonts w:hint="eastAsia" w:ascii="宋体" w:hAnsi="宋体" w:eastAsia="宋体" w:cs="宋体"/>
                <w:i w:val="0"/>
                <w:iCs w:val="0"/>
                <w:color w:val="000000"/>
                <w:sz w:val="18"/>
                <w:szCs w:val="18"/>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69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1C0D">
            <w:pPr>
              <w:snapToGrid w:val="0"/>
              <w:jc w:val="center"/>
              <w:rPr>
                <w:rFonts w:hint="eastAsia" w:ascii="微软雅黑" w:hAnsi="微软雅黑" w:eastAsia="微软雅黑" w:cs="微软雅黑"/>
                <w:i/>
                <w:iCs/>
                <w:color w:val="000000"/>
                <w:sz w:val="16"/>
                <w:szCs w:val="16"/>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B0E4">
            <w:pPr>
              <w:snapToGrid w:val="0"/>
              <w:jc w:val="center"/>
              <w:rPr>
                <w:rFonts w:hint="eastAsia" w:ascii="微软雅黑" w:hAnsi="微软雅黑" w:eastAsia="微软雅黑" w:cs="微软雅黑"/>
                <w:i/>
                <w:iCs/>
                <w:color w:val="000000"/>
                <w:sz w:val="16"/>
                <w:szCs w:val="16"/>
                <w:u w:val="none"/>
              </w:rPr>
            </w:pPr>
          </w:p>
        </w:tc>
        <w:tc>
          <w:tcPr>
            <w:tcW w:w="1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C3040">
            <w:pPr>
              <w:snapToGrid w:val="0"/>
              <w:jc w:val="center"/>
              <w:rPr>
                <w:rFonts w:hint="eastAsia" w:ascii="微软雅黑" w:hAnsi="微软雅黑" w:eastAsia="微软雅黑" w:cs="微软雅黑"/>
                <w:i/>
                <w:iCs/>
                <w:color w:val="000000"/>
                <w:sz w:val="16"/>
                <w:szCs w:val="16"/>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26EB">
            <w:pPr>
              <w:snapToGrid w:val="0"/>
              <w:jc w:val="center"/>
              <w:rPr>
                <w:rFonts w:hint="eastAsia" w:ascii="微软雅黑" w:hAnsi="微软雅黑" w:eastAsia="微软雅黑" w:cs="微软雅黑"/>
                <w:i/>
                <w:iCs/>
                <w:color w:val="000000"/>
                <w:sz w:val="16"/>
                <w:szCs w:val="16"/>
                <w:u w:val="none"/>
              </w:rPr>
            </w:pP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F3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A9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4C8B8">
            <w:pPr>
              <w:snapToGrid w:val="0"/>
              <w:rPr>
                <w:rFonts w:hint="eastAsia" w:ascii="黑体" w:hAnsi="黑体" w:eastAsia="黑体" w:cs="黑体"/>
                <w:i/>
                <w:iCs/>
                <w:color w:val="000000"/>
                <w:sz w:val="18"/>
                <w:szCs w:val="18"/>
                <w:u w:val="none"/>
              </w:rPr>
            </w:pPr>
          </w:p>
        </w:tc>
      </w:tr>
      <w:tr w14:paraId="6E113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2E5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4A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8C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35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3E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A0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7F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9B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36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8A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7E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773D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855C5">
            <w:pPr>
              <w:snapToGrid w:val="0"/>
              <w:jc w:val="center"/>
              <w:rPr>
                <w:rFonts w:hint="eastAsia" w:ascii="宋体" w:hAnsi="宋体" w:eastAsia="宋体" w:cs="宋体"/>
                <w:i w:val="0"/>
                <w:iCs w:val="0"/>
                <w:color w:val="000000"/>
                <w:sz w:val="18"/>
                <w:szCs w:val="18"/>
                <w:u w:val="none"/>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EBF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EF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F5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处理信访事件</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C8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37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5A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件/人</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82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67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DF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F486">
            <w:pPr>
              <w:snapToGrid w:val="0"/>
              <w:jc w:val="center"/>
              <w:rPr>
                <w:rFonts w:hint="eastAsia" w:ascii="微软雅黑" w:hAnsi="微软雅黑" w:eastAsia="微软雅黑" w:cs="微软雅黑"/>
                <w:i/>
                <w:iCs/>
                <w:color w:val="000000"/>
                <w:sz w:val="16"/>
                <w:szCs w:val="16"/>
                <w:u w:val="none"/>
              </w:rPr>
            </w:pPr>
          </w:p>
        </w:tc>
      </w:tr>
      <w:tr w14:paraId="7A950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1CFCE">
            <w:pPr>
              <w:snapToGrid w:val="0"/>
              <w:jc w:val="center"/>
              <w:rPr>
                <w:rFonts w:hint="eastAsia" w:ascii="宋体" w:hAnsi="宋体" w:eastAsia="宋体" w:cs="宋体"/>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B4ECE">
            <w:pPr>
              <w:snapToGrid w:val="0"/>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4E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8E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确保全县信访维稳处突国安工作取得实效</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C9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4D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E0EB">
            <w:pPr>
              <w:snapToGrid w:val="0"/>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17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BA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37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2F05">
            <w:pPr>
              <w:snapToGrid w:val="0"/>
              <w:jc w:val="center"/>
              <w:rPr>
                <w:rFonts w:hint="eastAsia" w:ascii="微软雅黑" w:hAnsi="微软雅黑" w:eastAsia="微软雅黑" w:cs="微软雅黑"/>
                <w:i/>
                <w:iCs/>
                <w:color w:val="000000"/>
                <w:sz w:val="16"/>
                <w:szCs w:val="16"/>
                <w:u w:val="none"/>
              </w:rPr>
            </w:pPr>
          </w:p>
        </w:tc>
      </w:tr>
      <w:tr w14:paraId="0B93C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83C94">
            <w:pPr>
              <w:snapToGrid w:val="0"/>
              <w:jc w:val="center"/>
              <w:rPr>
                <w:rFonts w:hint="eastAsia" w:ascii="宋体" w:hAnsi="宋体" w:eastAsia="宋体" w:cs="宋体"/>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6BE7F">
            <w:pPr>
              <w:snapToGrid w:val="0"/>
              <w:jc w:val="center"/>
              <w:rPr>
                <w:rFonts w:hint="eastAsia" w:ascii="宋体" w:hAnsi="宋体" w:eastAsia="宋体" w:cs="宋体"/>
                <w:i w:val="0"/>
                <w:iCs w:val="0"/>
                <w:color w:val="000000"/>
                <w:sz w:val="18"/>
                <w:szCs w:val="18"/>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27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FA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全县信访维稳处突工作</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DB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02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9A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31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A7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26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5B3A">
            <w:pPr>
              <w:snapToGrid w:val="0"/>
              <w:jc w:val="center"/>
              <w:rPr>
                <w:rFonts w:hint="eastAsia" w:ascii="微软雅黑" w:hAnsi="微软雅黑" w:eastAsia="微软雅黑" w:cs="微软雅黑"/>
                <w:i/>
                <w:iCs/>
                <w:color w:val="000000"/>
                <w:sz w:val="16"/>
                <w:szCs w:val="16"/>
                <w:u w:val="none"/>
              </w:rPr>
            </w:pPr>
          </w:p>
        </w:tc>
      </w:tr>
      <w:tr w14:paraId="18B49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4C41B">
            <w:pPr>
              <w:snapToGrid w:val="0"/>
              <w:jc w:val="center"/>
              <w:rPr>
                <w:rFonts w:hint="eastAsia" w:ascii="宋体" w:hAnsi="宋体" w:eastAsia="宋体" w:cs="宋体"/>
                <w:i w:val="0"/>
                <w:iCs w:val="0"/>
                <w:color w:val="000000"/>
                <w:sz w:val="18"/>
                <w:szCs w:val="18"/>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E0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4E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99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确保全县和谐稳定</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58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E3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7E05">
            <w:pPr>
              <w:snapToGrid w:val="0"/>
              <w:jc w:val="center"/>
              <w:rPr>
                <w:rFonts w:hint="eastAsia" w:ascii="宋体" w:hAnsi="宋体" w:eastAsia="宋体" w:cs="宋体"/>
                <w:i w:val="0"/>
                <w:iCs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59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05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01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8F8D">
            <w:pPr>
              <w:snapToGrid w:val="0"/>
              <w:jc w:val="center"/>
              <w:rPr>
                <w:rFonts w:hint="eastAsia" w:ascii="微软雅黑" w:hAnsi="微软雅黑" w:eastAsia="微软雅黑" w:cs="微软雅黑"/>
                <w:i/>
                <w:iCs/>
                <w:color w:val="000000"/>
                <w:sz w:val="16"/>
                <w:szCs w:val="16"/>
                <w:u w:val="none"/>
              </w:rPr>
            </w:pPr>
          </w:p>
        </w:tc>
      </w:tr>
      <w:tr w14:paraId="1BFF5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4A076">
            <w:pPr>
              <w:snapToGrid w:val="0"/>
              <w:jc w:val="center"/>
              <w:rPr>
                <w:rFonts w:hint="eastAsia" w:ascii="宋体" w:hAnsi="宋体" w:eastAsia="宋体" w:cs="宋体"/>
                <w:i w:val="0"/>
                <w:iCs w:val="0"/>
                <w:color w:val="000000"/>
                <w:sz w:val="18"/>
                <w:szCs w:val="18"/>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B8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B7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BA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满意度有效提升</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A5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7F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62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B5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32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A0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F409">
            <w:pPr>
              <w:snapToGrid w:val="0"/>
              <w:jc w:val="center"/>
              <w:rPr>
                <w:rFonts w:hint="eastAsia" w:ascii="微软雅黑" w:hAnsi="微软雅黑" w:eastAsia="微软雅黑" w:cs="微软雅黑"/>
                <w:i/>
                <w:iCs/>
                <w:color w:val="000000"/>
                <w:sz w:val="16"/>
                <w:szCs w:val="16"/>
                <w:u w:val="none"/>
              </w:rPr>
            </w:pPr>
          </w:p>
        </w:tc>
      </w:tr>
      <w:tr w14:paraId="5C69B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7D73D">
            <w:pPr>
              <w:snapToGrid w:val="0"/>
              <w:jc w:val="center"/>
              <w:rPr>
                <w:rFonts w:hint="eastAsia" w:ascii="宋体" w:hAnsi="宋体" w:eastAsia="宋体" w:cs="宋体"/>
                <w:i w:val="0"/>
                <w:iCs w:val="0"/>
                <w:color w:val="000000"/>
                <w:sz w:val="18"/>
                <w:szCs w:val="18"/>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55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D5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C1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每年预算</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C9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BE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2C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6F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D3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54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A23A">
            <w:pPr>
              <w:snapToGrid w:val="0"/>
              <w:jc w:val="center"/>
              <w:rPr>
                <w:rFonts w:hint="eastAsia" w:ascii="微软雅黑" w:hAnsi="微软雅黑" w:eastAsia="微软雅黑" w:cs="微软雅黑"/>
                <w:i/>
                <w:iCs/>
                <w:color w:val="000000"/>
                <w:sz w:val="16"/>
                <w:szCs w:val="16"/>
                <w:u w:val="none"/>
              </w:rPr>
            </w:pPr>
          </w:p>
        </w:tc>
      </w:tr>
      <w:tr w14:paraId="61073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DC7E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62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4095">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0BFA">
            <w:pPr>
              <w:snapToGrid w:val="0"/>
              <w:rPr>
                <w:rFonts w:hint="eastAsia" w:ascii="宋体" w:hAnsi="宋体" w:eastAsia="宋体" w:cs="宋体"/>
                <w:i w:val="0"/>
                <w:iCs w:val="0"/>
                <w:color w:val="000000"/>
                <w:sz w:val="18"/>
                <w:szCs w:val="18"/>
                <w:u w:val="none"/>
              </w:rPr>
            </w:pPr>
          </w:p>
        </w:tc>
      </w:tr>
      <w:tr w14:paraId="352E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C1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4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809AE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该项目推进平安峨边，法治峨边建设，全县经济社会稳定进行</w:t>
            </w:r>
          </w:p>
        </w:tc>
      </w:tr>
      <w:tr w14:paraId="35D34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0A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4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D2D18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4323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7A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4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7B397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1E914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D1E38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项目负责人：罗小博</w:t>
            </w:r>
          </w:p>
        </w:tc>
        <w:tc>
          <w:tcPr>
            <w:tcW w:w="36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12471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财务负责人：杨浩</w:t>
            </w:r>
          </w:p>
        </w:tc>
      </w:tr>
    </w:tbl>
    <w:p w14:paraId="63AAA99C">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7"/>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31"/>
        <w:gridCol w:w="907"/>
        <w:gridCol w:w="852"/>
        <w:gridCol w:w="1390"/>
        <w:gridCol w:w="437"/>
        <w:gridCol w:w="391"/>
        <w:gridCol w:w="439"/>
        <w:gridCol w:w="1233"/>
        <w:gridCol w:w="535"/>
        <w:gridCol w:w="535"/>
        <w:gridCol w:w="884"/>
      </w:tblGrid>
      <w:tr w14:paraId="7CCC9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654BCA">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CF97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344A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6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32E8B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51113224T000011494491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平安峨边建设经费</w:t>
            </w:r>
          </w:p>
        </w:tc>
      </w:tr>
      <w:tr w14:paraId="7868B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278E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96E39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中共峨边彝族自治县委政法委员会本级</w:t>
            </w:r>
          </w:p>
        </w:tc>
        <w:tc>
          <w:tcPr>
            <w:tcW w:w="1233" w:type="dxa"/>
            <w:tcBorders>
              <w:top w:val="nil"/>
              <w:left w:val="nil"/>
              <w:bottom w:val="nil"/>
              <w:right w:val="nil"/>
            </w:tcBorders>
            <w:shd w:val="clear" w:color="auto" w:fill="auto"/>
            <w:vAlign w:val="center"/>
          </w:tcPr>
          <w:p w14:paraId="25AEF7B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2FD6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中共峨边彝族自治县委政法委员会</w:t>
            </w:r>
          </w:p>
        </w:tc>
      </w:tr>
      <w:tr w14:paraId="6F785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7A13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A1BC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6EED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E5244B">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283A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89F2B">
            <w:pPr>
              <w:snapToGrid w:val="0"/>
              <w:rPr>
                <w:rFonts w:hint="eastAsia" w:ascii="宋体" w:hAnsi="宋体" w:eastAsia="宋体" w:cs="宋体"/>
                <w:i w:val="0"/>
                <w:iCs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E1220">
            <w:pPr>
              <w:snapToGrid w:val="0"/>
              <w:rPr>
                <w:rFonts w:hint="eastAsia" w:ascii="宋体" w:hAnsi="宋体" w:eastAsia="宋体" w:cs="宋体"/>
                <w:i w:val="0"/>
                <w:iCs w:val="0"/>
                <w:color w:val="000000"/>
                <w:sz w:val="18"/>
                <w:szCs w:val="18"/>
                <w:u w:val="none"/>
              </w:rPr>
            </w:pPr>
          </w:p>
        </w:tc>
        <w:tc>
          <w:tcPr>
            <w:tcW w:w="3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B9B91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平安建设、严重精神障碍患者、综合治理、法学会、平安建设、国家政治安全等工作经费</w:t>
            </w:r>
          </w:p>
        </w:tc>
        <w:tc>
          <w:tcPr>
            <w:tcW w:w="31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46074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完成平安建设、严重精神障碍患者、综合治理、法学会、平安建设、国家政治安全等相关工作</w:t>
            </w:r>
          </w:p>
        </w:tc>
      </w:tr>
      <w:tr w14:paraId="70A69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D5DBC">
            <w:pPr>
              <w:snapToGrid w:val="0"/>
              <w:rPr>
                <w:rFonts w:hint="eastAsia" w:ascii="宋体" w:hAnsi="宋体" w:eastAsia="宋体" w:cs="宋体"/>
                <w:i w:val="0"/>
                <w:iCs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93F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6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15AE0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平安建设、严重精神障碍患者、综合治理、法学会、平安建设、国家政治安全等工作经费</w:t>
            </w:r>
          </w:p>
        </w:tc>
      </w:tr>
      <w:tr w14:paraId="4A558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A77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AD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C8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3F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36B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BA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18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7A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22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854F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D505B">
            <w:pPr>
              <w:snapToGrid w:val="0"/>
              <w:jc w:val="center"/>
              <w:rPr>
                <w:rFonts w:hint="eastAsia" w:ascii="宋体" w:hAnsi="宋体" w:eastAsia="宋体" w:cs="宋体"/>
                <w:i w:val="0"/>
                <w:iCs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EB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6B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3D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29.96</w:t>
            </w:r>
          </w:p>
        </w:tc>
        <w:tc>
          <w:tcPr>
            <w:tcW w:w="12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9EC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29.96</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B6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CE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DC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F9094">
            <w:pPr>
              <w:snapToGrid w:val="0"/>
              <w:rPr>
                <w:rFonts w:hint="eastAsia" w:ascii="黑体" w:hAnsi="黑体" w:eastAsia="黑体" w:cs="黑体"/>
                <w:i/>
                <w:iCs/>
                <w:color w:val="000000"/>
                <w:sz w:val="18"/>
                <w:szCs w:val="18"/>
                <w:u w:val="none"/>
              </w:rPr>
            </w:pPr>
          </w:p>
        </w:tc>
      </w:tr>
      <w:tr w14:paraId="30B50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D9162">
            <w:pPr>
              <w:snapToGrid w:val="0"/>
              <w:jc w:val="center"/>
              <w:rPr>
                <w:rFonts w:hint="eastAsia" w:ascii="宋体" w:hAnsi="宋体" w:eastAsia="宋体" w:cs="宋体"/>
                <w:i w:val="0"/>
                <w:iCs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B6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E2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13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29.96</w:t>
            </w:r>
          </w:p>
        </w:tc>
        <w:tc>
          <w:tcPr>
            <w:tcW w:w="12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8D4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29.96</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46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A2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C4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FF1FB">
            <w:pPr>
              <w:snapToGrid w:val="0"/>
              <w:rPr>
                <w:rFonts w:hint="eastAsia" w:ascii="黑体" w:hAnsi="黑体" w:eastAsia="黑体" w:cs="黑体"/>
                <w:i/>
                <w:iCs/>
                <w:color w:val="000000"/>
                <w:sz w:val="18"/>
                <w:szCs w:val="18"/>
                <w:u w:val="none"/>
              </w:rPr>
            </w:pPr>
          </w:p>
        </w:tc>
      </w:tr>
      <w:tr w14:paraId="19FB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39C7A">
            <w:pPr>
              <w:snapToGrid w:val="0"/>
              <w:jc w:val="center"/>
              <w:rPr>
                <w:rFonts w:hint="eastAsia" w:ascii="宋体" w:hAnsi="宋体" w:eastAsia="宋体" w:cs="宋体"/>
                <w:i w:val="0"/>
                <w:iCs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B2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81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C0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EA34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2F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CC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2D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EDB62">
            <w:pPr>
              <w:snapToGrid w:val="0"/>
              <w:rPr>
                <w:rFonts w:hint="eastAsia" w:ascii="黑体" w:hAnsi="黑体" w:eastAsia="黑体" w:cs="黑体"/>
                <w:i/>
                <w:iCs/>
                <w:color w:val="000000"/>
                <w:sz w:val="18"/>
                <w:szCs w:val="18"/>
                <w:u w:val="none"/>
              </w:rPr>
            </w:pPr>
          </w:p>
        </w:tc>
      </w:tr>
      <w:tr w14:paraId="4549D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6E53C">
            <w:pPr>
              <w:snapToGrid w:val="0"/>
              <w:jc w:val="center"/>
              <w:rPr>
                <w:rFonts w:hint="eastAsia" w:ascii="宋体" w:hAnsi="宋体" w:eastAsia="宋体" w:cs="宋体"/>
                <w:i w:val="0"/>
                <w:iCs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98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D6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87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5565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F8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4F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03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0D5D0">
            <w:pPr>
              <w:snapToGrid w:val="0"/>
              <w:rPr>
                <w:rFonts w:hint="eastAsia" w:ascii="黑体" w:hAnsi="黑体" w:eastAsia="黑体" w:cs="黑体"/>
                <w:i/>
                <w:iCs/>
                <w:color w:val="000000"/>
                <w:sz w:val="18"/>
                <w:szCs w:val="18"/>
                <w:u w:val="none"/>
              </w:rPr>
            </w:pPr>
          </w:p>
        </w:tc>
      </w:tr>
      <w:tr w14:paraId="09011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879CB">
            <w:pPr>
              <w:snapToGrid w:val="0"/>
              <w:jc w:val="center"/>
              <w:rPr>
                <w:rFonts w:hint="eastAsia" w:ascii="宋体" w:hAnsi="宋体" w:eastAsia="宋体" w:cs="宋体"/>
                <w:i w:val="0"/>
                <w:iCs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E9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8A06">
            <w:pPr>
              <w:snapToGrid w:val="0"/>
              <w:jc w:val="center"/>
              <w:rPr>
                <w:rFonts w:hint="eastAsia" w:ascii="微软雅黑" w:hAnsi="微软雅黑" w:eastAsia="微软雅黑" w:cs="微软雅黑"/>
                <w:i/>
                <w:iCs/>
                <w:color w:val="000000"/>
                <w:sz w:val="16"/>
                <w:szCs w:val="16"/>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40DF">
            <w:pPr>
              <w:snapToGrid w:val="0"/>
              <w:jc w:val="center"/>
              <w:rPr>
                <w:rFonts w:hint="eastAsia" w:ascii="微软雅黑" w:hAnsi="微软雅黑" w:eastAsia="微软雅黑" w:cs="微软雅黑"/>
                <w:i/>
                <w:iCs/>
                <w:color w:val="000000"/>
                <w:sz w:val="16"/>
                <w:szCs w:val="16"/>
                <w:u w:val="none"/>
              </w:rPr>
            </w:pPr>
          </w:p>
        </w:tc>
        <w:tc>
          <w:tcPr>
            <w:tcW w:w="12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F99C77">
            <w:pPr>
              <w:snapToGrid w:val="0"/>
              <w:jc w:val="center"/>
              <w:rPr>
                <w:rFonts w:hint="eastAsia" w:ascii="微软雅黑" w:hAnsi="微软雅黑" w:eastAsia="微软雅黑" w:cs="微软雅黑"/>
                <w:i/>
                <w:iCs/>
                <w:color w:val="000000"/>
                <w:sz w:val="16"/>
                <w:szCs w:val="16"/>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5CC1">
            <w:pPr>
              <w:snapToGrid w:val="0"/>
              <w:jc w:val="center"/>
              <w:rPr>
                <w:rFonts w:hint="eastAsia" w:ascii="微软雅黑" w:hAnsi="微软雅黑" w:eastAsia="微软雅黑" w:cs="微软雅黑"/>
                <w:i/>
                <w:iCs/>
                <w:color w:val="000000"/>
                <w:sz w:val="16"/>
                <w:szCs w:val="16"/>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0A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86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54B86">
            <w:pPr>
              <w:snapToGrid w:val="0"/>
              <w:rPr>
                <w:rFonts w:hint="eastAsia" w:ascii="黑体" w:hAnsi="黑体" w:eastAsia="黑体" w:cs="黑体"/>
                <w:i/>
                <w:iCs/>
                <w:color w:val="000000"/>
                <w:sz w:val="18"/>
                <w:szCs w:val="18"/>
                <w:u w:val="none"/>
              </w:rPr>
            </w:pPr>
          </w:p>
        </w:tc>
      </w:tr>
      <w:tr w14:paraId="73FA1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145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C5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53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91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FE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7F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A0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28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23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C4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0B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3689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7CAC9">
            <w:pPr>
              <w:snapToGrid w:val="0"/>
              <w:jc w:val="center"/>
              <w:rPr>
                <w:rFonts w:hint="eastAsia" w:ascii="宋体" w:hAnsi="宋体" w:eastAsia="宋体" w:cs="宋体"/>
                <w:i w:val="0"/>
                <w:iCs w:val="0"/>
                <w:color w:val="000000"/>
                <w:sz w:val="18"/>
                <w:szCs w:val="18"/>
                <w:u w:val="none"/>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220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333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44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反邪教教育转化</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69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AE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36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C2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04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3D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590C">
            <w:pPr>
              <w:snapToGrid w:val="0"/>
              <w:jc w:val="center"/>
              <w:rPr>
                <w:rFonts w:hint="eastAsia" w:ascii="微软雅黑" w:hAnsi="微软雅黑" w:eastAsia="微软雅黑" w:cs="微软雅黑"/>
                <w:i/>
                <w:iCs/>
                <w:color w:val="000000"/>
                <w:sz w:val="16"/>
                <w:szCs w:val="16"/>
                <w:u w:val="none"/>
              </w:rPr>
            </w:pPr>
          </w:p>
        </w:tc>
      </w:tr>
      <w:tr w14:paraId="63E07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7ED0B">
            <w:pPr>
              <w:snapToGrid w:val="0"/>
              <w:jc w:val="center"/>
              <w:rPr>
                <w:rFonts w:hint="eastAsia" w:ascii="宋体" w:hAnsi="宋体" w:eastAsia="宋体" w:cs="宋体"/>
                <w:i w:val="0"/>
                <w:iCs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BA3BD">
            <w:pPr>
              <w:snapToGrid w:val="0"/>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67925">
            <w:pPr>
              <w:snapToGrid w:val="0"/>
              <w:jc w:val="center"/>
              <w:rPr>
                <w:rFonts w:hint="eastAsia" w:ascii="宋体" w:hAnsi="宋体" w:eastAsia="宋体" w:cs="宋体"/>
                <w:i w:val="0"/>
                <w:iCs w:val="0"/>
                <w:color w:val="000000"/>
                <w:sz w:val="18"/>
                <w:szCs w:val="18"/>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0E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每月化解矛盾纠纷</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4A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E7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F7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件/人</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3E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9B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04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11B9">
            <w:pPr>
              <w:snapToGrid w:val="0"/>
              <w:jc w:val="center"/>
              <w:rPr>
                <w:rFonts w:hint="eastAsia" w:ascii="微软雅黑" w:hAnsi="微软雅黑" w:eastAsia="微软雅黑" w:cs="微软雅黑"/>
                <w:i/>
                <w:iCs/>
                <w:color w:val="000000"/>
                <w:sz w:val="16"/>
                <w:szCs w:val="16"/>
                <w:u w:val="none"/>
              </w:rPr>
            </w:pPr>
          </w:p>
        </w:tc>
      </w:tr>
      <w:tr w14:paraId="5A8D8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B8F8B">
            <w:pPr>
              <w:snapToGrid w:val="0"/>
              <w:jc w:val="center"/>
              <w:rPr>
                <w:rFonts w:hint="eastAsia" w:ascii="宋体" w:hAnsi="宋体" w:eastAsia="宋体" w:cs="宋体"/>
                <w:i w:val="0"/>
                <w:iCs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6204D">
            <w:pPr>
              <w:snapToGrid w:val="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9D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53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确保政治安全，全县经济和谐稳定</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08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F9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91B6">
            <w:pPr>
              <w:snapToGrid w:val="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9B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65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0C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485F">
            <w:pPr>
              <w:snapToGrid w:val="0"/>
              <w:jc w:val="center"/>
              <w:rPr>
                <w:rFonts w:hint="eastAsia" w:ascii="微软雅黑" w:hAnsi="微软雅黑" w:eastAsia="微软雅黑" w:cs="微软雅黑"/>
                <w:i/>
                <w:iCs/>
                <w:color w:val="000000"/>
                <w:sz w:val="16"/>
                <w:szCs w:val="16"/>
                <w:u w:val="none"/>
              </w:rPr>
            </w:pPr>
          </w:p>
        </w:tc>
      </w:tr>
      <w:tr w14:paraId="63201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C5DD8">
            <w:pPr>
              <w:snapToGrid w:val="0"/>
              <w:jc w:val="center"/>
              <w:rPr>
                <w:rFonts w:hint="eastAsia" w:ascii="宋体" w:hAnsi="宋体" w:eastAsia="宋体" w:cs="宋体"/>
                <w:i w:val="0"/>
                <w:iCs w:val="0"/>
                <w:color w:val="000000"/>
                <w:sz w:val="18"/>
                <w:szCs w:val="18"/>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AE068">
            <w:pPr>
              <w:snapToGrid w:val="0"/>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7C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A0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2024年项目顺利开展</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94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B9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3A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94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FC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F4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C9FA">
            <w:pPr>
              <w:snapToGrid w:val="0"/>
              <w:jc w:val="center"/>
              <w:rPr>
                <w:rFonts w:hint="eastAsia" w:ascii="微软雅黑" w:hAnsi="微软雅黑" w:eastAsia="微软雅黑" w:cs="微软雅黑"/>
                <w:i/>
                <w:iCs/>
                <w:color w:val="000000"/>
                <w:sz w:val="16"/>
                <w:szCs w:val="16"/>
                <w:u w:val="none"/>
              </w:rPr>
            </w:pPr>
          </w:p>
        </w:tc>
      </w:tr>
      <w:tr w14:paraId="2173C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720CE">
            <w:pPr>
              <w:snapToGrid w:val="0"/>
              <w:jc w:val="center"/>
              <w:rPr>
                <w:rFonts w:hint="eastAsia" w:ascii="宋体" w:hAnsi="宋体" w:eastAsia="宋体" w:cs="宋体"/>
                <w:i w:val="0"/>
                <w:iCs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FE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11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F3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推进平安峨边，法治峨边建设，全县经济和谐稳定</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31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95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BB8C">
            <w:pPr>
              <w:snapToGrid w:val="0"/>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C2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3B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55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F004">
            <w:pPr>
              <w:snapToGrid w:val="0"/>
              <w:jc w:val="center"/>
              <w:rPr>
                <w:rFonts w:hint="eastAsia" w:ascii="微软雅黑" w:hAnsi="微软雅黑" w:eastAsia="微软雅黑" w:cs="微软雅黑"/>
                <w:i/>
                <w:iCs/>
                <w:color w:val="000000"/>
                <w:sz w:val="16"/>
                <w:szCs w:val="16"/>
                <w:u w:val="none"/>
              </w:rPr>
            </w:pPr>
          </w:p>
        </w:tc>
      </w:tr>
      <w:tr w14:paraId="25D7B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17D01">
            <w:pPr>
              <w:snapToGrid w:val="0"/>
              <w:jc w:val="center"/>
              <w:rPr>
                <w:rFonts w:hint="eastAsia" w:ascii="宋体" w:hAnsi="宋体" w:eastAsia="宋体" w:cs="宋体"/>
                <w:i w:val="0"/>
                <w:iCs w:val="0"/>
                <w:color w:val="000000"/>
                <w:sz w:val="18"/>
                <w:szCs w:val="18"/>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3B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7D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6F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推进平安峨边，和谐峨边，群众满意度大幅提升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E7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39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03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87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32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C0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37F7">
            <w:pPr>
              <w:snapToGrid w:val="0"/>
              <w:jc w:val="center"/>
              <w:rPr>
                <w:rFonts w:hint="eastAsia" w:ascii="微软雅黑" w:hAnsi="微软雅黑" w:eastAsia="微软雅黑" w:cs="微软雅黑"/>
                <w:i/>
                <w:iCs/>
                <w:color w:val="000000"/>
                <w:sz w:val="16"/>
                <w:szCs w:val="16"/>
                <w:u w:val="none"/>
              </w:rPr>
            </w:pPr>
          </w:p>
        </w:tc>
      </w:tr>
      <w:tr w14:paraId="00C6E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A670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A6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0CF9">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556A">
            <w:pPr>
              <w:snapToGrid w:val="0"/>
              <w:rPr>
                <w:rFonts w:hint="eastAsia" w:ascii="宋体" w:hAnsi="宋体" w:eastAsia="宋体" w:cs="宋体"/>
                <w:i w:val="0"/>
                <w:iCs w:val="0"/>
                <w:color w:val="000000"/>
                <w:sz w:val="18"/>
                <w:szCs w:val="18"/>
                <w:u w:val="none"/>
              </w:rPr>
            </w:pPr>
          </w:p>
        </w:tc>
      </w:tr>
      <w:tr w14:paraId="13E9C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3B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6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7AC63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完成平安建设、严重精神障碍患者、综合治理、法学会、平安建设、国家政治安全等相关工作</w:t>
            </w:r>
          </w:p>
        </w:tc>
      </w:tr>
      <w:tr w14:paraId="4300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E4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6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FF8E8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76EE4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6E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6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88756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3F282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18917D">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项目负责人：罗小博</w:t>
            </w:r>
          </w:p>
        </w:tc>
        <w:tc>
          <w:tcPr>
            <w:tcW w:w="40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01C67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财务负责人：杨浩</w:t>
            </w:r>
          </w:p>
        </w:tc>
      </w:tr>
    </w:tbl>
    <w:p w14:paraId="1EBDF8DE">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7"/>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93"/>
        <w:gridCol w:w="1102"/>
        <w:gridCol w:w="918"/>
        <w:gridCol w:w="1223"/>
        <w:gridCol w:w="498"/>
        <w:gridCol w:w="432"/>
        <w:gridCol w:w="496"/>
        <w:gridCol w:w="1068"/>
        <w:gridCol w:w="464"/>
        <w:gridCol w:w="464"/>
        <w:gridCol w:w="776"/>
      </w:tblGrid>
      <w:tr w14:paraId="3CE7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89659E">
            <w:pPr>
              <w:keepNext w:val="0"/>
              <w:keepLines w:val="0"/>
              <w:widowControl/>
              <w:suppressLineNumbers w:val="0"/>
              <w:snapToGrid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20C9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13EB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3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D1596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51113224T000011937645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县委政法委2024年县级衔接资金“两不愁三保障”及乡村建设治理补短项目</w:t>
            </w:r>
          </w:p>
        </w:tc>
      </w:tr>
      <w:tr w14:paraId="6209F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4306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D26AE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中共峨边彝族自治县委政法委员会本级</w:t>
            </w:r>
          </w:p>
        </w:tc>
        <w:tc>
          <w:tcPr>
            <w:tcW w:w="1068" w:type="dxa"/>
            <w:tcBorders>
              <w:top w:val="nil"/>
              <w:left w:val="nil"/>
              <w:bottom w:val="nil"/>
              <w:right w:val="nil"/>
            </w:tcBorders>
            <w:shd w:val="clear" w:color="auto" w:fill="auto"/>
            <w:vAlign w:val="center"/>
          </w:tcPr>
          <w:p w14:paraId="2054723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B25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中共峨边彝族自治县委政法委员会</w:t>
            </w:r>
          </w:p>
        </w:tc>
      </w:tr>
      <w:tr w14:paraId="3348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FBA1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AFCC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79EE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62C696">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5989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C8AF7">
            <w:pPr>
              <w:snapToGrid w:val="0"/>
              <w:rPr>
                <w:rFonts w:hint="eastAsia" w:ascii="宋体" w:hAnsi="宋体" w:eastAsia="宋体" w:cs="宋体"/>
                <w:i w:val="0"/>
                <w:iCs w:val="0"/>
                <w:color w:val="000000"/>
                <w:sz w:val="18"/>
                <w:szCs w:val="18"/>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9E350">
            <w:pPr>
              <w:snapToGrid w:val="0"/>
              <w:rPr>
                <w:rFonts w:hint="eastAsia" w:ascii="宋体" w:hAnsi="宋体" w:eastAsia="宋体" w:cs="宋体"/>
                <w:i w:val="0"/>
                <w:iCs w:val="0"/>
                <w:color w:val="000000"/>
                <w:sz w:val="18"/>
                <w:szCs w:val="18"/>
                <w:u w:val="none"/>
              </w:rPr>
            </w:pPr>
          </w:p>
        </w:tc>
        <w:tc>
          <w:tcPr>
            <w:tcW w:w="35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4F7BD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用于县级领导帮扶乡村振兴工作经费。</w:t>
            </w:r>
          </w:p>
        </w:tc>
        <w:tc>
          <w:tcPr>
            <w:tcW w:w="27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90D83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完成2024年度县级领导帮扶乡村振兴工作经费。</w:t>
            </w:r>
          </w:p>
        </w:tc>
      </w:tr>
      <w:tr w14:paraId="34704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9497E">
            <w:pPr>
              <w:snapToGrid w:val="0"/>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3B1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3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619E1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用于县级领导帮扶乡村振兴工作经费。</w:t>
            </w:r>
          </w:p>
        </w:tc>
      </w:tr>
      <w:tr w14:paraId="03E5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69C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EE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DC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61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0D1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7B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61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6E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C0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846B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62436">
            <w:pPr>
              <w:snapToGrid w:val="0"/>
              <w:jc w:val="center"/>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91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41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CE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B61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4C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E6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B6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6F520">
            <w:pPr>
              <w:snapToGrid w:val="0"/>
              <w:rPr>
                <w:rFonts w:hint="eastAsia" w:ascii="黑体" w:hAnsi="黑体" w:eastAsia="黑体" w:cs="黑体"/>
                <w:i/>
                <w:iCs/>
                <w:color w:val="000000"/>
                <w:sz w:val="18"/>
                <w:szCs w:val="18"/>
                <w:u w:val="none"/>
              </w:rPr>
            </w:pPr>
          </w:p>
        </w:tc>
      </w:tr>
      <w:tr w14:paraId="22D2C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959E7">
            <w:pPr>
              <w:snapToGrid w:val="0"/>
              <w:jc w:val="center"/>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18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63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72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C32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D1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23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E1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434D4">
            <w:pPr>
              <w:snapToGrid w:val="0"/>
              <w:rPr>
                <w:rFonts w:hint="eastAsia" w:ascii="黑体" w:hAnsi="黑体" w:eastAsia="黑体" w:cs="黑体"/>
                <w:i/>
                <w:iCs/>
                <w:color w:val="000000"/>
                <w:sz w:val="18"/>
                <w:szCs w:val="18"/>
                <w:u w:val="none"/>
              </w:rPr>
            </w:pPr>
          </w:p>
        </w:tc>
      </w:tr>
      <w:tr w14:paraId="63182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B72AD">
            <w:pPr>
              <w:snapToGrid w:val="0"/>
              <w:jc w:val="center"/>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AD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A1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F9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157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3C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32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0F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155C5">
            <w:pPr>
              <w:snapToGrid w:val="0"/>
              <w:rPr>
                <w:rFonts w:hint="eastAsia" w:ascii="黑体" w:hAnsi="黑体" w:eastAsia="黑体" w:cs="黑体"/>
                <w:i/>
                <w:iCs/>
                <w:color w:val="000000"/>
                <w:sz w:val="18"/>
                <w:szCs w:val="18"/>
                <w:u w:val="none"/>
              </w:rPr>
            </w:pPr>
          </w:p>
        </w:tc>
      </w:tr>
      <w:tr w14:paraId="6BB53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E05BD">
            <w:pPr>
              <w:snapToGrid w:val="0"/>
              <w:jc w:val="center"/>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15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1B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6A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E28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00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97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AC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585CC">
            <w:pPr>
              <w:snapToGrid w:val="0"/>
              <w:rPr>
                <w:rFonts w:hint="eastAsia" w:ascii="黑体" w:hAnsi="黑体" w:eastAsia="黑体" w:cs="黑体"/>
                <w:i/>
                <w:iCs/>
                <w:color w:val="000000"/>
                <w:sz w:val="18"/>
                <w:szCs w:val="18"/>
                <w:u w:val="none"/>
              </w:rPr>
            </w:pPr>
          </w:p>
        </w:tc>
      </w:tr>
      <w:tr w14:paraId="6B6E8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5D9BC">
            <w:pPr>
              <w:snapToGrid w:val="0"/>
              <w:jc w:val="center"/>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F6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33D6">
            <w:pPr>
              <w:snapToGrid w:val="0"/>
              <w:jc w:val="center"/>
              <w:rPr>
                <w:rFonts w:hint="eastAsia" w:ascii="微软雅黑" w:hAnsi="微软雅黑" w:eastAsia="微软雅黑" w:cs="微软雅黑"/>
                <w:i/>
                <w:iCs/>
                <w:color w:val="000000"/>
                <w:sz w:val="16"/>
                <w:szCs w:val="16"/>
                <w:u w:val="none"/>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9178">
            <w:pPr>
              <w:snapToGrid w:val="0"/>
              <w:jc w:val="center"/>
              <w:rPr>
                <w:rFonts w:hint="eastAsia" w:ascii="微软雅黑" w:hAnsi="微软雅黑" w:eastAsia="微软雅黑" w:cs="微软雅黑"/>
                <w:i/>
                <w:iCs/>
                <w:color w:val="000000"/>
                <w:sz w:val="16"/>
                <w:szCs w:val="16"/>
                <w:u w:val="none"/>
              </w:rPr>
            </w:pPr>
          </w:p>
        </w:tc>
        <w:tc>
          <w:tcPr>
            <w:tcW w:w="1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CAE190">
            <w:pPr>
              <w:snapToGrid w:val="0"/>
              <w:jc w:val="center"/>
              <w:rPr>
                <w:rFonts w:hint="eastAsia" w:ascii="微软雅黑" w:hAnsi="微软雅黑" w:eastAsia="微软雅黑" w:cs="微软雅黑"/>
                <w:i/>
                <w:iCs/>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32E8">
            <w:pPr>
              <w:snapToGrid w:val="0"/>
              <w:jc w:val="center"/>
              <w:rPr>
                <w:rFonts w:hint="eastAsia" w:ascii="微软雅黑" w:hAnsi="微软雅黑" w:eastAsia="微软雅黑" w:cs="微软雅黑"/>
                <w:i/>
                <w:iCs/>
                <w:color w:val="000000"/>
                <w:sz w:val="16"/>
                <w:szCs w:val="16"/>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9F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28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BEC90">
            <w:pPr>
              <w:snapToGrid w:val="0"/>
              <w:rPr>
                <w:rFonts w:hint="eastAsia" w:ascii="黑体" w:hAnsi="黑体" w:eastAsia="黑体" w:cs="黑体"/>
                <w:i/>
                <w:iCs/>
                <w:color w:val="000000"/>
                <w:sz w:val="18"/>
                <w:szCs w:val="18"/>
                <w:u w:val="none"/>
              </w:rPr>
            </w:pPr>
          </w:p>
        </w:tc>
      </w:tr>
      <w:tr w14:paraId="2F8D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66C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EE4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6E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99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91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57B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4F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D2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CE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EB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C0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732C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E40E0">
            <w:pPr>
              <w:snapToGrid w:val="0"/>
              <w:jc w:val="center"/>
              <w:rPr>
                <w:rFonts w:hint="eastAsia" w:ascii="宋体" w:hAnsi="宋体" w:eastAsia="宋体" w:cs="宋体"/>
                <w:i w:val="0"/>
                <w:iCs w:val="0"/>
                <w:color w:val="000000"/>
                <w:sz w:val="18"/>
                <w:szCs w:val="18"/>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048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C9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AB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县级领导帮扶村数</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81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94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F9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45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D2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88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BF83">
            <w:pPr>
              <w:snapToGrid w:val="0"/>
              <w:jc w:val="center"/>
              <w:rPr>
                <w:rFonts w:hint="eastAsia" w:ascii="微软雅黑" w:hAnsi="微软雅黑" w:eastAsia="微软雅黑" w:cs="微软雅黑"/>
                <w:i/>
                <w:iCs/>
                <w:color w:val="000000"/>
                <w:sz w:val="16"/>
                <w:szCs w:val="16"/>
                <w:u w:val="none"/>
              </w:rPr>
            </w:pPr>
          </w:p>
        </w:tc>
      </w:tr>
      <w:tr w14:paraId="1C70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88AB1">
            <w:pPr>
              <w:snapToGrid w:val="0"/>
              <w:jc w:val="center"/>
              <w:rPr>
                <w:rFonts w:hint="eastAsia" w:ascii="宋体" w:hAnsi="宋体" w:eastAsia="宋体" w:cs="宋体"/>
                <w:i w:val="0"/>
                <w:iCs w:val="0"/>
                <w:color w:val="000000"/>
                <w:sz w:val="18"/>
                <w:szCs w:val="18"/>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27CA9">
            <w:pPr>
              <w:snapToGrid w:val="0"/>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A2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27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乡村振兴帮扶对象</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BF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63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80E6">
            <w:pPr>
              <w:snapToGrid w:val="0"/>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C8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70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53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B51C">
            <w:pPr>
              <w:snapToGrid w:val="0"/>
              <w:jc w:val="center"/>
              <w:rPr>
                <w:rFonts w:hint="eastAsia" w:ascii="微软雅黑" w:hAnsi="微软雅黑" w:eastAsia="微软雅黑" w:cs="微软雅黑"/>
                <w:i/>
                <w:iCs/>
                <w:color w:val="000000"/>
                <w:sz w:val="16"/>
                <w:szCs w:val="16"/>
                <w:u w:val="none"/>
              </w:rPr>
            </w:pPr>
          </w:p>
        </w:tc>
      </w:tr>
      <w:tr w14:paraId="295A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10E93">
            <w:pPr>
              <w:snapToGrid w:val="0"/>
              <w:jc w:val="center"/>
              <w:rPr>
                <w:rFonts w:hint="eastAsia" w:ascii="宋体" w:hAnsi="宋体" w:eastAsia="宋体" w:cs="宋体"/>
                <w:i w:val="0"/>
                <w:iCs w:val="0"/>
                <w:color w:val="000000"/>
                <w:sz w:val="18"/>
                <w:szCs w:val="18"/>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73058">
            <w:pPr>
              <w:snapToGrid w:val="0"/>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F7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23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资金支付时间2024年</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DC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91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C3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7F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9E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76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37CB">
            <w:pPr>
              <w:snapToGrid w:val="0"/>
              <w:jc w:val="center"/>
              <w:rPr>
                <w:rFonts w:hint="eastAsia" w:ascii="微软雅黑" w:hAnsi="微软雅黑" w:eastAsia="微软雅黑" w:cs="微软雅黑"/>
                <w:i/>
                <w:iCs/>
                <w:color w:val="000000"/>
                <w:sz w:val="16"/>
                <w:szCs w:val="16"/>
                <w:u w:val="none"/>
              </w:rPr>
            </w:pPr>
          </w:p>
        </w:tc>
      </w:tr>
      <w:tr w14:paraId="5E51C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C60FE">
            <w:pPr>
              <w:snapToGrid w:val="0"/>
              <w:jc w:val="center"/>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EF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FF7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E4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开展帮扶工作，助力乡村振兴</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C1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2F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417D">
            <w:pPr>
              <w:snapToGrid w:val="0"/>
              <w:jc w:val="center"/>
              <w:rPr>
                <w:rFonts w:hint="eastAsia" w:ascii="宋体" w:hAnsi="宋体" w:eastAsia="宋体" w:cs="宋体"/>
                <w:i w:val="0"/>
                <w:iCs w:val="0"/>
                <w:color w:val="000000"/>
                <w:sz w:val="18"/>
                <w:szCs w:val="18"/>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2A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A0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49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1A91">
            <w:pPr>
              <w:snapToGrid w:val="0"/>
              <w:jc w:val="center"/>
              <w:rPr>
                <w:rFonts w:hint="eastAsia" w:ascii="微软雅黑" w:hAnsi="微软雅黑" w:eastAsia="微软雅黑" w:cs="微软雅黑"/>
                <w:i/>
                <w:iCs/>
                <w:color w:val="000000"/>
                <w:sz w:val="16"/>
                <w:szCs w:val="16"/>
                <w:u w:val="none"/>
              </w:rPr>
            </w:pPr>
          </w:p>
        </w:tc>
      </w:tr>
      <w:tr w14:paraId="5A97A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9AC8C">
            <w:pPr>
              <w:snapToGrid w:val="0"/>
              <w:jc w:val="center"/>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2F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A9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40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2E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AC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FB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4A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9A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B7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4E3F">
            <w:pPr>
              <w:snapToGrid w:val="0"/>
              <w:jc w:val="center"/>
              <w:rPr>
                <w:rFonts w:hint="eastAsia" w:ascii="微软雅黑" w:hAnsi="微软雅黑" w:eastAsia="微软雅黑" w:cs="微软雅黑"/>
                <w:i/>
                <w:iCs/>
                <w:color w:val="000000"/>
                <w:sz w:val="16"/>
                <w:szCs w:val="16"/>
                <w:u w:val="none"/>
              </w:rPr>
            </w:pPr>
          </w:p>
        </w:tc>
      </w:tr>
      <w:tr w14:paraId="2AB7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EF58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8D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1421">
            <w:pPr>
              <w:keepNext w:val="0"/>
              <w:keepLines w:val="0"/>
              <w:widowControl/>
              <w:suppressLineNumbers w:val="0"/>
              <w:snapToGrid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591B">
            <w:pPr>
              <w:snapToGrid w:val="0"/>
              <w:rPr>
                <w:rFonts w:hint="eastAsia" w:ascii="宋体" w:hAnsi="宋体" w:eastAsia="宋体" w:cs="宋体"/>
                <w:i w:val="0"/>
                <w:iCs w:val="0"/>
                <w:color w:val="000000"/>
                <w:sz w:val="18"/>
                <w:szCs w:val="18"/>
                <w:u w:val="none"/>
              </w:rPr>
            </w:pPr>
          </w:p>
        </w:tc>
      </w:tr>
      <w:tr w14:paraId="7941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34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4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0BDA4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用于并完成2024年度县级领导帮扶乡村振兴工作经费。</w:t>
            </w:r>
          </w:p>
        </w:tc>
      </w:tr>
      <w:tr w14:paraId="31F3C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EB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4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90540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5BF8A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CA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4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D38C8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0D348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7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A2D47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项目负责人：罗小博</w:t>
            </w:r>
          </w:p>
        </w:tc>
        <w:tc>
          <w:tcPr>
            <w:tcW w:w="3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CAAA20">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财务负责人：杨浩</w:t>
            </w:r>
          </w:p>
        </w:tc>
      </w:tr>
    </w:tbl>
    <w:p w14:paraId="096A94FF">
      <w:pPr>
        <w:rPr>
          <w:rFonts w:hint="eastAsia"/>
          <w:lang w:val="zh-CN"/>
        </w:rPr>
      </w:pPr>
    </w:p>
    <w:p w14:paraId="54995ADD">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6DF7F93C">
      <w:pPr>
        <w:widowControl/>
        <w:jc w:val="center"/>
        <w:rPr>
          <w:rFonts w:hint="eastAsia" w:ascii="Times New Roman" w:hAnsi="Times New Roman" w:eastAsia="仿宋"/>
          <w:b w:val="0"/>
          <w:color w:val="auto"/>
          <w:highlight w:val="none"/>
        </w:rPr>
      </w:pPr>
      <w:bookmarkStart w:id="49" w:name="_Toc15396618"/>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47"/>
      <w:bookmarkEnd w:id="49"/>
      <w:bookmarkStart w:id="50" w:name="_Toc15396619"/>
    </w:p>
    <w:p w14:paraId="6DB3B61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A93ECD2">
      <w:pPr>
        <w:pStyle w:val="15"/>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14:paraId="3A825DD1">
      <w:pPr>
        <w:pStyle w:val="15"/>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14:paraId="666C3267">
      <w:pPr>
        <w:pStyle w:val="15"/>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14:paraId="2969FCD2">
      <w:pPr>
        <w:pStyle w:val="15"/>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14:paraId="25E937E8">
      <w:pPr>
        <w:pStyle w:val="15"/>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14:paraId="200AC170">
      <w:pPr>
        <w:pStyle w:val="15"/>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14:paraId="4DB881E1">
      <w:pPr>
        <w:pStyle w:val="15"/>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14:paraId="0E4E306A">
      <w:pPr>
        <w:pStyle w:val="15"/>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14:paraId="082C45E3">
      <w:pPr>
        <w:pStyle w:val="15"/>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14:paraId="2B7DFB8A">
      <w:pPr>
        <w:pStyle w:val="15"/>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14:paraId="501AAD66">
      <w:pPr>
        <w:pStyle w:val="15"/>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BD66548">
      <w:pPr>
        <w:pStyle w:val="15"/>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14:paraId="53D062B3">
      <w:pPr>
        <w:pStyle w:val="15"/>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14:paraId="48FF40DE">
      <w:pPr>
        <w:rPr>
          <w:rFonts w:hint="eastAsia" w:ascii="Times New Roman" w:hAnsi="Times New Roman"/>
          <w:lang w:eastAsia="zh-CN"/>
        </w:rPr>
      </w:pPr>
    </w:p>
    <w:sectPr>
      <w:footerReference r:id="rId8" w:type="first"/>
      <w:footerReference r:id="rId7"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Courier New"/>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44274">
    <w:pPr>
      <w:pStyle w:val="12"/>
      <w:jc w:val="center"/>
    </w:pPr>
  </w:p>
  <w:p w14:paraId="4FA0B50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557B7">
    <w:pPr>
      <w:pStyle w:val="12"/>
      <w:jc w:val="center"/>
    </w:pPr>
  </w:p>
  <w:p w14:paraId="6F557D81">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0DC4C">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DC774">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7E943">
                          <w:pPr>
                            <w:pStyle w:val="1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777E943">
                    <w:pPr>
                      <w:pStyle w:val="1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p w14:paraId="58712F69">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5E479">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37956">
                          <w:pPr>
                            <w:pStyle w:val="1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8B37956">
                    <w:pPr>
                      <w:pStyle w:val="1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49A75">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583A"/>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050637"/>
    <w:rsid w:val="02C85EEB"/>
    <w:rsid w:val="02FEBE30"/>
    <w:rsid w:val="03E958CF"/>
    <w:rsid w:val="04916F1E"/>
    <w:rsid w:val="061E35DE"/>
    <w:rsid w:val="066E0107"/>
    <w:rsid w:val="07996F6E"/>
    <w:rsid w:val="07DB40B5"/>
    <w:rsid w:val="07DFD8BA"/>
    <w:rsid w:val="09867E8F"/>
    <w:rsid w:val="09963E68"/>
    <w:rsid w:val="09AA0AA2"/>
    <w:rsid w:val="0A2032A3"/>
    <w:rsid w:val="0CA8290A"/>
    <w:rsid w:val="0D35B1ED"/>
    <w:rsid w:val="0E254B6B"/>
    <w:rsid w:val="0F98263C"/>
    <w:rsid w:val="101860EC"/>
    <w:rsid w:val="101F47CC"/>
    <w:rsid w:val="10C055FF"/>
    <w:rsid w:val="11694EBD"/>
    <w:rsid w:val="11772AA4"/>
    <w:rsid w:val="118107EC"/>
    <w:rsid w:val="12E24EE2"/>
    <w:rsid w:val="13A054DC"/>
    <w:rsid w:val="13D50BC4"/>
    <w:rsid w:val="14B17F78"/>
    <w:rsid w:val="165E0673"/>
    <w:rsid w:val="16B831D5"/>
    <w:rsid w:val="16BB723D"/>
    <w:rsid w:val="17E50567"/>
    <w:rsid w:val="17EC2563"/>
    <w:rsid w:val="186504BB"/>
    <w:rsid w:val="193E726F"/>
    <w:rsid w:val="19A445FC"/>
    <w:rsid w:val="1BC11A92"/>
    <w:rsid w:val="1BE8440E"/>
    <w:rsid w:val="1D155CEE"/>
    <w:rsid w:val="1D1638FE"/>
    <w:rsid w:val="1E312DEB"/>
    <w:rsid w:val="1E740ACF"/>
    <w:rsid w:val="1F270606"/>
    <w:rsid w:val="1FF35744"/>
    <w:rsid w:val="1FF6BC77"/>
    <w:rsid w:val="2186353C"/>
    <w:rsid w:val="21F44C63"/>
    <w:rsid w:val="229B508C"/>
    <w:rsid w:val="236C718A"/>
    <w:rsid w:val="23860B96"/>
    <w:rsid w:val="240371BF"/>
    <w:rsid w:val="244F3473"/>
    <w:rsid w:val="24C97D99"/>
    <w:rsid w:val="250B5AAF"/>
    <w:rsid w:val="25A718F0"/>
    <w:rsid w:val="25BB59F6"/>
    <w:rsid w:val="260F557C"/>
    <w:rsid w:val="26970054"/>
    <w:rsid w:val="279E1F4A"/>
    <w:rsid w:val="281408E2"/>
    <w:rsid w:val="285048C9"/>
    <w:rsid w:val="290E5AF5"/>
    <w:rsid w:val="29FD04D3"/>
    <w:rsid w:val="2BFF7BC6"/>
    <w:rsid w:val="2C4B5DEE"/>
    <w:rsid w:val="2C8A61B5"/>
    <w:rsid w:val="2DF04E50"/>
    <w:rsid w:val="2E586DFA"/>
    <w:rsid w:val="2E88178F"/>
    <w:rsid w:val="2F040D46"/>
    <w:rsid w:val="2F6B035B"/>
    <w:rsid w:val="2F73413B"/>
    <w:rsid w:val="2FAE5751"/>
    <w:rsid w:val="2FB1A395"/>
    <w:rsid w:val="2FD9A7D8"/>
    <w:rsid w:val="2FDBF714"/>
    <w:rsid w:val="30AB6865"/>
    <w:rsid w:val="319F7F4E"/>
    <w:rsid w:val="32BD1EF1"/>
    <w:rsid w:val="32DF2AD1"/>
    <w:rsid w:val="3304709D"/>
    <w:rsid w:val="334C47E1"/>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DB4052"/>
    <w:rsid w:val="3BF5BC2F"/>
    <w:rsid w:val="3CEBA265"/>
    <w:rsid w:val="3D98207C"/>
    <w:rsid w:val="3DEE7CF3"/>
    <w:rsid w:val="3E740A63"/>
    <w:rsid w:val="3E78745D"/>
    <w:rsid w:val="3EE17838"/>
    <w:rsid w:val="3F55381A"/>
    <w:rsid w:val="3F7F7599"/>
    <w:rsid w:val="3FF4CAE0"/>
    <w:rsid w:val="3FF7B227"/>
    <w:rsid w:val="40A10F00"/>
    <w:rsid w:val="44E268DA"/>
    <w:rsid w:val="450D13D7"/>
    <w:rsid w:val="454A4722"/>
    <w:rsid w:val="45506656"/>
    <w:rsid w:val="486A6C7A"/>
    <w:rsid w:val="4A183041"/>
    <w:rsid w:val="4A627F82"/>
    <w:rsid w:val="4B0E749A"/>
    <w:rsid w:val="4B2477C4"/>
    <w:rsid w:val="4B4F25DA"/>
    <w:rsid w:val="4B700C5B"/>
    <w:rsid w:val="4BE068DB"/>
    <w:rsid w:val="4D577224"/>
    <w:rsid w:val="4DBF1CEB"/>
    <w:rsid w:val="4DF0007C"/>
    <w:rsid w:val="4EAB630A"/>
    <w:rsid w:val="4ECE2238"/>
    <w:rsid w:val="4F1154C2"/>
    <w:rsid w:val="4F833267"/>
    <w:rsid w:val="4FE9BD67"/>
    <w:rsid w:val="4FFB052F"/>
    <w:rsid w:val="537E6D0A"/>
    <w:rsid w:val="53F74C96"/>
    <w:rsid w:val="55170BA8"/>
    <w:rsid w:val="553218C9"/>
    <w:rsid w:val="567E1AA5"/>
    <w:rsid w:val="56E47B74"/>
    <w:rsid w:val="57175D52"/>
    <w:rsid w:val="57BD3DD4"/>
    <w:rsid w:val="58EB7B73"/>
    <w:rsid w:val="59C363FA"/>
    <w:rsid w:val="5AEE7E21"/>
    <w:rsid w:val="5AF92295"/>
    <w:rsid w:val="5B250254"/>
    <w:rsid w:val="5B851A9F"/>
    <w:rsid w:val="5BDD79E6"/>
    <w:rsid w:val="5BF561CA"/>
    <w:rsid w:val="5BFF5DFC"/>
    <w:rsid w:val="5CD71FC4"/>
    <w:rsid w:val="5D1F11B5"/>
    <w:rsid w:val="5D695134"/>
    <w:rsid w:val="5DAE1B18"/>
    <w:rsid w:val="5DE7D9E5"/>
    <w:rsid w:val="5EC46E9C"/>
    <w:rsid w:val="5ECEC941"/>
    <w:rsid w:val="5F6E6E08"/>
    <w:rsid w:val="5FBF9FF3"/>
    <w:rsid w:val="5FCD4E2C"/>
    <w:rsid w:val="5FEF394A"/>
    <w:rsid w:val="5FF67715"/>
    <w:rsid w:val="614C5323"/>
    <w:rsid w:val="62BF3928"/>
    <w:rsid w:val="63B3701E"/>
    <w:rsid w:val="64325518"/>
    <w:rsid w:val="647F5392"/>
    <w:rsid w:val="65E66580"/>
    <w:rsid w:val="664B1D71"/>
    <w:rsid w:val="664B4E8E"/>
    <w:rsid w:val="665E1984"/>
    <w:rsid w:val="667411A7"/>
    <w:rsid w:val="67277B67"/>
    <w:rsid w:val="67AA3209"/>
    <w:rsid w:val="694E3692"/>
    <w:rsid w:val="698D0931"/>
    <w:rsid w:val="6A0D29B1"/>
    <w:rsid w:val="6A7FE5F3"/>
    <w:rsid w:val="6B053271"/>
    <w:rsid w:val="6BDD78B3"/>
    <w:rsid w:val="6C4A05C8"/>
    <w:rsid w:val="6C8742B8"/>
    <w:rsid w:val="6D853FF2"/>
    <w:rsid w:val="6DB634B1"/>
    <w:rsid w:val="6DBF5E93"/>
    <w:rsid w:val="6DFF077E"/>
    <w:rsid w:val="6E714EF0"/>
    <w:rsid w:val="6E7E3605"/>
    <w:rsid w:val="6E7FDCC7"/>
    <w:rsid w:val="6ED6A62E"/>
    <w:rsid w:val="6EE00B15"/>
    <w:rsid w:val="6F5A2F04"/>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17D7E"/>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9C4B5C"/>
    <w:rsid w:val="7CBFC87B"/>
    <w:rsid w:val="7CFE0F48"/>
    <w:rsid w:val="7D272ABC"/>
    <w:rsid w:val="7D7EC23E"/>
    <w:rsid w:val="7E1A53E3"/>
    <w:rsid w:val="7E8ADEBF"/>
    <w:rsid w:val="7EEF11D3"/>
    <w:rsid w:val="7EFE4840"/>
    <w:rsid w:val="7F0971A6"/>
    <w:rsid w:val="7F1823C2"/>
    <w:rsid w:val="7F1D62E7"/>
    <w:rsid w:val="7F3F679B"/>
    <w:rsid w:val="7F4FC4EF"/>
    <w:rsid w:val="7F5E4D54"/>
    <w:rsid w:val="7F6E0135"/>
    <w:rsid w:val="7F79F205"/>
    <w:rsid w:val="7F7E49ED"/>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unhideWhenUsed/>
    <w:qFormat/>
    <w:uiPriority w:val="99"/>
    <w:pPr>
      <w:jc w:val="left"/>
    </w:pPr>
  </w:style>
  <w:style w:type="paragraph" w:styleId="9">
    <w:name w:val="Body Text"/>
    <w:basedOn w:val="1"/>
    <w:link w:val="27"/>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unhideWhenUsed/>
    <w:qFormat/>
    <w:uiPriority w:val="99"/>
    <w:rPr>
      <w:sz w:val="18"/>
      <w:szCs w:val="18"/>
    </w:rPr>
  </w:style>
  <w:style w:type="paragraph" w:styleId="12">
    <w:name w:val="footer"/>
    <w:basedOn w:val="1"/>
    <w:next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Title"/>
    <w:basedOn w:val="1"/>
    <w:next w:val="1"/>
    <w:qFormat/>
    <w:uiPriority w:val="0"/>
    <w:pPr>
      <w:spacing w:before="240" w:after="60"/>
      <w:jc w:val="center"/>
      <w:outlineLvl w:val="0"/>
    </w:pPr>
    <w:rPr>
      <w:rFonts w:ascii="Arial" w:hAnsi="Arial" w:cs="Arial"/>
      <w:b/>
      <w:bCs/>
      <w:sz w:val="32"/>
      <w:szCs w:val="32"/>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9"/>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9">
    <w:name w:val="List Paragraph"/>
    <w:basedOn w:val="1"/>
    <w:qFormat/>
    <w:uiPriority w:val="34"/>
    <w:pPr>
      <w:ind w:firstLine="420" w:firstLineChars="200"/>
    </w:pPr>
  </w:style>
  <w:style w:type="character" w:customStyle="1" w:styleId="30">
    <w:name w:val="标题 1 Char"/>
    <w:basedOn w:val="18"/>
    <w:link w:val="5"/>
    <w:qFormat/>
    <w:uiPriority w:val="9"/>
    <w:rPr>
      <w:rFonts w:ascii="Times New Roman" w:hAnsi="Times New Roman"/>
      <w:b/>
      <w:bCs/>
      <w:kern w:val="44"/>
      <w:sz w:val="44"/>
      <w:szCs w:val="44"/>
    </w:rPr>
  </w:style>
  <w:style w:type="character" w:customStyle="1" w:styleId="31">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7"/>
    <w:qFormat/>
    <w:uiPriority w:val="9"/>
    <w:rPr>
      <w:rFonts w:ascii="Times New Roman" w:hAnsi="Times New Roman"/>
      <w:b/>
      <w:bCs/>
      <w:kern w:val="2"/>
      <w:sz w:val="32"/>
      <w:szCs w:val="32"/>
    </w:rPr>
  </w:style>
  <w:style w:type="paragraph" w:customStyle="1" w:styleId="35">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收入、支出决算总计变动情况图</a:t>
            </a:r>
          </a:p>
        </c:rich>
      </c:tx>
      <c:layout/>
      <c:overlay val="0"/>
      <c:spPr>
        <a:noFill/>
        <a:ln>
          <a:noFill/>
        </a:ln>
        <a:effectLst/>
      </c:spPr>
    </c:title>
    <c:autoTitleDeleted val="0"/>
    <c:plotArea>
      <c:layout>
        <c:manualLayout>
          <c:layoutTarget val="inner"/>
          <c:xMode val="edge"/>
          <c:yMode val="edge"/>
          <c:x val="0.0691044393122915"/>
          <c:y val="0.196949776492243"/>
          <c:w val="0.902668719527842"/>
          <c:h val="0.672469103339469"/>
        </c:manualLayout>
      </c:layout>
      <c:barChart>
        <c:barDir val="col"/>
        <c:grouping val="clustered"/>
        <c:varyColors val="0"/>
        <c:ser>
          <c:idx val="0"/>
          <c:order val="0"/>
          <c:spPr>
            <a:solidFill>
              <a:schemeClr val="accent1"/>
            </a:solidFill>
            <a:ln>
              <a:noFill/>
            </a:ln>
            <a:effectLst/>
          </c:spPr>
          <c:invertIfNegative val="0"/>
          <c:dLbls>
            <c:dLbl>
              <c:idx val="0"/>
              <c:layout>
                <c:manualLayout>
                  <c:x val="0"/>
                  <c:y val="-0.0036813042334998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814.75万元</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1033.58万元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Sheet1!$A$1:$A$2</c:f>
              <c:strCache>
                <c:ptCount val="2"/>
                <c:pt idx="0">
                  <c:v>2024年度收入、支出总计</c:v>
                </c:pt>
                <c:pt idx="1">
                  <c:v>2023年度收入、支出总计</c:v>
                </c:pt>
              </c:strCache>
            </c:strRef>
          </c:cat>
          <c:val>
            <c:numRef>
              <c:f>Sheet1!$B$1:$B$2</c:f>
              <c:numCache>
                <c:formatCode>General</c:formatCode>
                <c:ptCount val="2"/>
                <c:pt idx="0">
                  <c:v>814.75</c:v>
                </c:pt>
                <c:pt idx="1">
                  <c:v>1033.58</c:v>
                </c:pt>
              </c:numCache>
            </c:numRef>
          </c:val>
        </c:ser>
        <c:dLbls>
          <c:showLegendKey val="0"/>
          <c:showVal val="0"/>
          <c:showCatName val="0"/>
          <c:showSerName val="0"/>
          <c:showPercent val="0"/>
          <c:showBubbleSize val="0"/>
        </c:dLbls>
        <c:gapWidth val="219"/>
        <c:overlap val="-27"/>
        <c:axId val="302641927"/>
        <c:axId val="314528083"/>
      </c:barChart>
      <c:catAx>
        <c:axId val="3026419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4528083"/>
        <c:crosses val="autoZero"/>
        <c:auto val="1"/>
        <c:lblAlgn val="ctr"/>
        <c:lblOffset val="100"/>
        <c:noMultiLvlLbl val="0"/>
      </c:catAx>
      <c:valAx>
        <c:axId val="3145280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2641927"/>
        <c:crosses val="autoZero"/>
        <c:crossBetween val="between"/>
      </c:valAx>
      <c:spPr>
        <a:noFill/>
        <a:ln>
          <a:noFill/>
        </a:ln>
        <a:effectLst/>
      </c:spPr>
    </c:plotArea>
    <c:plotVisOnly val="1"/>
    <c:dispBlanksAs val="gap"/>
    <c:showDLblsOverMax val="0"/>
    <c:extLst>
      <c:ext uri="{0b15fc19-7d7d-44ad-8c2d-2c3a37ce22c3}">
        <chartProps xmlns="https://web.wps.cn/et/2018/main" chartId="{4bbe6b78-ca48-4770-b255-3e21142b036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63.66%</a:t>
                    </a:r>
                  </a:p>
                </c:rich>
              </c:tx>
              <c:dLblPos val="bestFit"/>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36.34%</a:t>
                    </a:r>
                  </a:p>
                </c:rich>
              </c:tx>
              <c:dLblPos val="bestFit"/>
              <c:showLegendKey val="0"/>
              <c:showVal val="1"/>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518.69</c:v>
                </c:pt>
                <c:pt idx="1">
                  <c:v>296.06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dcc09c0-24ea-4c2d-978f-faeb1c7ee8f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440.21</c:v>
                </c:pt>
                <c:pt idx="1">
                  <c:v>374.55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6a2ebe4-8581-4005-82a7-e8c437c91d2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91044393122915"/>
          <c:y val="0.196949776492243"/>
          <c:w val="0.902668719527842"/>
          <c:h val="0.672469103339469"/>
        </c:manualLayout>
      </c:layout>
      <c:barChart>
        <c:barDir val="col"/>
        <c:grouping val="clustered"/>
        <c:varyColors val="0"/>
        <c:ser>
          <c:idx val="0"/>
          <c:order val="0"/>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814.75万元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1033.58万元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Sheet1!$A$1:$A$2</c:f>
              <c:strCache>
                <c:ptCount val="2"/>
                <c:pt idx="0">
                  <c:v>2024年度财政拨款收入、支出总计</c:v>
                </c:pt>
                <c:pt idx="1">
                  <c:v>2023年度财政拨款收入、支出总计</c:v>
                </c:pt>
              </c:strCache>
            </c:strRef>
          </c:cat>
          <c:val>
            <c:numRef>
              <c:f>Sheet1!$B$1:$B$2</c:f>
              <c:numCache>
                <c:formatCode>General</c:formatCode>
                <c:ptCount val="2"/>
                <c:pt idx="0">
                  <c:v>814.75</c:v>
                </c:pt>
                <c:pt idx="1">
                  <c:v>1033.58</c:v>
                </c:pt>
              </c:numCache>
            </c:numRef>
          </c:val>
        </c:ser>
        <c:dLbls>
          <c:showLegendKey val="0"/>
          <c:showVal val="0"/>
          <c:showCatName val="0"/>
          <c:showSerName val="0"/>
          <c:showPercent val="0"/>
          <c:showBubbleSize val="0"/>
        </c:dLbls>
        <c:gapWidth val="219"/>
        <c:overlap val="-27"/>
        <c:axId val="302641927"/>
        <c:axId val="314528083"/>
      </c:barChart>
      <c:catAx>
        <c:axId val="3026419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4528083"/>
        <c:crosses val="autoZero"/>
        <c:auto val="1"/>
        <c:lblAlgn val="ctr"/>
        <c:lblOffset val="100"/>
        <c:noMultiLvlLbl val="0"/>
      </c:catAx>
      <c:valAx>
        <c:axId val="3145280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2641927"/>
        <c:crosses val="autoZero"/>
        <c:crossBetween val="between"/>
      </c:valAx>
      <c:spPr>
        <a:noFill/>
        <a:ln>
          <a:noFill/>
        </a:ln>
        <a:effectLst/>
      </c:spPr>
    </c:plotArea>
    <c:plotVisOnly val="1"/>
    <c:dispBlanksAs val="gap"/>
    <c:showDLblsOverMax val="0"/>
    <c:extLst>
      <c:ext uri="{0b15fc19-7d7d-44ad-8c2d-2c3a37ce22c3}">
        <chartProps xmlns="https://web.wps.cn/et/2018/main" chartId="{8bbe0508-d2a8-4097-b4aa-2828deeb8d4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t>一般公共预算财政拨款支出决算变动情况</a:t>
            </a:r>
            <a:endParaRPr sz="1200"/>
          </a:p>
        </c:rich>
      </c:tx>
      <c:layout/>
      <c:overlay val="0"/>
      <c:spPr>
        <a:noFill/>
        <a:ln>
          <a:noFill/>
        </a:ln>
        <a:effectLst/>
      </c:spPr>
    </c:title>
    <c:autoTitleDeleted val="0"/>
    <c:plotArea>
      <c:layout>
        <c:manualLayout>
          <c:layoutTarget val="inner"/>
          <c:xMode val="edge"/>
          <c:yMode val="edge"/>
          <c:x val="0.0789287518948964"/>
          <c:y val="0.17129608668837"/>
          <c:w val="0.872225029476166"/>
          <c:h val="0.626058240768538"/>
        </c:manualLayout>
      </c:layout>
      <c:barChart>
        <c:barDir val="col"/>
        <c:grouping val="clustered"/>
        <c:varyColors val="0"/>
        <c:ser>
          <c:idx val="0"/>
          <c:order val="0"/>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518.69万元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458.31万元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Sheet1!$A$1:$A$2</c:f>
              <c:strCache>
                <c:ptCount val="2"/>
                <c:pt idx="0">
                  <c:v>2024年度一般公共预算财政拨款支出</c:v>
                </c:pt>
                <c:pt idx="1">
                  <c:v>2023年度一般公共预算财政拨款支出</c:v>
                </c:pt>
              </c:strCache>
            </c:strRef>
          </c:cat>
          <c:val>
            <c:numRef>
              <c:f>Sheet1!$B$1:$B$2</c:f>
              <c:numCache>
                <c:formatCode>General</c:formatCode>
                <c:ptCount val="2"/>
                <c:pt idx="0">
                  <c:v>518.69</c:v>
                </c:pt>
                <c:pt idx="1">
                  <c:v>458.31</c:v>
                </c:pt>
              </c:numCache>
            </c:numRef>
          </c:val>
        </c:ser>
        <c:dLbls>
          <c:showLegendKey val="0"/>
          <c:showVal val="0"/>
          <c:showCatName val="0"/>
          <c:showSerName val="0"/>
          <c:showPercent val="0"/>
          <c:showBubbleSize val="0"/>
        </c:dLbls>
        <c:gapWidth val="219"/>
        <c:overlap val="-27"/>
        <c:axId val="686847488"/>
        <c:axId val="754387275"/>
      </c:barChart>
      <c:catAx>
        <c:axId val="6868474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4387275"/>
        <c:crosses val="autoZero"/>
        <c:auto val="1"/>
        <c:lblAlgn val="ctr"/>
        <c:lblOffset val="100"/>
        <c:noMultiLvlLbl val="0"/>
      </c:catAx>
      <c:valAx>
        <c:axId val="7543872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6847488"/>
        <c:crosses val="autoZero"/>
        <c:crossBetween val="between"/>
      </c:valAx>
      <c:spPr>
        <a:noFill/>
        <a:ln>
          <a:noFill/>
        </a:ln>
        <a:effectLst/>
      </c:spPr>
    </c:plotArea>
    <c:plotVisOnly val="1"/>
    <c:dispBlanksAs val="gap"/>
    <c:showDLblsOverMax val="0"/>
    <c:extLst>
      <c:ext uri="{0b15fc19-7d7d-44ad-8c2d-2c3a37ce22c3}">
        <chartProps xmlns="https://web.wps.cn/et/2018/main" chartId="{7e89dc98-348e-4b8e-8add-9f5e9ca3e38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社会保障和就业支出</c:v>
                </c:pt>
                <c:pt idx="2">
                  <c:v>卫生健康支出</c:v>
                </c:pt>
                <c:pt idx="3">
                  <c:v>农林水支出</c:v>
                </c:pt>
                <c:pt idx="4">
                  <c:v>住房保障支出</c:v>
                </c:pt>
              </c:strCache>
            </c:strRef>
          </c:cat>
          <c:val>
            <c:numRef>
              <c:f>Sheet1!$B$2:$B$6</c:f>
              <c:numCache>
                <c:formatCode>General</c:formatCode>
                <c:ptCount val="5"/>
                <c:pt idx="0">
                  <c:v>346.04</c:v>
                </c:pt>
                <c:pt idx="1">
                  <c:v>46.29</c:v>
                </c:pt>
                <c:pt idx="2">
                  <c:v>7.71</c:v>
                </c:pt>
                <c:pt idx="3">
                  <c:v>93.46</c:v>
                </c:pt>
                <c:pt idx="4">
                  <c:v>25.19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8818f6e-4c43-4657-9511-3a76cd8ec28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经费财政拨款支出结构</a:t>
            </a:r>
            <a:endParaRPr altLang="en-US"/>
          </a:p>
        </c:rich>
      </c:tx>
      <c:layout/>
      <c:overlay val="0"/>
      <c:spPr>
        <a:noFill/>
        <a:ln>
          <a:noFill/>
        </a:ln>
        <a:effectLst/>
      </c:spPr>
    </c:title>
    <c:autoTitleDeleted val="0"/>
    <c:plotArea>
      <c:layout/>
      <c:pieChart>
        <c:varyColors val="1"/>
        <c:ser>
          <c:idx val="0"/>
          <c:order val="0"/>
          <c:tx>
            <c:strRef>
              <c:f>Sheet1!$B$1</c:f>
              <c:strCache>
                <c:ptCount val="1"/>
                <c:pt idx="0">
                  <c:v>列2</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228ecf1-89a6-41aa-9248-0725bc5143a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dcc332e1-76bf-45d3-be9a-5d2684174ddc</errorID>
      <errorWord>巩固脱贫攻坚成果</errorWord>
      <group>L1_Word</group>
      <groupName>字词问题</groupName>
      <ability>L2_Typo</ability>
      <abilityName>字词错误</abilityName>
      <candidateList>
        <item>巩固拓展脱贫攻坚成果</item>
      </candidateList>
      <explain/>
      <paraID>782CA259</paraID>
      <start>10</start>
      <end>18</end>
      <status>ignored</status>
      <modifiedWord/>
      <trackRevisions>false</trackRevisions>
    </reviewItem>
    <reviewItem>
      <errorID>f584868d-6a65-4886-9f97-9d09fa6884d6</errorID>
      <errorWord>巩固脱贫攻坚成果</errorWord>
      <group>L1_Word</group>
      <groupName>字词问题</groupName>
      <ability>L2_Typo</ability>
      <abilityName>字词错误</abilityName>
      <candidateList>
        <item>巩固拓展脱贫攻坚成果</item>
      </candidateList>
      <explain/>
      <paraID>782CA259</paraID>
      <start>29</start>
      <end>37</end>
      <status>ignored</status>
      <modifiedWord/>
      <trackRevisions>false</trackRevisions>
    </reviewItem>
    <reviewItem>
      <errorID>8cb45d29-cc48-46db-969f-a47baf54b971</errorID>
      <errorWord>实施</errorWord>
      <group>L1_Word</group>
      <groupName>字词问题</groupName>
      <ability>L2_Typo</ability>
      <abilityName>字词错误</abilityName>
      <candidateList>
        <item>实时</item>
      </candidateList>
      <explain>〈副〉与某事发生、发展过程同时（做某事）：进行～报道｜～传递股市行情。</explain>
      <paraID>1BDF5405</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9161d9-6540-4673-84b5-6872680c560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36</Words>
  <Characters>43</Characters>
  <Lines>61</Lines>
  <Paragraphs>17</Paragraphs>
  <TotalTime>1</TotalTime>
  <ScaleCrop>false</ScaleCrop>
  <LinksUpToDate>false</LinksUpToDate>
  <CharactersWithSpaces>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2025-12-09T02:08:14Z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04787F2533EB45DC91BCDE4AB213247F</vt:lpwstr>
  </property>
  <property fmtid="{D5CDD505-2E9C-101B-9397-08002B2CF9AE}" pid="4" name="KSOTemplateDocerSaveRecord">
    <vt:lpwstr>eyJoZGlkIjoiNzI2ZGI0OGUzMDAzMzk0YmE1OTYyMDVlZGMwMmYyODYiLCJ1c2VySWQiOiIxMTM5NjM2MTk5In0=</vt:lpwstr>
  </property>
</Properties>
</file>