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FBB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8EB6DF7">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中共峨边彝族自治县委政法委员会</w:t>
      </w:r>
    </w:p>
    <w:p w14:paraId="0422DD9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08CEA2B">
      <w:pPr>
        <w:jc w:val="center"/>
        <w:rPr>
          <w:rFonts w:hint="eastAsia" w:ascii="方正小标宋简体" w:hAnsi="方正小标宋简体" w:eastAsia="方正小标宋简体" w:cs="方正小标宋简体"/>
          <w:b w:val="0"/>
          <w:bCs/>
          <w:sz w:val="52"/>
          <w:szCs w:val="52"/>
          <w:lang w:val="en-US" w:eastAsia="zh-CN"/>
        </w:rPr>
      </w:pPr>
    </w:p>
    <w:p w14:paraId="1F035A82">
      <w:pPr>
        <w:jc w:val="both"/>
        <w:rPr>
          <w:rFonts w:hint="default"/>
          <w:b/>
          <w:bCs/>
          <w:sz w:val="52"/>
          <w:szCs w:val="52"/>
          <w:lang w:val="en-US" w:eastAsia="zh-CN"/>
        </w:rPr>
      </w:pPr>
    </w:p>
    <w:p w14:paraId="14A16567">
      <w:pPr>
        <w:jc w:val="both"/>
        <w:rPr>
          <w:rFonts w:hint="default"/>
          <w:b/>
          <w:bCs/>
          <w:sz w:val="52"/>
          <w:szCs w:val="52"/>
          <w:lang w:val="en-US" w:eastAsia="zh-CN"/>
        </w:rPr>
      </w:pPr>
    </w:p>
    <w:p w14:paraId="50616D55">
      <w:pPr>
        <w:jc w:val="both"/>
        <w:rPr>
          <w:rFonts w:hint="default"/>
          <w:b/>
          <w:bCs/>
          <w:sz w:val="52"/>
          <w:szCs w:val="52"/>
          <w:lang w:val="en-US" w:eastAsia="zh-CN"/>
        </w:rPr>
      </w:pPr>
    </w:p>
    <w:p w14:paraId="55E8B774">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中共峨边彝族自治县委政法委员会</w:t>
      </w:r>
    </w:p>
    <w:p w14:paraId="733CAE30">
      <w:pPr>
        <w:ind w:left="0" w:leftChars="0" w:firstLine="0" w:firstLineChars="0"/>
        <w:jc w:val="both"/>
        <w:rPr>
          <w:rFonts w:hint="default"/>
          <w:b/>
          <w:bCs/>
          <w:sz w:val="32"/>
          <w:szCs w:val="32"/>
          <w:lang w:val="en-US" w:eastAsia="zh-CN"/>
        </w:rPr>
      </w:pPr>
    </w:p>
    <w:p w14:paraId="4B6D385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月   日</w:t>
      </w:r>
    </w:p>
    <w:p w14:paraId="75ACA357">
      <w:pPr>
        <w:jc w:val="both"/>
        <w:rPr>
          <w:rFonts w:hint="eastAsia"/>
          <w:b/>
          <w:bCs/>
          <w:sz w:val="32"/>
          <w:szCs w:val="32"/>
          <w:lang w:val="en-US" w:eastAsia="zh-CN"/>
        </w:rPr>
      </w:pPr>
    </w:p>
    <w:p w14:paraId="288C42E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27CBA8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6404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县委政法委部门概况</w:t>
      </w:r>
    </w:p>
    <w:p w14:paraId="254E6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14:paraId="4CAABB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二、2025年重点工作</w:t>
      </w:r>
    </w:p>
    <w:p w14:paraId="644BC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县委政法委部门2025年部门预算表</w:t>
      </w:r>
    </w:p>
    <w:p w14:paraId="7FA5B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111A3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2F64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C161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E4D39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86879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0278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9EF4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0811D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73FD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4210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9BAD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ABF9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B0DD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5F08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16FC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县委政法委部门2025年部门预算情况说明</w:t>
      </w:r>
    </w:p>
    <w:p w14:paraId="11CFE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BA5CD1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87F1B4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中共峨边彝族自治县委政法委员会部门概况</w:t>
      </w:r>
    </w:p>
    <w:p w14:paraId="1535B3A6">
      <w:pPr>
        <w:widowControl w:val="0"/>
        <w:numPr>
          <w:ilvl w:val="0"/>
          <w:numId w:val="0"/>
        </w:numPr>
        <w:jc w:val="both"/>
        <w:rPr>
          <w:rFonts w:hint="default"/>
          <w:b/>
          <w:bCs/>
          <w:sz w:val="52"/>
          <w:szCs w:val="52"/>
          <w:lang w:val="en-US" w:eastAsia="zh-CN"/>
        </w:rPr>
      </w:pPr>
    </w:p>
    <w:p w14:paraId="7BEDC7FA">
      <w:pPr>
        <w:widowControl w:val="0"/>
        <w:numPr>
          <w:ilvl w:val="0"/>
          <w:numId w:val="0"/>
        </w:numPr>
        <w:jc w:val="both"/>
        <w:rPr>
          <w:rFonts w:hint="default"/>
          <w:b/>
          <w:bCs/>
          <w:sz w:val="52"/>
          <w:szCs w:val="52"/>
          <w:lang w:val="en-US" w:eastAsia="zh-CN"/>
        </w:rPr>
      </w:pPr>
    </w:p>
    <w:p w14:paraId="4351A389">
      <w:pPr>
        <w:widowControl w:val="0"/>
        <w:numPr>
          <w:ilvl w:val="0"/>
          <w:numId w:val="0"/>
        </w:numPr>
        <w:jc w:val="both"/>
        <w:rPr>
          <w:rFonts w:hint="default"/>
          <w:b/>
          <w:bCs/>
          <w:sz w:val="52"/>
          <w:szCs w:val="52"/>
          <w:lang w:val="en-US" w:eastAsia="zh-CN"/>
        </w:rPr>
      </w:pPr>
    </w:p>
    <w:p w14:paraId="567230AA">
      <w:pPr>
        <w:widowControl w:val="0"/>
        <w:numPr>
          <w:ilvl w:val="0"/>
          <w:numId w:val="0"/>
        </w:numPr>
        <w:jc w:val="both"/>
        <w:rPr>
          <w:rFonts w:hint="default"/>
          <w:b/>
          <w:bCs/>
          <w:sz w:val="52"/>
          <w:szCs w:val="52"/>
          <w:lang w:val="en-US" w:eastAsia="zh-CN"/>
        </w:rPr>
      </w:pPr>
    </w:p>
    <w:p w14:paraId="1337D6F3">
      <w:pPr>
        <w:widowControl w:val="0"/>
        <w:numPr>
          <w:ilvl w:val="0"/>
          <w:numId w:val="0"/>
        </w:numPr>
        <w:jc w:val="both"/>
        <w:rPr>
          <w:rFonts w:hint="default"/>
          <w:b/>
          <w:bCs/>
          <w:sz w:val="52"/>
          <w:szCs w:val="52"/>
          <w:lang w:val="en-US" w:eastAsia="zh-CN"/>
        </w:rPr>
      </w:pPr>
    </w:p>
    <w:p w14:paraId="5BF06FC8">
      <w:pPr>
        <w:widowControl w:val="0"/>
        <w:numPr>
          <w:ilvl w:val="0"/>
          <w:numId w:val="0"/>
        </w:numPr>
        <w:jc w:val="both"/>
        <w:rPr>
          <w:rFonts w:hint="default"/>
          <w:b/>
          <w:bCs/>
          <w:sz w:val="52"/>
          <w:szCs w:val="52"/>
          <w:lang w:val="en-US" w:eastAsia="zh-CN"/>
        </w:rPr>
      </w:pPr>
    </w:p>
    <w:p w14:paraId="38B89F4E">
      <w:pPr>
        <w:bidi w:val="0"/>
        <w:rPr>
          <w:rFonts w:hint="eastAsia" w:ascii="黑体" w:hAnsi="黑体" w:eastAsia="黑体" w:cs="黑体"/>
          <w:lang w:val="en-US" w:eastAsia="zh-CN"/>
        </w:rPr>
      </w:pPr>
    </w:p>
    <w:p w14:paraId="2829974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191F31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14:paraId="332C2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深入贯彻党的路线方针政策和决策部署，统一政法各部门思想和行动，坚持党对政法工作的绝对领导，坚决维护党中央权威和集中统一领导</w:t>
      </w:r>
      <w:r>
        <w:rPr>
          <w:rFonts w:hint="eastAsia" w:ascii="仿宋_GB2312" w:hAnsi="仿宋_GB2312" w:eastAsia="仿宋_GB2312" w:cs="仿宋_GB2312"/>
          <w:color w:val="000000" w:themeColor="text1"/>
          <w:sz w:val="32"/>
          <w:szCs w:val="32"/>
          <w14:textFill>
            <w14:solidFill>
              <w14:schemeClr w14:val="tx1"/>
            </w14:solidFill>
          </w14:textFill>
        </w:rPr>
        <w:t>。</w:t>
      </w:r>
    </w:p>
    <w:p w14:paraId="294F7B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深入贯彻党中央决定和省委、市委、县委决策，对政法工作研究提出全局性部署，推进平安峨边、法治峨边建设，加强过硬政法队伍建设，深化智能化建设，坚决维护国家政治安全、确保社会大局稳定、促进社会公平正义、保障人民安居乐业。</w:t>
      </w:r>
    </w:p>
    <w:p w14:paraId="63FC95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了解掌握和分析研判政法工作情况动态，分析全县社会稳定形势，创新完善多部门参与综合维稳工作机制，构建矛盾纠纷多元化解体系和体制，协调推进预防、化解影响稳定的社会矛盾和风险，协调应对和处置重大突发事件，统筹推进全县维护稳定工作。</w:t>
      </w:r>
    </w:p>
    <w:p w14:paraId="4F191F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4.加强对政法工作的督查，统筹协调维护政治安全、社会治安综合治理、维护社会稳定、反邪教有关法律法规的实施工作；指导全县政法系统网格安全和智能化建设工作。</w:t>
      </w:r>
    </w:p>
    <w:p w14:paraId="5173B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5.组织开展政法领域的调查研究，研究拟定全县政法工作的政策措施，及时向县委提出建议；参与有关法规、规章的起草、修改工作，及时提出立法建议。</w:t>
      </w:r>
    </w:p>
    <w:p w14:paraId="6C33F5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6.掌握分析政法舆情动态，指导协调政法部门媒体网络宣传工作，指导政法部门做好涉及政法工作的重大宣传和舆论引导工作。</w:t>
      </w:r>
    </w:p>
    <w:p w14:paraId="24C54E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7监督和支持政法各部门依法行使职权，指导和协调政法各部门密切配合，研究和协调重大、疑难案件，推进严格执法、司法公正。</w:t>
      </w:r>
    </w:p>
    <w:p w14:paraId="535130E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组织研究政法改革中带有方向性、倾向性和普遍性的重大问题，深化政法改革。</w:t>
      </w:r>
    </w:p>
    <w:p w14:paraId="6DFAA51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指导推动政法系统党的建设和政法队伍建设，协调县级有关职能部门管理监督政法领导干部，代管峨边彝族自治县法学会。</w:t>
      </w:r>
    </w:p>
    <w:p w14:paraId="345EE7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完成县委、县政府和上级政法委交办的其他任务。</w:t>
      </w:r>
    </w:p>
    <w:p w14:paraId="3F267B1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14:paraId="38C7C2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是“十四五”规划收官、“十五五”规划谋篇之年，做好政法工作意义重大。峨边彝族自治县委政法委将全面贯彻党的二十大和党的二十届三中全会精神，聚焦中央、省、市政法工作会议精神，紧紧围绕全市政法系统“1365”工作思路，全面落实县委“节奏更快、效率更高、治理更优”的工作目标，为峨边经济社会高质量发展提供坚实政法保障。一是维护安全稳定，防范化解风险；二是推进平安建设，提升治理水平；三是优化法治环境，服务发展大局。</w:t>
      </w:r>
    </w:p>
    <w:p w14:paraId="7CD65A9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二、部门预算单位构成</w:t>
      </w:r>
    </w:p>
    <w:p w14:paraId="7C9D9B4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县委政法委及下属事业</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个，其中：行政单位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下属</w:t>
      </w:r>
      <w:r>
        <w:rPr>
          <w:rFonts w:hint="eastAsia" w:ascii="仿宋_GB2312" w:hAnsi="仿宋_GB2312" w:eastAsia="仿宋_GB2312" w:cs="仿宋_GB2312"/>
          <w:color w:val="000000" w:themeColor="text1"/>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p>
    <w:p w14:paraId="5270CE3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县委政法委</w:t>
      </w:r>
      <w:r>
        <w:rPr>
          <w:rFonts w:hint="eastAsia" w:ascii="仿宋_GB2312" w:hAnsi="仿宋_GB2312" w:eastAsia="仿宋_GB2312" w:cs="仿宋_GB2312"/>
          <w:color w:val="000000" w:themeColor="text1"/>
          <w:sz w:val="32"/>
          <w:szCs w:val="32"/>
          <w:highlight w:val="none"/>
          <w14:textFill>
            <w14:solidFill>
              <w14:schemeClr w14:val="tx1"/>
            </w14:solidFill>
          </w14:textFill>
        </w:rPr>
        <w:t>总编制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p>
    <w:p w14:paraId="314442FB">
      <w:pPr>
        <w:pStyle w:val="2"/>
        <w:numPr>
          <w:ilvl w:val="0"/>
          <w:numId w:val="0"/>
        </w:numPr>
        <w:bidi w:val="0"/>
        <w:jc w:val="both"/>
        <w:rPr>
          <w:rFonts w:hint="eastAsia"/>
          <w:lang w:val="en-US" w:eastAsia="zh-CN"/>
        </w:rPr>
      </w:pPr>
    </w:p>
    <w:p w14:paraId="257785F0">
      <w:pPr>
        <w:bidi w:val="0"/>
        <w:rPr>
          <w:rFonts w:hint="eastAsia"/>
          <w:lang w:val="en-US" w:eastAsia="zh-CN"/>
        </w:rPr>
      </w:pPr>
    </w:p>
    <w:p w14:paraId="47E5738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4DF8CA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中共峨边彝族自治县委政法委员会</w:t>
      </w:r>
      <w:r>
        <w:rPr>
          <w:rFonts w:hint="eastAsia" w:ascii="方正小标宋简体" w:hAnsi="方正小标宋简体" w:eastAsia="方正小标宋简体" w:cs="方正小标宋简体"/>
          <w:b w:val="0"/>
          <w:bCs/>
          <w:sz w:val="52"/>
          <w:szCs w:val="52"/>
          <w:lang w:val="en-US" w:eastAsia="zh-CN"/>
        </w:rPr>
        <w:t>2025年部门预算表</w:t>
      </w:r>
    </w:p>
    <w:p w14:paraId="59E51158">
      <w:pPr>
        <w:spacing w:line="600" w:lineRule="exact"/>
        <w:rPr>
          <w:rFonts w:hint="default" w:ascii="仿宋" w:hAnsi="仿宋" w:eastAsia="仿宋" w:cs="Times New Roman"/>
          <w:sz w:val="32"/>
          <w:szCs w:val="32"/>
          <w:lang w:val="en-US" w:eastAsia="zh-CN"/>
        </w:rPr>
      </w:pPr>
    </w:p>
    <w:p w14:paraId="32553FBE">
      <w:pPr>
        <w:spacing w:line="600" w:lineRule="exact"/>
        <w:rPr>
          <w:rFonts w:hint="default" w:ascii="仿宋" w:hAnsi="仿宋" w:eastAsia="仿宋" w:cs="Times New Roman"/>
          <w:sz w:val="32"/>
          <w:szCs w:val="32"/>
          <w:lang w:val="en-US" w:eastAsia="zh-CN"/>
        </w:rPr>
      </w:pPr>
    </w:p>
    <w:p w14:paraId="2DF4282A">
      <w:pPr>
        <w:spacing w:line="600" w:lineRule="exact"/>
        <w:rPr>
          <w:rFonts w:hint="default" w:ascii="仿宋" w:hAnsi="仿宋" w:eastAsia="仿宋" w:cs="Times New Roman"/>
          <w:sz w:val="32"/>
          <w:szCs w:val="32"/>
          <w:lang w:val="en-US" w:eastAsia="zh-CN"/>
        </w:rPr>
      </w:pPr>
    </w:p>
    <w:p w14:paraId="6592C09C">
      <w:pPr>
        <w:spacing w:line="600" w:lineRule="exact"/>
        <w:rPr>
          <w:rFonts w:hint="default" w:ascii="仿宋" w:hAnsi="仿宋" w:eastAsia="仿宋" w:cs="Times New Roman"/>
          <w:sz w:val="32"/>
          <w:szCs w:val="32"/>
          <w:lang w:val="en-US" w:eastAsia="zh-CN"/>
        </w:rPr>
      </w:pPr>
    </w:p>
    <w:p w14:paraId="7ACE4AAC">
      <w:pPr>
        <w:spacing w:line="600" w:lineRule="exact"/>
        <w:rPr>
          <w:rFonts w:hint="default" w:ascii="仿宋" w:hAnsi="仿宋" w:eastAsia="仿宋" w:cs="Times New Roman"/>
          <w:sz w:val="32"/>
          <w:szCs w:val="32"/>
          <w:lang w:val="en-US" w:eastAsia="zh-CN"/>
        </w:rPr>
      </w:pPr>
    </w:p>
    <w:p w14:paraId="21DF50FA">
      <w:pPr>
        <w:spacing w:line="600" w:lineRule="exact"/>
        <w:rPr>
          <w:rFonts w:hint="default" w:ascii="仿宋" w:hAnsi="仿宋" w:eastAsia="仿宋" w:cs="Times New Roman"/>
          <w:sz w:val="32"/>
          <w:szCs w:val="32"/>
          <w:lang w:val="en-US" w:eastAsia="zh-CN"/>
        </w:rPr>
      </w:pPr>
    </w:p>
    <w:p w14:paraId="7E7DEB54">
      <w:pPr>
        <w:spacing w:line="600" w:lineRule="exact"/>
        <w:rPr>
          <w:rFonts w:hint="default" w:ascii="仿宋" w:hAnsi="仿宋" w:eastAsia="仿宋" w:cs="Times New Roman"/>
          <w:sz w:val="32"/>
          <w:szCs w:val="32"/>
          <w:lang w:val="en-US" w:eastAsia="zh-CN"/>
        </w:rPr>
      </w:pPr>
    </w:p>
    <w:p w14:paraId="37D81CBD">
      <w:pPr>
        <w:spacing w:line="600" w:lineRule="exact"/>
        <w:ind w:left="0" w:leftChars="0" w:firstLine="0" w:firstLineChars="0"/>
        <w:rPr>
          <w:rFonts w:hint="eastAsia" w:ascii="仿宋_GB2312" w:hAnsi="仿宋_GB2312" w:eastAsia="仿宋_GB2312" w:cs="仿宋_GB2312"/>
          <w:sz w:val="32"/>
          <w:szCs w:val="32"/>
          <w:lang w:val="en-US" w:eastAsia="zh-CN"/>
        </w:rPr>
      </w:pPr>
    </w:p>
    <w:p w14:paraId="02E78AAA">
      <w:pPr>
        <w:spacing w:line="600" w:lineRule="exact"/>
        <w:ind w:left="0" w:leftChars="0" w:firstLine="0" w:firstLineChars="0"/>
        <w:rPr>
          <w:rFonts w:hint="eastAsia" w:ascii="仿宋_GB2312" w:hAnsi="仿宋_GB2312" w:eastAsia="仿宋_GB2312" w:cs="仿宋_GB2312"/>
          <w:sz w:val="32"/>
          <w:szCs w:val="32"/>
          <w:lang w:val="en-US" w:eastAsia="zh-CN"/>
        </w:rPr>
      </w:pPr>
    </w:p>
    <w:p w14:paraId="1D1D5CE7">
      <w:pPr>
        <w:spacing w:line="600" w:lineRule="exact"/>
        <w:ind w:left="0" w:leftChars="0" w:firstLine="0" w:firstLineChars="0"/>
        <w:rPr>
          <w:rFonts w:hint="eastAsia" w:ascii="仿宋_GB2312" w:hAnsi="仿宋_GB2312" w:eastAsia="仿宋_GB2312" w:cs="仿宋_GB2312"/>
          <w:sz w:val="32"/>
          <w:szCs w:val="32"/>
          <w:lang w:val="en-US" w:eastAsia="zh-CN"/>
        </w:rPr>
      </w:pPr>
    </w:p>
    <w:p w14:paraId="572518F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BF3D20B">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中共峨边彝族自治县委政法委员会</w:t>
      </w:r>
      <w:r>
        <w:rPr>
          <w:rFonts w:hint="eastAsia" w:ascii="方正小标宋简体" w:hAnsi="方正小标宋简体" w:eastAsia="方正小标宋简体" w:cs="方正小标宋简体"/>
          <w:b w:val="0"/>
          <w:bCs/>
          <w:sz w:val="52"/>
          <w:szCs w:val="52"/>
          <w:lang w:val="en-US" w:eastAsia="zh-CN"/>
        </w:rPr>
        <w:t>2025年部门预算情况说明</w:t>
      </w:r>
    </w:p>
    <w:p w14:paraId="3FD49475">
      <w:pPr>
        <w:numPr>
          <w:ilvl w:val="0"/>
          <w:numId w:val="0"/>
        </w:numPr>
        <w:jc w:val="center"/>
        <w:rPr>
          <w:rFonts w:hint="default"/>
          <w:b/>
          <w:bCs/>
          <w:sz w:val="52"/>
          <w:szCs w:val="52"/>
          <w:lang w:val="en-US" w:eastAsia="zh-CN"/>
        </w:rPr>
      </w:pPr>
    </w:p>
    <w:p w14:paraId="4D763E66">
      <w:pPr>
        <w:numPr>
          <w:ilvl w:val="0"/>
          <w:numId w:val="0"/>
        </w:numPr>
        <w:spacing w:line="600" w:lineRule="exact"/>
        <w:rPr>
          <w:rFonts w:hint="eastAsia" w:ascii="仿宋" w:hAnsi="仿宋" w:eastAsia="仿宋" w:cs="Times New Roman"/>
          <w:sz w:val="32"/>
          <w:szCs w:val="32"/>
          <w:lang w:val="en-US" w:eastAsia="zh-CN"/>
        </w:rPr>
      </w:pPr>
    </w:p>
    <w:p w14:paraId="450B0366">
      <w:pPr>
        <w:numPr>
          <w:ilvl w:val="0"/>
          <w:numId w:val="0"/>
        </w:numPr>
        <w:spacing w:line="600" w:lineRule="exact"/>
        <w:rPr>
          <w:rFonts w:hint="eastAsia" w:ascii="仿宋" w:hAnsi="仿宋" w:eastAsia="仿宋" w:cs="Times New Roman"/>
          <w:sz w:val="32"/>
          <w:szCs w:val="32"/>
          <w:lang w:val="en-US" w:eastAsia="zh-CN"/>
        </w:rPr>
      </w:pPr>
    </w:p>
    <w:p w14:paraId="0C488843">
      <w:pPr>
        <w:numPr>
          <w:ilvl w:val="0"/>
          <w:numId w:val="0"/>
        </w:numPr>
        <w:spacing w:line="600" w:lineRule="exact"/>
        <w:rPr>
          <w:rFonts w:hint="eastAsia" w:ascii="仿宋" w:hAnsi="仿宋" w:eastAsia="仿宋" w:cs="Times New Roman"/>
          <w:sz w:val="32"/>
          <w:szCs w:val="32"/>
          <w:lang w:val="en-US" w:eastAsia="zh-CN"/>
        </w:rPr>
      </w:pPr>
    </w:p>
    <w:p w14:paraId="26ECBC27">
      <w:pPr>
        <w:numPr>
          <w:ilvl w:val="0"/>
          <w:numId w:val="0"/>
        </w:numPr>
        <w:jc w:val="both"/>
        <w:rPr>
          <w:rFonts w:hint="default"/>
          <w:b/>
          <w:bCs/>
          <w:sz w:val="52"/>
          <w:szCs w:val="52"/>
          <w:lang w:val="en-US" w:eastAsia="zh-CN"/>
        </w:rPr>
      </w:pPr>
    </w:p>
    <w:p w14:paraId="66ABFA69">
      <w:pPr>
        <w:pStyle w:val="4"/>
        <w:bidi w:val="0"/>
        <w:ind w:left="0" w:leftChars="0" w:firstLine="0" w:firstLineChars="0"/>
        <w:rPr>
          <w:rFonts w:hint="eastAsia" w:ascii="黑体" w:hAnsi="黑体" w:eastAsia="黑体" w:cs="黑体"/>
          <w:b w:val="0"/>
          <w:bCs/>
          <w:lang w:val="en-US" w:eastAsia="zh-CN"/>
        </w:rPr>
      </w:pPr>
    </w:p>
    <w:p w14:paraId="32118580">
      <w:pPr>
        <w:rPr>
          <w:rFonts w:hint="eastAsia"/>
          <w:lang w:val="en-US" w:eastAsia="zh-CN"/>
        </w:rPr>
      </w:pPr>
    </w:p>
    <w:p w14:paraId="10B86EDD">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p>
    <w:p w14:paraId="6B7990EB">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bookmarkStart w:id="0" w:name="_GoBack"/>
      <w:bookmarkEnd w:id="0"/>
      <w:r>
        <w:rPr>
          <w:rFonts w:hint="eastAsia" w:ascii="黑体" w:hAnsi="黑体" w:eastAsia="黑体" w:cs="黑体"/>
          <w:b w:val="0"/>
          <w:bCs/>
          <w:lang w:val="en-US" w:eastAsia="zh-CN"/>
        </w:rPr>
        <w:t>一、收支预算情况说明</w:t>
      </w:r>
    </w:p>
    <w:p w14:paraId="4B085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按照综合预算的原则，县委政法委所有收入和支出均纳入部门预算管理。收入包括：一般公共预算拨款收入；支出包括：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一般公共服务支出、社会保障和就业支出、卫生健康支出、住房保障支出。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县委政法委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年收支总预算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313.76</w:t>
      </w:r>
      <w:r>
        <w:rPr>
          <w:rFonts w:hint="eastAsia" w:ascii="仿宋_GB2312" w:hAnsi="仿宋_GB2312" w:eastAsia="仿宋_GB2312" w:cs="仿宋_GB2312"/>
          <w:color w:val="000000" w:themeColor="text1"/>
          <w:kern w:val="0"/>
          <w:sz w:val="32"/>
          <w:szCs w:val="32"/>
          <w14:textFill>
            <w14:solidFill>
              <w14:schemeClr w14:val="tx1"/>
            </w14:solidFill>
          </w14:textFill>
        </w:rPr>
        <w:t>万元，比202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年收支预算总数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37.79</w:t>
      </w:r>
      <w:r>
        <w:rPr>
          <w:rFonts w:hint="eastAsia" w:ascii="仿宋_GB2312" w:hAnsi="仿宋_GB2312" w:eastAsia="仿宋_GB2312" w:cs="仿宋_GB2312"/>
          <w:color w:val="000000" w:themeColor="text1"/>
          <w:kern w:val="0"/>
          <w:sz w:val="32"/>
          <w:szCs w:val="32"/>
          <w14:textFill>
            <w14:solidFill>
              <w14:schemeClr w14:val="tx1"/>
            </w14:solidFill>
          </w14:textFill>
        </w:rPr>
        <w:t>万元，主要是由于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人员减少，项目减少，</w:t>
      </w:r>
      <w:r>
        <w:rPr>
          <w:rFonts w:hint="eastAsia" w:ascii="仿宋_GB2312" w:hAnsi="仿宋_GB2312" w:eastAsia="仿宋_GB2312" w:cs="仿宋_GB2312"/>
          <w:color w:val="000000" w:themeColor="text1"/>
          <w:kern w:val="0"/>
          <w:sz w:val="32"/>
          <w:szCs w:val="32"/>
          <w14:textFill>
            <w14:solidFill>
              <w14:schemeClr w14:val="tx1"/>
            </w14:solidFill>
          </w14:textFill>
        </w:rPr>
        <w:t>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4524E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（一）收入预算情况</w:t>
      </w:r>
    </w:p>
    <w:p w14:paraId="6EDA7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县委政法委2025年收入预算313.76万元，其中：上年结转0万元，占0%；一般公共预算拨款收入313.76万元，占100%；政府性基金预算拨款收入0万元，占0%；事业收入0万元，占0%。</w:t>
      </w:r>
    </w:p>
    <w:p w14:paraId="28ECD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（二）支出预算情况</w:t>
      </w:r>
    </w:p>
    <w:p w14:paraId="40709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县委政法委2025年支出预算313.76万元，其中：基本支出295.76，占94.26%；项目支出18万元，占5.74%。</w:t>
      </w:r>
    </w:p>
    <w:p w14:paraId="4DF2B2E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577D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县委政法委2025年财政拨款收支预算总数313.76万元,比2024年财政拨款收支预算总数351.55万元减少37.79万元，主要原因是：人员减少、项目减少，预算减少。</w:t>
      </w:r>
    </w:p>
    <w:p w14:paraId="18738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收入包括：本年一般公共预算拨款收入313.76万元、本年</w:t>
      </w:r>
      <w:r>
        <w:rPr>
          <w:rFonts w:hint="eastAsia" w:ascii="仿宋_GB2312" w:hAnsi="仿宋_GB2312" w:eastAsia="仿宋_GB2312" w:cs="仿宋_GB2312"/>
          <w:kern w:val="0"/>
          <w:sz w:val="32"/>
          <w:szCs w:val="32"/>
        </w:rPr>
        <w:t>政</w:t>
      </w:r>
      <w:r>
        <w:rPr>
          <w:rFonts w:hint="eastAsia" w:ascii="仿宋_GB2312" w:hAnsi="仿宋_GB2312" w:eastAsia="仿宋_GB2312" w:cs="仿宋_GB2312"/>
          <w:color w:val="000000" w:themeColor="text1"/>
          <w:kern w:val="0"/>
          <w:sz w:val="32"/>
          <w:szCs w:val="32"/>
          <w14:textFill>
            <w14:solidFill>
              <w14:schemeClr w14:val="tx1"/>
            </w14:solidFill>
          </w14:textFill>
        </w:rPr>
        <w:t>府性基金预算拨款收入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万元；支出包括：一般公共服务支出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241.65</w:t>
      </w:r>
      <w:r>
        <w:rPr>
          <w:rFonts w:hint="eastAsia" w:ascii="仿宋_GB2312" w:hAnsi="仿宋_GB2312" w:eastAsia="仿宋_GB2312" w:cs="仿宋_GB2312"/>
          <w:color w:val="000000" w:themeColor="text1"/>
          <w:kern w:val="0"/>
          <w:sz w:val="32"/>
          <w:szCs w:val="32"/>
          <w14:textFill>
            <w14:solidFill>
              <w14:schemeClr w14:val="tx1"/>
            </w14:solidFill>
          </w14:textFill>
        </w:rPr>
        <w:t>万元、社会保障和就业支出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41.12</w:t>
      </w:r>
      <w:r>
        <w:rPr>
          <w:rFonts w:hint="eastAsia" w:ascii="仿宋_GB2312" w:hAnsi="仿宋_GB2312" w:eastAsia="仿宋_GB2312" w:cs="仿宋_GB2312"/>
          <w:color w:val="000000" w:themeColor="text1"/>
          <w:kern w:val="0"/>
          <w:sz w:val="32"/>
          <w:szCs w:val="32"/>
          <w14:textFill>
            <w14:solidFill>
              <w14:schemeClr w14:val="tx1"/>
            </w14:solidFill>
          </w14:textFill>
        </w:rPr>
        <w:t>万元、卫生健康支出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7.34</w:t>
      </w:r>
      <w:r>
        <w:rPr>
          <w:rFonts w:hint="eastAsia" w:ascii="仿宋_GB2312" w:hAnsi="仿宋_GB2312" w:eastAsia="仿宋_GB2312" w:cs="仿宋_GB2312"/>
          <w:color w:val="000000" w:themeColor="text1"/>
          <w:kern w:val="0"/>
          <w:sz w:val="32"/>
          <w:szCs w:val="32"/>
          <w14:textFill>
            <w14:solidFill>
              <w14:schemeClr w14:val="tx1"/>
            </w14:solidFill>
          </w14:textFill>
        </w:rPr>
        <w:t>万元，住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房</w:t>
      </w:r>
      <w:r>
        <w:rPr>
          <w:rFonts w:hint="eastAsia" w:ascii="仿宋_GB2312" w:hAnsi="仿宋_GB2312" w:eastAsia="仿宋_GB2312" w:cs="仿宋_GB2312"/>
          <w:color w:val="000000" w:themeColor="text1"/>
          <w:kern w:val="0"/>
          <w:sz w:val="32"/>
          <w:szCs w:val="32"/>
          <w14:textFill>
            <w14:solidFill>
              <w14:schemeClr w14:val="tx1"/>
            </w14:solidFill>
          </w14:textFill>
        </w:rPr>
        <w:t>保障支出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23.65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6A0D0D0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三、一般公共预算当年拨款情况说明</w:t>
      </w:r>
    </w:p>
    <w:p w14:paraId="127B6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（一）一般公共预算当年拨款规模及变化情况。</w:t>
      </w:r>
    </w:p>
    <w:p w14:paraId="3A85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w:t>
      </w:r>
      <w:r>
        <w:rPr>
          <w:rFonts w:hint="eastAsia" w:ascii="仿宋_GB2312" w:hAnsi="仿宋_GB2312" w:eastAsia="仿宋_GB2312" w:cs="仿宋_GB2312"/>
          <w:color w:val="000000" w:themeColor="text1"/>
          <w:kern w:val="0"/>
          <w:sz w:val="32"/>
          <w:szCs w:val="32"/>
          <w14:textFill>
            <w14:solidFill>
              <w14:schemeClr w14:val="tx1"/>
            </w14:solidFill>
          </w14:textFill>
        </w:rPr>
        <w:t>年一般公共预算当年拨款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313.76</w:t>
      </w:r>
      <w:r>
        <w:rPr>
          <w:rFonts w:hint="eastAsia" w:ascii="仿宋_GB2312" w:hAnsi="仿宋_GB2312" w:eastAsia="仿宋_GB2312" w:cs="仿宋_GB2312"/>
          <w:color w:val="000000" w:themeColor="text1"/>
          <w:kern w:val="0"/>
          <w:sz w:val="32"/>
          <w:szCs w:val="32"/>
          <w14:textFill>
            <w14:solidFill>
              <w14:schemeClr w14:val="tx1"/>
            </w14:solidFill>
          </w14:textFill>
        </w:rPr>
        <w:t>万元，较上年预算数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27.79</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：人员减少，项目减少，预算减少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7D5F8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（二）一般公共预算当年拨款结构情况。</w:t>
      </w:r>
    </w:p>
    <w:p w14:paraId="3B88ECA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一般公共服务支出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241.65</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77.02</w:t>
      </w:r>
      <w:r>
        <w:rPr>
          <w:rFonts w:hint="eastAsia" w:ascii="仿宋_GB2312" w:hAnsi="仿宋_GB2312" w:eastAsia="仿宋_GB2312" w:cs="仿宋_GB2312"/>
          <w:color w:val="000000" w:themeColor="text1"/>
          <w:kern w:val="0"/>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41.12</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13.11</w:t>
      </w:r>
      <w:r>
        <w:rPr>
          <w:rFonts w:hint="eastAsia" w:ascii="仿宋_GB2312" w:hAnsi="仿宋_GB2312" w:eastAsia="仿宋_GB2312" w:cs="仿宋_GB2312"/>
          <w:color w:val="000000" w:themeColor="text1"/>
          <w:kern w:val="0"/>
          <w:sz w:val="32"/>
          <w:szCs w:val="32"/>
          <w14:textFill>
            <w14:solidFill>
              <w14:schemeClr w14:val="tx1"/>
            </w14:solidFill>
          </w14:textFill>
        </w:rPr>
        <w:t>%；医疗卫生与计划生育支出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7.33</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2.35</w:t>
      </w:r>
      <w:r>
        <w:rPr>
          <w:rFonts w:hint="eastAsia" w:ascii="仿宋_GB2312" w:hAnsi="仿宋_GB2312" w:eastAsia="仿宋_GB2312" w:cs="仿宋_GB2312"/>
          <w:color w:val="000000" w:themeColor="text1"/>
          <w:kern w:val="0"/>
          <w:sz w:val="32"/>
          <w:szCs w:val="32"/>
          <w14:textFill>
            <w14:solidFill>
              <w14:schemeClr w14:val="tx1"/>
            </w14:solidFill>
          </w14:textFill>
        </w:rPr>
        <w:t>%；住房保障支出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23.65</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7.54</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kern w:val="0"/>
          <w:sz w:val="32"/>
          <w:szCs w:val="32"/>
        </w:rPr>
        <w:t>。</w:t>
      </w:r>
    </w:p>
    <w:p w14:paraId="25ABA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（三）一般公共预算当年拨款具体使用情况</w:t>
      </w:r>
    </w:p>
    <w:p w14:paraId="7E66DC3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14:textFill>
            <w14:solidFill>
              <w14:schemeClr w14:val="tx1"/>
            </w14:solidFill>
          </w14:textFill>
        </w:rPr>
        <w:t>行政运行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162.8</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机关及参公管理事业单位正常运转的基本支出，包括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行政人员</w:t>
      </w:r>
      <w:r>
        <w:rPr>
          <w:rFonts w:hint="eastAsia" w:ascii="仿宋_GB2312" w:hAnsi="仿宋_GB2312" w:eastAsia="仿宋_GB2312" w:cs="仿宋_GB2312"/>
          <w:color w:val="000000" w:themeColor="text1"/>
          <w:kern w:val="0"/>
          <w:sz w:val="32"/>
          <w:szCs w:val="32"/>
          <w14:textFill>
            <w14:solidFill>
              <w14:schemeClr w14:val="tx1"/>
            </w14:solidFill>
          </w14:textFill>
        </w:rPr>
        <w:t>基本工资、津贴补贴等人员经费以及办公费、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邮电费、差旅</w:t>
      </w:r>
      <w:r>
        <w:rPr>
          <w:rFonts w:hint="eastAsia" w:ascii="仿宋_GB2312" w:hAnsi="仿宋_GB2312" w:eastAsia="仿宋_GB2312" w:cs="仿宋_GB2312"/>
          <w:color w:val="000000" w:themeColor="text1"/>
          <w:kern w:val="0"/>
          <w:sz w:val="32"/>
          <w:szCs w:val="32"/>
          <w14:textFill>
            <w14:solidFill>
              <w14:schemeClr w14:val="tx1"/>
            </w14:solidFill>
          </w14:textFill>
        </w:rPr>
        <w:t>费等日常公用经费</w:t>
      </w:r>
      <w:r>
        <w:rPr>
          <w:rFonts w:hint="eastAsia" w:ascii="仿宋_GB2312" w:hAnsi="仿宋_GB2312" w:eastAsia="仿宋_GB2312" w:cs="仿宋_GB2312"/>
          <w:color w:val="000000"/>
          <w:kern w:val="0"/>
          <w:sz w:val="32"/>
          <w:szCs w:val="32"/>
        </w:rPr>
        <w:t>。</w:t>
      </w:r>
    </w:p>
    <w:p w14:paraId="0BBC594D">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一般行政管理事务</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机关及参公管理事业单位开展财政综合业务、预决算编审等未单独设置项级科目的专门性财政管理工作的项目支出</w:t>
      </w:r>
      <w:r>
        <w:rPr>
          <w:rFonts w:hint="eastAsia" w:ascii="仿宋_GB2312" w:hAnsi="仿宋_GB2312" w:eastAsia="仿宋_GB2312" w:cs="仿宋_GB2312"/>
          <w:color w:val="000000"/>
          <w:kern w:val="0"/>
          <w:sz w:val="32"/>
          <w:szCs w:val="32"/>
        </w:rPr>
        <w:t>。</w:t>
      </w:r>
    </w:p>
    <w:p w14:paraId="156A0CF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rPr>
        <w:t>3.一般公共服务（类）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14:textFill>
            <w14:solidFill>
              <w14:schemeClr w14:val="tx1"/>
            </w14:solidFill>
          </w14:textFill>
        </w:rPr>
        <w:t>事业运行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60.85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万元，主要用于：机关及参公管理事业单位正常运转的基本支出，包括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事业人员</w:t>
      </w:r>
      <w:r>
        <w:rPr>
          <w:rFonts w:hint="eastAsia" w:ascii="仿宋_GB2312" w:hAnsi="仿宋_GB2312" w:eastAsia="仿宋_GB2312" w:cs="仿宋_GB2312"/>
          <w:color w:val="000000" w:themeColor="text1"/>
          <w:kern w:val="0"/>
          <w:sz w:val="32"/>
          <w:szCs w:val="32"/>
          <w14:textFill>
            <w14:solidFill>
              <w14:schemeClr w14:val="tx1"/>
            </w14:solidFill>
          </w14:textFill>
        </w:rPr>
        <w:t>基本工资、津贴补贴等人员经费以及办公费、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差旅费</w:t>
      </w:r>
      <w:r>
        <w:rPr>
          <w:rFonts w:hint="eastAsia" w:ascii="仿宋_GB2312" w:hAnsi="仿宋_GB2312" w:eastAsia="仿宋_GB2312" w:cs="仿宋_GB2312"/>
          <w:color w:val="000000" w:themeColor="text1"/>
          <w:kern w:val="0"/>
          <w:sz w:val="32"/>
          <w:szCs w:val="32"/>
          <w14:textFill>
            <w14:solidFill>
              <w14:schemeClr w14:val="tx1"/>
            </w14:solidFill>
          </w14:textFill>
        </w:rPr>
        <w:t>等日常公用经费。</w:t>
      </w:r>
    </w:p>
    <w:p w14:paraId="65D6E05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4.社会保障和就业（类）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kern w:val="0"/>
          <w:sz w:val="32"/>
          <w:szCs w:val="32"/>
          <w14:textFill>
            <w14:solidFill>
              <w14:schemeClr w14:val="tx1"/>
            </w14:solidFill>
          </w14:textFill>
        </w:rPr>
        <w:t>（款</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机关事业单位基本养老保险缴费支出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26.33</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实施养老保险制度后，部门按规定由单位缴纳的基本养老保险费支出</w:t>
      </w:r>
      <w:r>
        <w:rPr>
          <w:rFonts w:hint="eastAsia" w:ascii="仿宋_GB2312" w:hAnsi="仿宋_GB2312" w:eastAsia="仿宋_GB2312" w:cs="仿宋_GB2312"/>
          <w:color w:val="000000"/>
          <w:kern w:val="0"/>
          <w:sz w:val="32"/>
          <w:szCs w:val="32"/>
        </w:rPr>
        <w:t>。</w:t>
      </w:r>
    </w:p>
    <w:p w14:paraId="25B18ED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rPr>
        <w:t>5.社会</w:t>
      </w:r>
      <w:r>
        <w:rPr>
          <w:rFonts w:hint="eastAsia" w:ascii="仿宋_GB2312" w:hAnsi="仿宋_GB2312" w:eastAsia="仿宋_GB2312" w:cs="仿宋_GB2312"/>
          <w:color w:val="000000" w:themeColor="text1"/>
          <w:kern w:val="0"/>
          <w:sz w:val="32"/>
          <w:szCs w:val="32"/>
          <w14:textFill>
            <w14:solidFill>
              <w14:schemeClr w14:val="tx1"/>
            </w14:solidFill>
          </w14:textFill>
        </w:rPr>
        <w:t>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kern w:val="0"/>
          <w:sz w:val="32"/>
          <w:szCs w:val="32"/>
          <w14:textFill>
            <w14:solidFill>
              <w14:schemeClr w14:val="tx1"/>
            </w14:solidFill>
          </w14:textFill>
        </w:rPr>
        <w:t>（款）机关事业单位基本职业年金缴费支出（项）: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13.17</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万元，主要用于：实施养老保险制度后，部门按规定由单位缴纳的职业年金支出。</w:t>
      </w:r>
    </w:p>
    <w:p w14:paraId="7F855F3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6.社</w:t>
      </w:r>
      <w:r>
        <w:rPr>
          <w:rFonts w:hint="eastAsia" w:ascii="仿宋_GB2312" w:hAnsi="仿宋_GB2312" w:eastAsia="仿宋_GB2312" w:cs="仿宋_GB2312"/>
          <w:color w:val="000000" w:themeColor="text1"/>
          <w:kern w:val="0"/>
          <w:sz w:val="32"/>
          <w:szCs w:val="32"/>
          <w14:textFill>
            <w14:solidFill>
              <w14:schemeClr w14:val="tx1"/>
            </w14:solidFill>
          </w14:textFill>
        </w:rPr>
        <w:t>会保障和就业（类）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kern w:val="0"/>
          <w:sz w:val="32"/>
          <w:szCs w:val="32"/>
          <w14:textFill>
            <w14:solidFill>
              <w14:schemeClr w14:val="tx1"/>
            </w14:solidFill>
          </w14:textFill>
        </w:rPr>
        <w:t>（款）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kern w:val="0"/>
          <w:sz w:val="32"/>
          <w:szCs w:val="32"/>
          <w14:textFill>
            <w14:solidFill>
              <w14:schemeClr w14:val="tx1"/>
            </w14:solidFill>
          </w14:textFill>
        </w:rPr>
        <w:t>（项）: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1.62</w:t>
      </w:r>
      <w:r>
        <w:rPr>
          <w:rFonts w:hint="eastAsia" w:ascii="仿宋_GB2312" w:hAnsi="仿宋_GB2312" w:eastAsia="仿宋_GB2312" w:cs="仿宋_GB2312"/>
          <w:color w:val="000000" w:themeColor="text1"/>
          <w:kern w:val="0"/>
          <w:sz w:val="32"/>
          <w:szCs w:val="32"/>
          <w14:textFill>
            <w14:solidFill>
              <w14:schemeClr w14:val="tx1"/>
            </w14:solidFill>
          </w14:textFill>
        </w:rPr>
        <w:t>万元，主要</w:t>
      </w:r>
      <w:r>
        <w:rPr>
          <w:rFonts w:hint="eastAsia" w:ascii="仿宋_GB2312" w:hAnsi="仿宋_GB2312" w:eastAsia="仿宋_GB2312" w:cs="仿宋_GB2312"/>
          <w:color w:val="000000"/>
          <w:kern w:val="0"/>
          <w:sz w:val="32"/>
          <w:szCs w:val="32"/>
        </w:rPr>
        <w:t>用于：</w:t>
      </w:r>
      <w:r>
        <w:rPr>
          <w:rFonts w:hint="eastAsia" w:ascii="仿宋_GB2312" w:hAnsi="仿宋_GB2312" w:eastAsia="仿宋_GB2312" w:cs="仿宋_GB2312"/>
          <w:color w:val="000000" w:themeColor="text1"/>
          <w:kern w:val="0"/>
          <w:sz w:val="32"/>
          <w:szCs w:val="32"/>
          <w14:textFill>
            <w14:solidFill>
              <w14:schemeClr w14:val="tx1"/>
            </w14:solidFill>
          </w14:textFill>
        </w:rPr>
        <w:t>其他用于社会保障和就业方面的支出</w:t>
      </w:r>
      <w:r>
        <w:rPr>
          <w:rFonts w:hint="eastAsia" w:ascii="仿宋_GB2312" w:hAnsi="仿宋_GB2312" w:eastAsia="仿宋_GB2312" w:cs="仿宋_GB2312"/>
          <w:color w:val="000000"/>
          <w:kern w:val="0"/>
          <w:sz w:val="32"/>
          <w:szCs w:val="32"/>
        </w:rPr>
        <w:t>。</w:t>
      </w:r>
    </w:p>
    <w:p w14:paraId="7413414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卫生健康</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themeColor="text1"/>
          <w:kern w:val="0"/>
          <w:sz w:val="32"/>
          <w:szCs w:val="32"/>
          <w14:textFill>
            <w14:solidFill>
              <w14:schemeClr w14:val="tx1"/>
            </w14:solidFill>
          </w14:textFill>
        </w:rPr>
        <w:t>行政事业单位医疗（款）行政单位医疗</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4FBB837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.住房保障（类）</w:t>
      </w:r>
      <w:r>
        <w:rPr>
          <w:rFonts w:hint="eastAsia" w:ascii="仿宋_GB2312" w:hAnsi="仿宋_GB2312" w:eastAsia="仿宋_GB2312" w:cs="仿宋_GB2312"/>
          <w:color w:val="000000" w:themeColor="text1"/>
          <w:kern w:val="0"/>
          <w:sz w:val="32"/>
          <w:szCs w:val="32"/>
          <w14:textFill>
            <w14:solidFill>
              <w14:schemeClr w14:val="tx1"/>
            </w14:solidFill>
          </w14:textFill>
        </w:rPr>
        <w:t>住房改革支出（款）住房公积金</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23.65</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部门按人力资源和社会保障部、财政部规定的基本工资和津贴补贴以及规定比例为职工缴纳的住房公积金支出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10B6CEE2">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四、一般公共预算基本支出情况说明</w:t>
      </w:r>
    </w:p>
    <w:p w14:paraId="16888F2C">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w:t>
      </w:r>
      <w:r>
        <w:rPr>
          <w:rFonts w:hint="eastAsia" w:ascii="仿宋_GB2312" w:hAnsi="仿宋_GB2312" w:eastAsia="仿宋_GB2312" w:cs="仿宋_GB2312"/>
          <w:color w:val="000000" w:themeColor="text1"/>
          <w:kern w:val="0"/>
          <w:sz w:val="32"/>
          <w:szCs w:val="32"/>
          <w14:textFill>
            <w14:solidFill>
              <w14:schemeClr w14:val="tx1"/>
            </w14:solidFill>
          </w14:textFill>
        </w:rPr>
        <w:t>年一般公共预算基本支出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295.76</w:t>
      </w:r>
      <w:r>
        <w:rPr>
          <w:rFonts w:hint="eastAsia" w:ascii="仿宋_GB2312" w:hAnsi="仿宋_GB2312" w:eastAsia="仿宋_GB2312" w:cs="仿宋_GB2312"/>
          <w:color w:val="000000" w:themeColor="text1"/>
          <w:kern w:val="0"/>
          <w:sz w:val="32"/>
          <w:szCs w:val="32"/>
          <w14:textFill>
            <w14:solidFill>
              <w14:schemeClr w14:val="tx1"/>
            </w14:solidFill>
          </w14:textFill>
        </w:rPr>
        <w:t>万元，其中：</w:t>
      </w:r>
    </w:p>
    <w:p w14:paraId="4AF442C6">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人员经费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253.45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万元，主要包括：基本工资、津贴补贴、奖金、绩效工资、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伙食补助费、</w:t>
      </w:r>
      <w:r>
        <w:rPr>
          <w:rFonts w:hint="eastAsia" w:ascii="仿宋_GB2312" w:hAnsi="仿宋_GB2312" w:eastAsia="仿宋_GB2312" w:cs="仿宋_GB2312"/>
          <w:color w:val="000000" w:themeColor="text1"/>
          <w:kern w:val="0"/>
          <w:sz w:val="32"/>
          <w:szCs w:val="32"/>
          <w14:textFill>
            <w14:solidFill>
              <w14:schemeClr w14:val="tx1"/>
            </w14:solidFill>
          </w14:textFill>
        </w:rPr>
        <w:t>机关事业单位基本养老保险缴费、职业年金缴费、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w:t>
      </w:r>
      <w:r>
        <w:rPr>
          <w:rFonts w:hint="eastAsia" w:ascii="仿宋_GB2312" w:hAnsi="仿宋_GB2312" w:eastAsia="仿宋_GB2312" w:cs="仿宋_GB2312"/>
          <w:color w:val="000000" w:themeColor="text1"/>
          <w:kern w:val="0"/>
          <w:sz w:val="32"/>
          <w:szCs w:val="32"/>
          <w14:textFill>
            <w14:solidFill>
              <w14:schemeClr w14:val="tx1"/>
            </w14:solidFill>
          </w14:textFill>
        </w:rPr>
        <w:t>社会保险缴费、住房公积金</w:t>
      </w:r>
      <w:r>
        <w:rPr>
          <w:rFonts w:hint="eastAsia" w:ascii="仿宋_GB2312" w:hAnsi="仿宋_GB2312" w:eastAsia="仿宋_GB2312" w:cs="仿宋_GB2312"/>
          <w:color w:val="auto"/>
          <w:kern w:val="0"/>
          <w:sz w:val="32"/>
          <w:szCs w:val="32"/>
        </w:rPr>
        <w:t>。</w:t>
      </w:r>
    </w:p>
    <w:p w14:paraId="2907D09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rPr>
        <w:t>公用经</w:t>
      </w:r>
      <w:r>
        <w:rPr>
          <w:rFonts w:hint="eastAsia" w:ascii="仿宋_GB2312" w:hAnsi="仿宋_GB2312" w:eastAsia="仿宋_GB2312" w:cs="仿宋_GB2312"/>
          <w:color w:val="000000" w:themeColor="text1"/>
          <w:kern w:val="0"/>
          <w:sz w:val="32"/>
          <w:szCs w:val="32"/>
          <w14:textFill>
            <w14:solidFill>
              <w14:schemeClr w14:val="tx1"/>
            </w14:solidFill>
          </w14:textFill>
        </w:rPr>
        <w:t>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42.31</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元，主要包括：</w:t>
      </w:r>
      <w:r>
        <w:rPr>
          <w:rFonts w:hint="eastAsia" w:ascii="仿宋_GB2312" w:hAnsi="仿宋_GB2312" w:eastAsia="仿宋_GB2312" w:cs="仿宋_GB2312"/>
          <w:color w:val="000000" w:themeColor="text1"/>
          <w:kern w:val="0"/>
          <w:sz w:val="32"/>
          <w:szCs w:val="32"/>
          <w14:textFill>
            <w14:solidFill>
              <w14:schemeClr w14:val="tx1"/>
            </w14:solidFill>
          </w14:textFill>
        </w:rPr>
        <w:t>办公费、邮电费、差旅费、工会经费、福利费、其他交通费、其他商品和服务支出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、公务接待费。</w:t>
      </w:r>
    </w:p>
    <w:p w14:paraId="436398B0">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五、政府性基金预算支出规模及变化情况说明</w:t>
      </w:r>
    </w:p>
    <w:p w14:paraId="3211FA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lang w:eastAsia="zh-CN"/>
        </w:rPr>
        <w:t>县委政法委2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025年没有使用政府性基金预算拨款安排的支出。</w:t>
      </w:r>
    </w:p>
    <w:p w14:paraId="6566C752">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六、国有资本经营预算支出规模及变化情况说明</w:t>
      </w:r>
    </w:p>
    <w:p w14:paraId="00E253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县委政法委2025年没有使用国有资本经营预算拨款安排的支出。</w:t>
      </w:r>
    </w:p>
    <w:p w14:paraId="2FC29C7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七、“三公”经费预算安排情况说明</w:t>
      </w:r>
    </w:p>
    <w:p w14:paraId="5E78A2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县委政法委2025年“三公”经费财政拨款预算数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万元。其中：因公出国（境）经费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万元，公务接待费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万元，公务用车购置及运行维护费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w:t>
      </w:r>
    </w:p>
    <w:p w14:paraId="64883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因公出国（境）经费较上年预算持平。主要原因是</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和2024</w:t>
      </w:r>
      <w:r>
        <w:rPr>
          <w:rFonts w:hint="eastAsia" w:ascii="仿宋_GB2312" w:hAnsi="仿宋_GB2312" w:eastAsia="仿宋_GB2312" w:cs="仿宋_GB2312"/>
          <w:color w:val="000000"/>
          <w:kern w:val="0"/>
          <w:sz w:val="32"/>
          <w:szCs w:val="32"/>
        </w:rPr>
        <w:t>年均无因公出国（境）费用支出。</w:t>
      </w:r>
    </w:p>
    <w:p w14:paraId="42DD7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2.公务接待费较上年预算减少</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%。主要原因是按照中央八项规定及厉行节约、反对浪费的要求，简化接待程序，严格控制用餐及住宿标准，减少公务接待开支。</w:t>
      </w:r>
    </w:p>
    <w:p w14:paraId="51A413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年公务接待费计划用于</w:t>
      </w:r>
      <w:r>
        <w:rPr>
          <w:rFonts w:hint="eastAsia" w:ascii="仿宋_GB2312" w:hAnsi="仿宋_GB2312" w:eastAsia="仿宋_GB2312" w:cs="仿宋_GB2312"/>
          <w:color w:val="000000" w:themeColor="text1"/>
          <w:kern w:val="0"/>
          <w:sz w:val="32"/>
          <w:szCs w:val="32"/>
          <w14:textFill>
            <w14:solidFill>
              <w14:schemeClr w14:val="tx1"/>
            </w14:solidFill>
          </w14:textFill>
        </w:rPr>
        <w:t>市级相关部门来我单位调研指导工作和各区县来我单位交流学习等</w:t>
      </w:r>
      <w:r>
        <w:rPr>
          <w:rFonts w:hint="eastAsia" w:ascii="仿宋_GB2312" w:hAnsi="仿宋_GB2312" w:eastAsia="仿宋_GB2312" w:cs="仿宋_GB2312"/>
          <w:color w:val="000000"/>
          <w:kern w:val="0"/>
          <w:sz w:val="32"/>
          <w:szCs w:val="32"/>
        </w:rPr>
        <w:t>。</w:t>
      </w:r>
    </w:p>
    <w:p w14:paraId="506E26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themeColor="text1"/>
          <w:kern w:val="0"/>
          <w:sz w:val="32"/>
          <w:szCs w:val="32"/>
          <w14:textFill>
            <w14:solidFill>
              <w14:schemeClr w14:val="tx1"/>
            </w14:solidFill>
          </w14:textFill>
        </w:rPr>
        <w:t>公务用车购置及运行维护费较上年预算减少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%。主要原因是我单位无公务用车</w:t>
      </w:r>
      <w:r>
        <w:rPr>
          <w:rFonts w:hint="eastAsia" w:ascii="仿宋_GB2312" w:hAnsi="仿宋_GB2312" w:eastAsia="仿宋_GB2312" w:cs="仿宋_GB2312"/>
          <w:color w:val="000000"/>
          <w:kern w:val="0"/>
          <w:sz w:val="32"/>
          <w:szCs w:val="32"/>
        </w:rPr>
        <w:t>。</w:t>
      </w:r>
    </w:p>
    <w:p w14:paraId="578854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单位现有公务用车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辆，其中：轿车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辆，越野车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辆，其他车型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w:t>
      </w:r>
    </w:p>
    <w:p w14:paraId="0FA831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37F6AB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年安排公务用车运行维护费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14:paraId="169312BF">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八、其他重要事项的情况说明</w:t>
      </w:r>
    </w:p>
    <w:p w14:paraId="048DC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（一）机关运行经费。</w:t>
      </w:r>
    </w:p>
    <w:p w14:paraId="4C77D9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，县委政法委运行经费财政拨款预算为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42.31</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，比2024年预算减少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5.69</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万元，主要原因是人员减少，预算减少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67746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（二）政府采购情况。</w:t>
      </w:r>
    </w:p>
    <w:p w14:paraId="7107C5B7">
      <w:pPr>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val="0"/>
          <w:bCs/>
          <w:sz w:val="32"/>
          <w:szCs w:val="32"/>
          <w:lang w:eastAsia="zh-CN"/>
        </w:rPr>
        <w:t>县委政法委，</w:t>
      </w:r>
      <w:r>
        <w:rPr>
          <w:rFonts w:hint="eastAsia" w:ascii="仿宋_GB2312" w:hAnsi="仿宋_GB2312" w:eastAsia="仿宋_GB2312" w:cs="仿宋_GB2312"/>
          <w:color w:val="000000"/>
          <w:kern w:val="0"/>
          <w:sz w:val="32"/>
          <w:szCs w:val="32"/>
          <w:lang w:eastAsia="zh-CN"/>
        </w:rPr>
        <w:t>2025年无政府采购项目，未安排政府采购预算。</w:t>
      </w:r>
    </w:p>
    <w:p w14:paraId="70B7A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（三）国有资产占有使用情况。</w:t>
      </w:r>
    </w:p>
    <w:p w14:paraId="64374E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sz w:val="32"/>
          <w:szCs w:val="32"/>
          <w:lang w:eastAsia="zh-CN"/>
        </w:rPr>
        <w:t>截至2024年底，县委政法委所属各预算单位共有车辆</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辆，其中，县级领导干部用车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辆、定向保障用车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辆、执法执勤用车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辆。单位价值200万元以上大型设备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台（套</w:t>
      </w:r>
      <w:r>
        <w:rPr>
          <w:rFonts w:hint="eastAsia" w:ascii="仿宋_GB2312" w:hAnsi="仿宋_GB2312" w:eastAsia="仿宋_GB2312" w:cs="仿宋_GB2312"/>
          <w:color w:val="000000"/>
          <w:kern w:val="0"/>
        </w:rPr>
        <w:t>）。</w:t>
      </w:r>
    </w:p>
    <w:p w14:paraId="0D0609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202</w:t>
      </w: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年部门预算</w:t>
      </w:r>
      <w:r>
        <w:rPr>
          <w:rFonts w:hint="eastAsia" w:ascii="仿宋_GB2312" w:hAnsi="仿宋_GB2312" w:eastAsia="仿宋_GB2312" w:cs="仿宋_GB2312"/>
          <w:color w:val="000000" w:themeColor="text1"/>
          <w:kern w:val="0"/>
          <w14:textFill>
            <w14:solidFill>
              <w14:schemeClr w14:val="tx1"/>
            </w14:solidFill>
          </w14:textFill>
        </w:rPr>
        <w:t>未</w:t>
      </w:r>
      <w:r>
        <w:rPr>
          <w:rFonts w:hint="eastAsia" w:ascii="仿宋_GB2312" w:hAnsi="仿宋_GB2312" w:eastAsia="仿宋_GB2312" w:cs="仿宋_GB2312"/>
          <w:color w:val="000000"/>
          <w:kern w:val="0"/>
        </w:rPr>
        <w:t>安排购置车辆及单位价值200万元以上大型设备。</w:t>
      </w:r>
    </w:p>
    <w:p w14:paraId="2825D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（四）绩效目标设置情况。</w:t>
      </w:r>
    </w:p>
    <w:p w14:paraId="07F9ED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2025年，县委政法委开展绩效目标管理的项目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zh-CN"/>
        </w:rPr>
        <w:t>万元。其中：人员类项目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万元；运转类项目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万元；特定目标类项目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zh-CN"/>
        </w:rPr>
        <w:t>万元</w:t>
      </w:r>
      <w:r>
        <w:rPr>
          <w:rFonts w:hint="eastAsia" w:ascii="仿宋_GB2312" w:hAnsi="仿宋_GB2312" w:eastAsia="仿宋_GB2312" w:cs="仿宋_GB2312"/>
          <w:color w:val="000000"/>
          <w:kern w:val="0"/>
          <w:sz w:val="32"/>
          <w:szCs w:val="32"/>
        </w:rPr>
        <w:t>。</w:t>
      </w:r>
    </w:p>
    <w:p w14:paraId="6B63960E">
      <w:pPr>
        <w:rPr>
          <w:rFonts w:hint="eastAsia"/>
          <w:lang w:val="en-US" w:eastAsia="zh-CN"/>
        </w:rPr>
      </w:pPr>
    </w:p>
    <w:p w14:paraId="2B1662C3">
      <w:pPr>
        <w:rPr>
          <w:rFonts w:hint="eastAsia"/>
          <w:lang w:val="en-US" w:eastAsia="zh-CN"/>
        </w:rPr>
      </w:pPr>
    </w:p>
    <w:p w14:paraId="45C259A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8C9F768">
      <w:pPr>
        <w:pStyle w:val="2"/>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CCEC46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F9B2C2B">
      <w:pPr>
        <w:widowControl/>
        <w:numPr>
          <w:ilvl w:val="0"/>
          <w:numId w:val="0"/>
        </w:numPr>
        <w:shd w:val="clear" w:color="auto" w:fill="FFFFFF"/>
        <w:jc w:val="left"/>
        <w:rPr>
          <w:rFonts w:hint="eastAsia" w:ascii="仿宋" w:hAnsi="宋体" w:eastAsia="仿宋" w:cs="宋体"/>
          <w:color w:val="000000"/>
          <w:kern w:val="0"/>
          <w:sz w:val="32"/>
          <w:szCs w:val="32"/>
        </w:rPr>
      </w:pPr>
    </w:p>
    <w:p w14:paraId="6AB037A2">
      <w:pPr>
        <w:widowControl/>
        <w:numPr>
          <w:ilvl w:val="0"/>
          <w:numId w:val="0"/>
        </w:numPr>
        <w:shd w:val="clear" w:color="auto" w:fill="FFFFFF"/>
        <w:jc w:val="left"/>
        <w:rPr>
          <w:rFonts w:hint="eastAsia" w:ascii="仿宋" w:hAnsi="宋体" w:eastAsia="仿宋" w:cs="宋体"/>
          <w:color w:val="000000"/>
          <w:kern w:val="0"/>
          <w:sz w:val="32"/>
          <w:szCs w:val="32"/>
        </w:rPr>
      </w:pPr>
    </w:p>
    <w:p w14:paraId="0678798F">
      <w:pPr>
        <w:widowControl/>
        <w:numPr>
          <w:ilvl w:val="0"/>
          <w:numId w:val="0"/>
        </w:numPr>
        <w:shd w:val="clear" w:color="auto" w:fill="FFFFFF"/>
        <w:jc w:val="left"/>
        <w:rPr>
          <w:rFonts w:hint="eastAsia" w:ascii="仿宋" w:hAnsi="宋体" w:eastAsia="仿宋" w:cs="宋体"/>
          <w:color w:val="000000"/>
          <w:kern w:val="0"/>
          <w:sz w:val="32"/>
          <w:szCs w:val="32"/>
        </w:rPr>
      </w:pPr>
    </w:p>
    <w:p w14:paraId="1FEABCFF">
      <w:pPr>
        <w:widowControl/>
        <w:numPr>
          <w:ilvl w:val="0"/>
          <w:numId w:val="0"/>
        </w:numPr>
        <w:shd w:val="clear" w:color="auto" w:fill="FFFFFF"/>
        <w:jc w:val="left"/>
        <w:rPr>
          <w:rFonts w:hint="eastAsia" w:ascii="仿宋" w:hAnsi="宋体" w:eastAsia="仿宋" w:cs="宋体"/>
          <w:color w:val="000000"/>
          <w:kern w:val="0"/>
          <w:sz w:val="32"/>
          <w:szCs w:val="32"/>
        </w:rPr>
      </w:pPr>
    </w:p>
    <w:p w14:paraId="2B2CE4C3">
      <w:pPr>
        <w:widowControl/>
        <w:numPr>
          <w:ilvl w:val="0"/>
          <w:numId w:val="0"/>
        </w:numPr>
        <w:shd w:val="clear" w:color="auto" w:fill="FFFFFF"/>
        <w:jc w:val="left"/>
        <w:rPr>
          <w:rFonts w:hint="eastAsia" w:ascii="仿宋" w:hAnsi="宋体" w:eastAsia="仿宋" w:cs="宋体"/>
          <w:color w:val="000000"/>
          <w:kern w:val="0"/>
          <w:sz w:val="32"/>
          <w:szCs w:val="32"/>
        </w:rPr>
      </w:pPr>
    </w:p>
    <w:p w14:paraId="41DFE89B">
      <w:pPr>
        <w:widowControl/>
        <w:numPr>
          <w:ilvl w:val="0"/>
          <w:numId w:val="0"/>
        </w:numPr>
        <w:shd w:val="clear" w:color="auto" w:fill="FFFFFF"/>
        <w:jc w:val="left"/>
        <w:rPr>
          <w:rFonts w:hint="eastAsia" w:ascii="仿宋" w:hAnsi="宋体" w:eastAsia="仿宋" w:cs="宋体"/>
          <w:color w:val="000000"/>
          <w:kern w:val="0"/>
          <w:sz w:val="32"/>
          <w:szCs w:val="32"/>
        </w:rPr>
      </w:pPr>
    </w:p>
    <w:p w14:paraId="0309EFB2">
      <w:pPr>
        <w:widowControl/>
        <w:numPr>
          <w:ilvl w:val="0"/>
          <w:numId w:val="0"/>
        </w:numPr>
        <w:shd w:val="clear" w:color="auto" w:fill="FFFFFF"/>
        <w:jc w:val="left"/>
        <w:rPr>
          <w:rFonts w:hint="eastAsia" w:ascii="仿宋" w:hAnsi="宋体" w:eastAsia="仿宋" w:cs="宋体"/>
          <w:color w:val="000000"/>
          <w:kern w:val="0"/>
          <w:sz w:val="32"/>
          <w:szCs w:val="32"/>
        </w:rPr>
      </w:pPr>
    </w:p>
    <w:p w14:paraId="72036ACC">
      <w:pPr>
        <w:widowControl/>
        <w:numPr>
          <w:ilvl w:val="0"/>
          <w:numId w:val="0"/>
        </w:numPr>
        <w:shd w:val="clear" w:color="auto" w:fill="FFFFFF"/>
        <w:jc w:val="left"/>
        <w:rPr>
          <w:rFonts w:hint="eastAsia" w:ascii="仿宋" w:hAnsi="宋体" w:eastAsia="仿宋" w:cs="宋体"/>
          <w:color w:val="000000"/>
          <w:kern w:val="0"/>
          <w:sz w:val="32"/>
          <w:szCs w:val="32"/>
        </w:rPr>
      </w:pPr>
    </w:p>
    <w:p w14:paraId="10FBBB83">
      <w:pPr>
        <w:widowControl/>
        <w:numPr>
          <w:ilvl w:val="0"/>
          <w:numId w:val="0"/>
        </w:numPr>
        <w:shd w:val="clear" w:color="auto" w:fill="FFFFFF"/>
        <w:jc w:val="left"/>
        <w:rPr>
          <w:rFonts w:hint="eastAsia" w:ascii="仿宋" w:hAnsi="宋体" w:eastAsia="仿宋" w:cs="宋体"/>
          <w:color w:val="000000"/>
          <w:kern w:val="0"/>
          <w:sz w:val="32"/>
          <w:szCs w:val="32"/>
        </w:rPr>
      </w:pPr>
    </w:p>
    <w:p w14:paraId="7575C245">
      <w:pPr>
        <w:widowControl/>
        <w:numPr>
          <w:ilvl w:val="0"/>
          <w:numId w:val="0"/>
        </w:numPr>
        <w:shd w:val="clear" w:color="auto" w:fill="FFFFFF"/>
        <w:jc w:val="left"/>
        <w:rPr>
          <w:rFonts w:hint="eastAsia" w:ascii="仿宋" w:hAnsi="宋体" w:eastAsia="仿宋" w:cs="宋体"/>
          <w:color w:val="000000"/>
          <w:kern w:val="0"/>
          <w:sz w:val="32"/>
          <w:szCs w:val="32"/>
        </w:rPr>
      </w:pPr>
    </w:p>
    <w:p w14:paraId="12173C29">
      <w:pPr>
        <w:widowControl/>
        <w:numPr>
          <w:ilvl w:val="0"/>
          <w:numId w:val="0"/>
        </w:numPr>
        <w:shd w:val="clear" w:color="auto" w:fill="FFFFFF"/>
        <w:jc w:val="left"/>
        <w:rPr>
          <w:rFonts w:hint="eastAsia" w:ascii="仿宋" w:hAnsi="宋体" w:eastAsia="仿宋" w:cs="宋体"/>
          <w:color w:val="000000"/>
          <w:kern w:val="0"/>
          <w:sz w:val="32"/>
          <w:szCs w:val="32"/>
        </w:rPr>
      </w:pPr>
    </w:p>
    <w:p w14:paraId="1F572F29">
      <w:pPr>
        <w:bidi w:val="0"/>
        <w:rPr>
          <w:rFonts w:hint="eastAsia" w:ascii="仿宋_GB2312" w:hAnsi="仿宋_GB2312" w:eastAsia="仿宋_GB2312" w:cs="仿宋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财政拨款收支情况：</w:t>
      </w:r>
      <w:r>
        <w:rPr>
          <w:rFonts w:hint="eastAsia" w:ascii="仿宋_GB2312" w:hAnsi="仿宋_GB2312" w:eastAsia="仿宋_GB2312" w:cs="仿宋_GB2312"/>
        </w:rPr>
        <w:t>是指一般公共预算、政府性基金预算、国有资本经营预算拨款收支情况。</w:t>
      </w:r>
    </w:p>
    <w:p w14:paraId="668F8FC6">
      <w:pPr>
        <w:bidi w:val="0"/>
        <w:rPr>
          <w:rFonts w:hint="eastAsia" w:eastAsia="仿宋"/>
          <w:lang w:eastAsia="zh-CN"/>
        </w:rPr>
      </w:pPr>
      <w:r>
        <w:rPr>
          <w:rFonts w:hint="eastAsia" w:ascii="楷体_GB2312" w:hAnsi="楷体_GB2312" w:eastAsia="楷体_GB2312" w:cs="楷体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320E2DF">
      <w:pPr>
        <w:bidi w:val="0"/>
        <w:rPr>
          <w:rFonts w:hint="eastAsia" w:eastAsia="仿宋"/>
          <w:lang w:eastAsia="zh-CN"/>
        </w:rPr>
      </w:pPr>
      <w:r>
        <w:rPr>
          <w:rFonts w:hint="eastAsia" w:ascii="楷体_GB2312" w:hAnsi="楷体_GB2312" w:eastAsia="楷体_GB2312" w:cs="楷体_GB2312"/>
          <w:lang w:eastAsia="zh-CN"/>
        </w:rPr>
        <w:t>（三）事业收入：</w:t>
      </w:r>
      <w:r>
        <w:rPr>
          <w:rFonts w:hint="eastAsia" w:ascii="仿宋_GB2312" w:hAnsi="仿宋_GB2312" w:eastAsia="仿宋_GB2312" w:cs="仿宋_GB2312"/>
        </w:rPr>
        <w:t>指事业单位开展专业业务活动及辅助活动所取得的收入。</w:t>
      </w:r>
    </w:p>
    <w:p w14:paraId="6B68444F">
      <w:pPr>
        <w:bidi w:val="0"/>
        <w:rPr>
          <w:rFonts w:hint="eastAsia" w:eastAsia="仿宋"/>
          <w:lang w:eastAsia="zh-CN"/>
        </w:rPr>
      </w:pPr>
      <w:r>
        <w:rPr>
          <w:rFonts w:hint="eastAsia" w:ascii="楷体_GB2312" w:hAnsi="楷体_GB2312" w:eastAsia="楷体_GB2312" w:cs="楷体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32F8F7B">
      <w:pPr>
        <w:bidi w:val="0"/>
        <w:rPr>
          <w:rFonts w:hint="eastAsia" w:eastAsia="仿宋"/>
          <w:lang w:eastAsia="zh-CN"/>
        </w:rPr>
      </w:pPr>
      <w:r>
        <w:rPr>
          <w:rFonts w:hint="eastAsia" w:ascii="楷体_GB2312" w:hAnsi="楷体_GB2312" w:eastAsia="楷体_GB2312" w:cs="楷体_GB2312"/>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11A2DF4">
      <w:pPr>
        <w:bidi w:val="0"/>
        <w:rPr>
          <w:rFonts w:hint="eastAsia" w:eastAsia="仿宋"/>
          <w:lang w:eastAsia="zh-CN"/>
        </w:rPr>
      </w:pP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2EDEA74">
      <w:pPr>
        <w:bidi w:val="0"/>
        <w:rPr>
          <w:rFonts w:hint="eastAsia" w:eastAsia="仿宋"/>
          <w:lang w:eastAsia="zh-CN"/>
        </w:rPr>
      </w:pPr>
      <w:r>
        <w:rPr>
          <w:rFonts w:hint="eastAsia" w:ascii="楷体_GB2312" w:hAnsi="楷体_GB2312" w:eastAsia="楷体_GB2312" w:cs="楷体_GB2312"/>
          <w:lang w:val="en-US" w:eastAsia="zh-CN"/>
        </w:rPr>
        <w:t>（七）</w:t>
      </w:r>
      <w:r>
        <w:rPr>
          <w:rFonts w:hint="eastAsia" w:ascii="楷体_GB2312" w:hAnsi="楷体_GB2312" w:eastAsia="楷体_GB2312" w:cs="楷体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DEFCB03">
      <w:pPr>
        <w:bidi w:val="0"/>
        <w:rPr>
          <w:rFonts w:hint="eastAsia" w:eastAsia="仿宋"/>
          <w:lang w:eastAsia="zh-CN"/>
        </w:rPr>
      </w:pPr>
      <w:r>
        <w:rPr>
          <w:rFonts w:hint="eastAsia" w:ascii="楷体_GB2312" w:hAnsi="楷体_GB2312" w:eastAsia="楷体_GB2312" w:cs="楷体_GB2312"/>
          <w:lang w:val="en-US" w:eastAsia="zh-CN"/>
        </w:rPr>
        <w:t>（八）</w:t>
      </w:r>
      <w:r>
        <w:rPr>
          <w:rFonts w:hint="eastAsia" w:ascii="楷体_GB2312" w:hAnsi="楷体_GB2312" w:eastAsia="楷体_GB2312" w:cs="楷体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32A2122">
      <w:pPr>
        <w:bidi w:val="0"/>
        <w:rPr>
          <w:rFonts w:hint="eastAsia" w:eastAsia="仿宋"/>
          <w:lang w:eastAsia="zh-CN"/>
        </w:rPr>
      </w:pPr>
      <w:r>
        <w:rPr>
          <w:rFonts w:hint="eastAsia" w:ascii="楷体_GB2312" w:hAnsi="楷体_GB2312" w:eastAsia="楷体_GB2312" w:cs="楷体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159363">
      <w:pPr>
        <w:bidi w:val="0"/>
        <w:rPr>
          <w:rFonts w:hint="eastAsia" w:eastAsia="仿宋"/>
          <w:lang w:eastAsia="zh-CN"/>
        </w:rPr>
      </w:pPr>
      <w:r>
        <w:rPr>
          <w:rFonts w:hint="eastAsia" w:ascii="楷体_GB2312" w:hAnsi="楷体_GB2312" w:eastAsia="楷体_GB2312" w:cs="楷体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52307B2">
      <w:pPr>
        <w:bidi w:val="0"/>
        <w:rPr>
          <w:rFonts w:hint="eastAsia" w:eastAsia="仿宋"/>
          <w:lang w:eastAsia="zh-CN"/>
        </w:rPr>
      </w:pPr>
      <w:r>
        <w:rPr>
          <w:rFonts w:hint="eastAsia" w:ascii="楷体_GB2312" w:hAnsi="楷体_GB2312" w:eastAsia="楷体_GB2312" w:cs="楷体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46595DD">
      <w:pPr>
        <w:bidi w:val="0"/>
        <w:rPr>
          <w:rFonts w:hint="eastAsia" w:eastAsia="仿宋"/>
          <w:lang w:eastAsia="zh-CN"/>
        </w:rPr>
      </w:pPr>
      <w:r>
        <w:rPr>
          <w:rFonts w:hint="eastAsia" w:ascii="楷体_GB2312" w:hAnsi="楷体_GB2312" w:eastAsia="楷体_GB2312" w:cs="楷体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0AFD0FF">
      <w:pPr>
        <w:bidi w:val="0"/>
        <w:rPr>
          <w:rFonts w:hint="eastAsia" w:eastAsia="仿宋"/>
          <w:lang w:eastAsia="zh-CN"/>
        </w:rPr>
      </w:pPr>
      <w:r>
        <w:rPr>
          <w:rFonts w:hint="eastAsia" w:ascii="楷体_GB2312" w:hAnsi="楷体_GB2312" w:eastAsia="楷体_GB2312" w:cs="楷体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AD331E8">
      <w:pPr>
        <w:bidi w:val="0"/>
        <w:rPr>
          <w:rFonts w:hint="eastAsia" w:eastAsia="仿宋"/>
          <w:lang w:eastAsia="zh-CN"/>
        </w:rPr>
      </w:pPr>
      <w:r>
        <w:rPr>
          <w:rFonts w:hint="eastAsia" w:ascii="楷体_GB2312" w:hAnsi="楷体_GB2312" w:eastAsia="楷体_GB2312" w:cs="楷体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3B5F584">
      <w:pPr>
        <w:bidi w:val="0"/>
        <w:rPr>
          <w:rFonts w:hint="eastAsia" w:eastAsia="仿宋"/>
          <w:lang w:eastAsia="zh-CN"/>
        </w:rPr>
      </w:pPr>
      <w:r>
        <w:rPr>
          <w:rFonts w:hint="eastAsia" w:ascii="楷体_GB2312" w:hAnsi="楷体_GB2312" w:eastAsia="楷体_GB2312" w:cs="楷体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91C6EE6">
      <w:pPr>
        <w:bidi w:val="0"/>
        <w:rPr>
          <w:rFonts w:hint="eastAsia" w:eastAsia="仿宋"/>
          <w:lang w:eastAsia="zh-CN"/>
        </w:rPr>
      </w:pPr>
      <w:r>
        <w:rPr>
          <w:rFonts w:hint="eastAsia" w:ascii="楷体_GB2312" w:hAnsi="楷体_GB2312" w:eastAsia="楷体_GB2312" w:cs="楷体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FF0C7F7">
      <w:pPr>
        <w:bidi w:val="0"/>
        <w:rPr>
          <w:rFonts w:hint="eastAsia" w:eastAsia="仿宋"/>
          <w:lang w:eastAsia="zh-CN"/>
        </w:rPr>
      </w:pPr>
      <w:r>
        <w:rPr>
          <w:rFonts w:hint="eastAsia" w:ascii="楷体_GB2312" w:hAnsi="楷体_GB2312" w:eastAsia="楷体_GB2312" w:cs="楷体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5BDD760">
      <w:pPr>
        <w:bidi w:val="0"/>
        <w:rPr>
          <w:rFonts w:hint="eastAsia" w:ascii="仿宋" w:hAnsi="仿宋" w:eastAsia="仿宋" w:cs="Times New Roman"/>
          <w:sz w:val="32"/>
          <w:szCs w:val="32"/>
          <w:lang w:val="en-US" w:eastAsia="zh-CN"/>
        </w:rPr>
      </w:pPr>
      <w:r>
        <w:rPr>
          <w:rFonts w:hint="eastAsia" w:ascii="楷体_GB2312" w:hAnsi="楷体_GB2312" w:eastAsia="楷体_GB2312" w:cs="楷体_GB2312"/>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94F5ED0">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E8A57-8B9E-47BA-BCA3-3B21C0C08F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B0196DD-AF52-48BD-92D3-6117BBBCCF3D}"/>
  </w:font>
  <w:font w:name="仿宋_GB2312">
    <w:panose1 w:val="02010609030101010101"/>
    <w:charset w:val="86"/>
    <w:family w:val="modern"/>
    <w:pitch w:val="default"/>
    <w:sig w:usb0="00000001" w:usb1="080E0000" w:usb2="00000000" w:usb3="00000000" w:csb0="00040000" w:csb1="00000000"/>
    <w:embedRegular r:id="rId3" w:fontKey="{287B10F2-DA78-4EAB-8289-18BA182B8E5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2019CEF5-0E45-44DC-9B36-DF5E091A01DA}"/>
  </w:font>
  <w:font w:name="楷体_GB2312">
    <w:panose1 w:val="02010609030101010101"/>
    <w:charset w:val="86"/>
    <w:family w:val="modern"/>
    <w:pitch w:val="default"/>
    <w:sig w:usb0="00000001" w:usb1="080E0000" w:usb2="00000000" w:usb3="00000000" w:csb0="00040000" w:csb1="00000000"/>
    <w:embedRegular r:id="rId5" w:fontKey="{EB376AC0-8458-4868-9D8C-ECC03076080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4068B44"/>
    <w:multiLevelType w:val="singleLevel"/>
    <w:tmpl w:val="64068B44"/>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C54A56"/>
    <w:rsid w:val="062E413A"/>
    <w:rsid w:val="06A2019C"/>
    <w:rsid w:val="06B66C8B"/>
    <w:rsid w:val="06CC45A6"/>
    <w:rsid w:val="06D8568E"/>
    <w:rsid w:val="06DD60AB"/>
    <w:rsid w:val="070F1D65"/>
    <w:rsid w:val="072F53D3"/>
    <w:rsid w:val="07574DBE"/>
    <w:rsid w:val="076A7644"/>
    <w:rsid w:val="07980D6A"/>
    <w:rsid w:val="07B14DE9"/>
    <w:rsid w:val="07E809FE"/>
    <w:rsid w:val="07F655F9"/>
    <w:rsid w:val="08481035"/>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D44865"/>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0106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115E06"/>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C56028"/>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272C6"/>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7F6CCA"/>
    <w:rsid w:val="49207E0A"/>
    <w:rsid w:val="492F572C"/>
    <w:rsid w:val="49421FCC"/>
    <w:rsid w:val="49AE5B8A"/>
    <w:rsid w:val="49D85ADD"/>
    <w:rsid w:val="49ED6C82"/>
    <w:rsid w:val="4A0C0182"/>
    <w:rsid w:val="4A4A7C46"/>
    <w:rsid w:val="4A523CD5"/>
    <w:rsid w:val="4A786FAB"/>
    <w:rsid w:val="4A873A47"/>
    <w:rsid w:val="4A9E379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3D62CC"/>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outlineLvl w:val="0"/>
    </w:pPr>
    <w:rPr>
      <w:rFonts w:ascii="Arial" w:hAnsi="Arial"/>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customStyle="1"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4957</Words>
  <Characters>5287</Characters>
  <Lines>1</Lines>
  <Paragraphs>1</Paragraphs>
  <TotalTime>25</TotalTime>
  <ScaleCrop>false</ScaleCrop>
  <LinksUpToDate>false</LinksUpToDate>
  <CharactersWithSpaces>5308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2025-05-15T07:05:56Z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40B87F5F848C4F93BFBDDBFC241629B1_13</vt:lpwstr>
  </property>
  <property fmtid="{D5CDD505-2E9C-101B-9397-08002B2CF9AE}" pid="4" name="KSOTemplateDocerSaveRecord">
    <vt:lpwstr>eyJoZGlkIjoiNzI2ZGI0OGUzMDAzMzk0YmE1OTYyMDVlZGMwMmYyODYiLCJ1c2VySWQiOiIzNjIzMDEzMzQifQ==</vt:lpwstr>
  </property>
</Properties>
</file>