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46DB45">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w:t>
      </w:r>
    </w:p>
    <w:p w14:paraId="5AD2080C">
      <w:pPr>
        <w:tabs>
          <w:tab w:val="left" w:pos="1440"/>
        </w:tabs>
        <w:spacing w:line="600" w:lineRule="exact"/>
        <w:rPr>
          <w:rFonts w:ascii="宋体" w:hAnsi="宋体" w:eastAsia="宋体"/>
          <w:sz w:val="30"/>
          <w:szCs w:val="30"/>
        </w:rPr>
      </w:pPr>
    </w:p>
    <w:p w14:paraId="4B151AE4">
      <w:pPr>
        <w:pStyle w:val="8"/>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14:paraId="53118C1F">
      <w:pPr>
        <w:pStyle w:val="8"/>
        <w:spacing w:line="600" w:lineRule="exact"/>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val="en-US" w:eastAsia="zh-CN"/>
        </w:rPr>
        <w:t>峨边彝族自治县乡镇综治视频网系统建设及“雪亮工程”补充点位服务项目</w:t>
      </w:r>
      <w:r>
        <w:rPr>
          <w:rFonts w:hint="eastAsia" w:ascii="仿宋_GB2312" w:hAnsi="宋体" w:eastAsia="仿宋_GB2312"/>
          <w:color w:val="auto"/>
          <w:kern w:val="2"/>
          <w:sz w:val="32"/>
          <w:szCs w:val="32"/>
        </w:rPr>
        <w:t>）</w:t>
      </w:r>
    </w:p>
    <w:p w14:paraId="05F8C0E1">
      <w:pPr>
        <w:pStyle w:val="8"/>
        <w:spacing w:line="600" w:lineRule="exact"/>
        <w:ind w:firstLine="640"/>
        <w:jc w:val="center"/>
        <w:rPr>
          <w:rFonts w:ascii="宋体" w:hAnsi="宋体"/>
          <w:color w:val="auto"/>
          <w:kern w:val="2"/>
          <w:sz w:val="32"/>
          <w:szCs w:val="32"/>
        </w:rPr>
      </w:pPr>
    </w:p>
    <w:p w14:paraId="0FBEBE93">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309136CE">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14:paraId="3CA033AF">
      <w:pPr>
        <w:adjustRightInd w:val="0"/>
        <w:snapToGrid w:val="0"/>
        <w:spacing w:line="560" w:lineRule="exact"/>
        <w:ind w:firstLine="720"/>
        <w:rPr>
          <w:rFonts w:hint="eastAsia" w:ascii="仿宋_GB2312" w:hAnsi="宋体"/>
          <w:lang w:val="en-US" w:eastAsia="zh-CN"/>
        </w:rPr>
      </w:pPr>
      <w:r>
        <w:rPr>
          <w:rFonts w:hint="eastAsia" w:ascii="仿宋_GB2312" w:hAnsi="宋体"/>
          <w:lang w:val="en-US" w:eastAsia="zh-CN"/>
        </w:rPr>
        <w:t>为全面加强社会治安综合治理建设，提升全县建设水平，在全县推进以综治中心为平台、以综治信息化为支撑、以网格化管理为基础、以公共安全视频监控联网应用为重点的综治信息化建设项目，县级综治中心信息建设项目是对原有天网工程、“智能交通安全系统”、视频监控全覆盖工程等全县范围内公共安全视频监控项目的巩固和延伸。项目主要包含：1、综治视频联网会议系统；2、网络安全设备；3、社会资源接入设备。</w:t>
      </w:r>
    </w:p>
    <w:p w14:paraId="0DCC7B47">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14:paraId="7E0C7066">
      <w:pPr>
        <w:numPr>
          <w:ilvl w:val="0"/>
          <w:numId w:val="0"/>
        </w:numPr>
        <w:adjustRightInd w:val="0"/>
        <w:snapToGrid w:val="0"/>
        <w:spacing w:line="560" w:lineRule="exact"/>
        <w:rPr>
          <w:rFonts w:hint="default" w:ascii="楷体_GB2312" w:hAnsi="宋体" w:eastAsia="楷体_GB2312"/>
          <w:b/>
          <w:lang w:val="en-US" w:eastAsia="zh-CN"/>
        </w:rPr>
      </w:pPr>
      <w:r>
        <w:rPr>
          <w:rFonts w:hint="eastAsia" w:ascii="仿宋_GB2312" w:hAnsi="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t>通过</w:t>
      </w:r>
      <w:r>
        <w:rPr>
          <w:rFonts w:hint="eastAsia" w:ascii="仿宋_GB2312" w:hAnsi="仿宋_GB2312" w:cs="仿宋_GB2312"/>
          <w:sz w:val="32"/>
          <w:szCs w:val="32"/>
          <w:lang w:val="en-US" w:eastAsia="zh-CN"/>
        </w:rPr>
        <w:t>峨边彝族自治县2023年</w:t>
      </w:r>
      <w:r>
        <w:rPr>
          <w:rFonts w:hint="eastAsia" w:ascii="仿宋_GB2312" w:hAnsi="宋体" w:eastAsia="仿宋_GB2312"/>
          <w:color w:val="auto"/>
          <w:kern w:val="2"/>
          <w:sz w:val="32"/>
          <w:szCs w:val="32"/>
          <w:lang w:val="en-US" w:eastAsia="zh-CN"/>
        </w:rPr>
        <w:t>“雪亮”工程建设</w:t>
      </w:r>
      <w:r>
        <w:rPr>
          <w:rFonts w:hint="eastAsia" w:ascii="仿宋_GB2312" w:hAnsi="宋体"/>
          <w:color w:val="auto"/>
          <w:kern w:val="2"/>
          <w:sz w:val="32"/>
          <w:szCs w:val="32"/>
          <w:lang w:val="en-US" w:eastAsia="zh-CN"/>
        </w:rPr>
        <w:t>资金的使用和效益情况开展财政重点绩效评价，加强支出管理，强化支出责任，评估投入产出效果，确定投入的重点和方向。根据绩效评价中发现的问题，规范项目管理，加强财务管理，提高财政资金使用效益。</w:t>
      </w:r>
    </w:p>
    <w:p w14:paraId="647F618B">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项目资金申报相符性。</w:t>
      </w:r>
    </w:p>
    <w:p w14:paraId="2006788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color w:val="auto"/>
          <w:lang w:val="en-US" w:eastAsia="zh-CN"/>
        </w:rPr>
      </w:pPr>
      <w:r>
        <w:rPr>
          <w:rFonts w:hint="eastAsia" w:ascii="仿宋_GB2312" w:hAnsi="宋体"/>
          <w:lang w:val="zh-CN"/>
        </w:rPr>
        <w:t>说明项目申报内容与具体实施内容相符、申报目标合理可行。</w:t>
      </w:r>
    </w:p>
    <w:p w14:paraId="70DB08B8">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14:paraId="03D15E02">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14:paraId="087F00A8">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color w:val="auto"/>
          <w:lang w:val="en-US" w:eastAsia="zh-CN"/>
        </w:rPr>
        <w:t>该项目属政府批示项目，</w:t>
      </w:r>
      <w:r>
        <w:rPr>
          <w:rFonts w:hint="eastAsia" w:ascii="仿宋_GB2312" w:hAnsi="宋体"/>
          <w:color w:val="auto"/>
          <w:lang w:val="zh-CN"/>
        </w:rPr>
        <w:t>项目资金</w:t>
      </w:r>
      <w:r>
        <w:rPr>
          <w:rFonts w:hint="eastAsia" w:ascii="仿宋_GB2312" w:hAnsi="宋体"/>
          <w:color w:val="auto"/>
          <w:lang w:val="en-US" w:eastAsia="zh-CN"/>
        </w:rPr>
        <w:t>发放下达按照财政流程经业务科室审核、预算科室审核、国库审核审定；资金使用按实向财政申请。</w:t>
      </w:r>
    </w:p>
    <w:p w14:paraId="6881924C">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14:paraId="16859865">
      <w:pPr>
        <w:adjustRightInd w:val="0"/>
        <w:snapToGrid w:val="0"/>
        <w:spacing w:line="560" w:lineRule="exact"/>
        <w:ind w:firstLine="720"/>
        <w:rPr>
          <w:rFonts w:hint="eastAsia" w:ascii="仿宋_GB2312" w:hAnsi="宋体" w:eastAsia="楷体_GB2312"/>
          <w:lang w:val="en-US" w:eastAsia="zh-CN"/>
        </w:rPr>
      </w:pPr>
      <w:r>
        <w:rPr>
          <w:rFonts w:hint="eastAsia" w:ascii="楷体_GB2312" w:hAnsi="宋体" w:eastAsia="楷体_GB2312"/>
          <w:lang w:val="zh-CN"/>
        </w:rPr>
        <w:t>1．资金计划及到位。</w:t>
      </w:r>
      <w:r>
        <w:rPr>
          <w:rFonts w:hint="eastAsia" w:ascii="仿宋_GB2312" w:hAnsi="宋体" w:eastAsia="楷体_GB2312"/>
          <w:lang w:val="en-US" w:eastAsia="zh-CN"/>
        </w:rPr>
        <w:t>该项目经费调整预算后为20.25万元；截至2023年底，该项目经费财政拨款20.25万元，全部拨付到位，资金到位率100%。</w:t>
      </w:r>
    </w:p>
    <w:p w14:paraId="5A6A7C1F">
      <w:pPr>
        <w:adjustRightInd w:val="0"/>
        <w:snapToGrid w:val="0"/>
        <w:spacing w:line="560" w:lineRule="exact"/>
        <w:ind w:firstLine="720"/>
        <w:rPr>
          <w:rFonts w:hint="eastAsia" w:ascii="仿宋_GB2312" w:hAnsi="宋体" w:cs="Times New Roman"/>
          <w:color w:val="auto"/>
          <w:lang w:val="zh-CN"/>
        </w:rPr>
      </w:pPr>
      <w:r>
        <w:rPr>
          <w:rFonts w:hint="eastAsia" w:ascii="楷体_GB2312" w:hAnsi="宋体" w:eastAsia="楷体_GB2312"/>
          <w:lang w:val="zh-CN"/>
        </w:rPr>
        <w:t>2．资金使用。</w:t>
      </w:r>
      <w:r>
        <w:rPr>
          <w:rFonts w:hint="eastAsia" w:ascii="楷体_GB2312" w:hAnsi="宋体" w:eastAsia="楷体_GB2312"/>
          <w:lang w:val="en-US" w:eastAsia="zh-CN"/>
        </w:rPr>
        <w:t>截至2023年12月31日，项目资金实际支付20.25万元。在实际使用中，机关财务严把审核关，对项目所列开支的范围、标准、进度、依据逐一进行核查，确保资金使用合规合法，与预算相符。</w:t>
      </w:r>
    </w:p>
    <w:p w14:paraId="66158EDB">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14:paraId="377D605E">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color w:val="auto"/>
          <w:lang w:val="zh-CN"/>
        </w:rPr>
      </w:pPr>
      <w:r>
        <w:rPr>
          <w:rFonts w:hint="eastAsia" w:ascii="仿宋_GB2312" w:hAnsi="宋体"/>
          <w:color w:val="auto"/>
          <w:lang w:val="en-US" w:eastAsia="zh-CN"/>
        </w:rPr>
        <w:t>我</w:t>
      </w:r>
      <w:r>
        <w:rPr>
          <w:rFonts w:hint="eastAsia" w:ascii="仿宋_GB2312" w:hAnsi="宋体"/>
          <w:color w:val="auto"/>
          <w:lang w:val="zh-CN"/>
        </w:rPr>
        <w:t>单位财务管理制度健全，严格执行财务管理制度，账务处理及时，会计核算规范。</w:t>
      </w:r>
    </w:p>
    <w:p w14:paraId="7E76E418">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14:paraId="5987CD61">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（一）项目组织架构及实施流程。</w:t>
      </w:r>
      <w:r>
        <w:rPr>
          <w:rFonts w:hint="eastAsia" w:ascii="仿宋_GB2312" w:hAnsi="宋体"/>
          <w:color w:val="auto"/>
          <w:lang w:val="en-US" w:eastAsia="zh-CN"/>
        </w:rPr>
        <w:t>该项目由相关业务股室组织实施、分管领导审核确认工作事实、主要领导审定的方式实施并报县委县政府批示。</w:t>
      </w:r>
    </w:p>
    <w:p w14:paraId="578415EA">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b/>
          <w:lang w:val="zh-CN"/>
        </w:rPr>
        <w:t>（二）项目管理情况。</w:t>
      </w:r>
      <w:r>
        <w:rPr>
          <w:rFonts w:hint="eastAsia" w:ascii="仿宋_GB2312" w:hAnsi="宋体"/>
          <w:color w:val="auto"/>
          <w:lang w:val="zh-CN"/>
        </w:rPr>
        <w:t>结合</w:t>
      </w:r>
      <w:r>
        <w:rPr>
          <w:rFonts w:hint="eastAsia" w:ascii="仿宋_GB2312" w:hAnsi="宋体"/>
          <w:color w:val="auto"/>
          <w:lang w:val="en-US" w:eastAsia="zh-CN"/>
        </w:rPr>
        <w:t>该</w:t>
      </w:r>
      <w:r>
        <w:rPr>
          <w:rFonts w:hint="eastAsia" w:ascii="仿宋_GB2312" w:hAnsi="宋体"/>
          <w:color w:val="auto"/>
          <w:lang w:val="zh-CN"/>
        </w:rPr>
        <w:t>项目特点，</w:t>
      </w:r>
      <w:r>
        <w:rPr>
          <w:rFonts w:hint="eastAsia" w:ascii="仿宋_GB2312" w:hAnsi="宋体"/>
          <w:color w:val="auto"/>
          <w:lang w:val="en-US" w:eastAsia="zh-CN"/>
        </w:rPr>
        <w:t>我单位均按照据实据效的方式开展，严格执行预算法、财政资金支付有关规定。</w:t>
      </w:r>
    </w:p>
    <w:p w14:paraId="436378F5">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楷体_GB2312" w:hAnsi="宋体" w:eastAsia="楷体_GB2312"/>
          <w:b/>
          <w:lang w:val="zh-CN"/>
        </w:rPr>
        <w:t>（三）项目监管情况。</w:t>
      </w:r>
      <w:r>
        <w:rPr>
          <w:rFonts w:hint="eastAsia" w:ascii="仿宋_GB2312" w:hAnsi="宋体"/>
          <w:color w:val="auto"/>
          <w:lang w:val="en-US" w:eastAsia="zh-CN"/>
        </w:rPr>
        <w:t>我单位严格</w:t>
      </w:r>
      <w:r>
        <w:rPr>
          <w:rFonts w:hint="eastAsia" w:ascii="仿宋_GB2312" w:hAnsi="宋体"/>
          <w:color w:val="auto"/>
          <w:lang w:val="zh-CN"/>
        </w:rPr>
        <w:t>项目管理</w:t>
      </w:r>
      <w:r>
        <w:rPr>
          <w:rFonts w:hint="eastAsia" w:ascii="仿宋_GB2312" w:hAnsi="宋体"/>
          <w:color w:val="auto"/>
          <w:lang w:val="zh-CN" w:eastAsia="zh-CN"/>
        </w:rPr>
        <w:t>，</w:t>
      </w:r>
      <w:r>
        <w:rPr>
          <w:rFonts w:hint="eastAsia" w:ascii="仿宋_GB2312" w:hAnsi="宋体"/>
          <w:color w:val="auto"/>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p>
    <w:p w14:paraId="3DEF030D">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14:paraId="1CD7AD06">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14:paraId="1CEBC259">
      <w:pPr>
        <w:adjustRightInd w:val="0"/>
        <w:snapToGrid w:val="0"/>
        <w:spacing w:line="600" w:lineRule="exact"/>
        <w:ind w:firstLine="720"/>
        <w:rPr>
          <w:rFonts w:hint="eastAsia" w:ascii="仿宋_GB2312" w:hAnsi="宋体"/>
          <w:color w:val="auto"/>
          <w:kern w:val="2"/>
          <w:sz w:val="32"/>
          <w:szCs w:val="32"/>
          <w:lang w:val="en-US" w:eastAsia="zh-CN"/>
        </w:rPr>
      </w:pPr>
      <w:r>
        <w:rPr>
          <w:rFonts w:hint="eastAsia" w:ascii="仿宋_GB2312" w:hAnsi="宋体" w:eastAsia="仿宋_GB2312"/>
          <w:color w:val="auto"/>
          <w:kern w:val="2"/>
          <w:sz w:val="32"/>
          <w:szCs w:val="32"/>
          <w:lang w:val="en-US" w:eastAsia="zh-CN"/>
        </w:rPr>
        <w:t>峨边彝族自治县乡镇综治视频网系统建设及“雪亮工程”补充点位服务项目</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zh-CN"/>
        </w:rPr>
        <w:t>由本单位自行组织实施</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按规定编制部门预算，填写绩效目标申报，按项目进度申请用款计划，年终定期汇总全年支出情况，认真开展项目支出绩效评价。</w:t>
      </w:r>
    </w:p>
    <w:p w14:paraId="7CD70780">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default"/>
          <w:lang w:val="en-US" w:eastAsia="zh-CN"/>
        </w:rPr>
      </w:pPr>
      <w:r>
        <w:rPr>
          <w:rFonts w:hint="eastAsia" w:ascii="仿宋_GB2312" w:hAnsi="宋体"/>
          <w:color w:val="auto"/>
          <w:lang w:val="zh-CN"/>
        </w:rPr>
        <w:t>项目实施进度计划</w:t>
      </w:r>
      <w:r>
        <w:rPr>
          <w:rFonts w:hint="eastAsia" w:ascii="仿宋_GB2312" w:hAnsi="宋体"/>
          <w:color w:val="auto"/>
          <w:lang w:val="en-US" w:eastAsia="zh-CN"/>
        </w:rPr>
        <w:t>及资金拨付均据实据效实施。制定的绩效目标按年度监管监察计划实施，并全部完成；项目实施资金在预算控制范围内资金。</w:t>
      </w:r>
    </w:p>
    <w:p w14:paraId="23957BF0">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14:paraId="29137560">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firstLineChars="200"/>
        <w:jc w:val="both"/>
        <w:textAlignment w:val="auto"/>
        <w:outlineLvl w:val="9"/>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en-US" w:eastAsia="zh-CN"/>
        </w:rPr>
        <w:t>该</w:t>
      </w:r>
      <w:r>
        <w:rPr>
          <w:rFonts w:hint="eastAsia" w:ascii="仿宋_GB2312" w:hAnsi="仿宋_GB2312" w:eastAsia="仿宋_GB2312" w:cs="仿宋_GB2312"/>
          <w:sz w:val="32"/>
          <w:szCs w:val="32"/>
          <w:lang w:val="zh-CN"/>
        </w:rPr>
        <w:t>项目目标依据充分、明确、合理，项目</w:t>
      </w:r>
      <w:r>
        <w:rPr>
          <w:rFonts w:hint="eastAsia" w:ascii="仿宋_GB2312" w:hAnsi="仿宋_GB2312" w:eastAsia="仿宋_GB2312" w:cs="仿宋_GB2312"/>
          <w:sz w:val="32"/>
          <w:szCs w:val="32"/>
          <w:lang w:val="zh-CN" w:eastAsia="zh-CN"/>
        </w:rPr>
        <w:t>实施</w:t>
      </w:r>
      <w:r>
        <w:rPr>
          <w:rFonts w:hint="eastAsia" w:ascii="仿宋_GB2312" w:hAnsi="仿宋_GB2312" w:eastAsia="仿宋_GB2312" w:cs="仿宋_GB2312"/>
          <w:sz w:val="32"/>
          <w:szCs w:val="32"/>
          <w:lang w:val="zh-CN"/>
        </w:rPr>
        <w:t>符合当前工作重点。</w:t>
      </w:r>
      <w:r>
        <w:rPr>
          <w:rFonts w:hint="eastAsia" w:ascii="仿宋_GB2312" w:hAnsi="仿宋_GB2312" w:eastAsia="仿宋_GB2312" w:cs="仿宋_GB2312"/>
          <w:sz w:val="32"/>
          <w:szCs w:val="32"/>
          <w:lang w:val="en-US" w:eastAsia="zh-CN"/>
        </w:rPr>
        <w:t>经费</w:t>
      </w:r>
      <w:r>
        <w:rPr>
          <w:rFonts w:hint="eastAsia" w:ascii="仿宋_GB2312" w:hAnsi="仿宋_GB2312" w:eastAsia="仿宋_GB2312" w:cs="仿宋_GB2312"/>
          <w:sz w:val="32"/>
          <w:szCs w:val="32"/>
          <w:lang w:val="zh-CN"/>
        </w:rPr>
        <w:t>开支严格按照委机关财务管理制度执行，每项开支经财务人员和办公室审核后提交委领导审批，对不符合财务管理规定一律不得变通列支。同时，按相关规定，按时</w:t>
      </w:r>
      <w:r>
        <w:rPr>
          <w:rFonts w:hint="eastAsia" w:ascii="仿宋_GB2312" w:hAnsi="仿宋_GB2312" w:eastAsia="仿宋_GB2312" w:cs="仿宋_GB2312"/>
          <w:sz w:val="32"/>
          <w:szCs w:val="32"/>
          <w:lang w:val="zh-CN" w:eastAsia="zh-CN"/>
        </w:rPr>
        <w:t>按要求</w:t>
      </w:r>
      <w:r>
        <w:rPr>
          <w:rFonts w:hint="eastAsia" w:ascii="仿宋_GB2312" w:hAnsi="仿宋_GB2312" w:eastAsia="仿宋_GB2312" w:cs="仿宋_GB2312"/>
          <w:sz w:val="32"/>
          <w:szCs w:val="32"/>
          <w:lang w:val="zh-CN"/>
        </w:rPr>
        <w:t>在政府门户网站上公开预决算信息。</w:t>
      </w:r>
    </w:p>
    <w:p w14:paraId="5F6C5E06">
      <w:pPr>
        <w:keepNext w:val="0"/>
        <w:keepLines w:val="0"/>
        <w:pageBreakBefore w:val="0"/>
        <w:widowControl w:val="0"/>
        <w:numPr>
          <w:ilvl w:val="0"/>
          <w:numId w:val="2"/>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firstLineChars="200"/>
        <w:jc w:val="both"/>
        <w:textAlignment w:val="auto"/>
        <w:outlineLvl w:val="9"/>
        <w:rPr>
          <w:rFonts w:hint="eastAsia" w:ascii="黑体" w:hAnsi="宋体" w:eastAsia="黑体"/>
        </w:rPr>
      </w:pPr>
      <w:r>
        <w:rPr>
          <w:rFonts w:hint="eastAsia" w:ascii="黑体" w:hAnsi="宋体" w:eastAsia="黑体"/>
        </w:rPr>
        <w:t>评价结论及建议</w:t>
      </w:r>
    </w:p>
    <w:p w14:paraId="6BE2EAFE">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jc w:val="both"/>
        <w:textAlignment w:val="auto"/>
        <w:outlineLvl w:val="9"/>
        <w:rPr>
          <w:rFonts w:hint="eastAsia" w:ascii="楷体_GB2312" w:hAnsi="宋体" w:eastAsia="楷体_GB2312"/>
          <w:b/>
          <w:lang w:val="zh-CN"/>
        </w:rPr>
      </w:pPr>
      <w:r>
        <w:rPr>
          <w:rFonts w:hint="eastAsia" w:ascii="楷体_GB2312" w:hAnsi="宋体" w:eastAsia="楷体_GB2312"/>
          <w:b/>
          <w:lang w:val="en-US" w:eastAsia="zh-CN"/>
        </w:rPr>
        <w:t xml:space="preserve">   </w:t>
      </w:r>
      <w:r>
        <w:rPr>
          <w:rFonts w:hint="eastAsia" w:ascii="楷体_GB2312" w:hAnsi="宋体" w:eastAsia="楷体_GB2312"/>
          <w:b/>
          <w:lang w:val="zh-CN"/>
        </w:rPr>
        <w:t>（一）评价结论。</w:t>
      </w:r>
    </w:p>
    <w:p w14:paraId="31D57967">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2"/>
        <w:jc w:val="both"/>
        <w:textAlignment w:val="auto"/>
        <w:outlineLvl w:val="9"/>
        <w:rPr>
          <w:rFonts w:hint="eastAsia" w:ascii="仿宋_GB2312" w:hAnsi="宋体" w:cs="宋体"/>
          <w:color w:val="auto"/>
          <w:kern w:val="0"/>
          <w:szCs w:val="32"/>
          <w:shd w:val="clear" w:color="auto" w:fill="FFFFFF"/>
          <w:lang w:val="en-US" w:eastAsia="zh-CN"/>
        </w:rPr>
      </w:pPr>
      <w:r>
        <w:rPr>
          <w:rFonts w:hint="eastAsia" w:ascii="仿宋_GB2312" w:hAnsi="宋体"/>
          <w:color w:val="auto"/>
          <w:lang w:val="en-US" w:eastAsia="zh-CN"/>
        </w:rPr>
        <w:t>该</w:t>
      </w:r>
      <w:r>
        <w:rPr>
          <w:rFonts w:hint="eastAsia" w:ascii="仿宋_GB2312" w:hAnsi="宋体"/>
          <w:color w:val="auto"/>
          <w:lang w:val="zh-CN"/>
        </w:rPr>
        <w:t>项目</w:t>
      </w:r>
      <w:r>
        <w:rPr>
          <w:rFonts w:hint="eastAsia" w:ascii="仿宋_GB2312" w:hAnsi="宋体"/>
          <w:color w:val="auto"/>
          <w:lang w:val="en-US" w:eastAsia="zh-CN"/>
        </w:rPr>
        <w:t>结合</w:t>
      </w:r>
      <w:r>
        <w:rPr>
          <w:rFonts w:hint="eastAsia" w:ascii="仿宋_GB2312" w:hAnsi="宋体"/>
          <w:color w:val="auto"/>
          <w:lang w:val="zh-CN"/>
        </w:rPr>
        <w:t>自身特点、评价重点及管理办法等要求，</w:t>
      </w:r>
      <w:r>
        <w:rPr>
          <w:rFonts w:hint="eastAsia" w:ascii="仿宋_GB2312" w:hAnsi="宋体"/>
          <w:color w:val="auto"/>
          <w:lang w:val="en-US" w:eastAsia="zh-CN"/>
        </w:rPr>
        <w:t>按照</w:t>
      </w:r>
      <w:r>
        <w:rPr>
          <w:rFonts w:hint="eastAsia" w:ascii="仿宋_GB2312" w:hAnsi="宋体"/>
          <w:color w:val="auto"/>
          <w:lang w:val="zh-CN"/>
        </w:rPr>
        <w:t>项目支出绩效评价指标体系对项目</w:t>
      </w:r>
      <w:r>
        <w:rPr>
          <w:rFonts w:hint="eastAsia" w:ascii="仿宋_GB2312" w:hAnsi="宋体"/>
          <w:color w:val="auto"/>
          <w:lang w:val="en-US" w:eastAsia="zh-CN"/>
        </w:rPr>
        <w:t>逐项分析评价</w:t>
      </w:r>
      <w:r>
        <w:rPr>
          <w:rFonts w:hint="eastAsia" w:ascii="仿宋_GB2312" w:hAnsi="宋体"/>
          <w:color w:val="auto"/>
          <w:lang w:val="zh-CN"/>
        </w:rPr>
        <w:t>。</w:t>
      </w:r>
      <w:r>
        <w:rPr>
          <w:rFonts w:hint="eastAsia" w:ascii="仿宋_GB2312" w:hAnsi="宋体"/>
          <w:color w:val="auto"/>
          <w:lang w:val="en-US" w:eastAsia="zh-CN"/>
        </w:rPr>
        <w:t>该</w:t>
      </w:r>
      <w:r>
        <w:rPr>
          <w:rFonts w:hint="eastAsia" w:ascii="仿宋_GB2312" w:hAnsi="宋体"/>
          <w:color w:val="auto"/>
          <w:lang w:val="zh-CN" w:eastAsia="zh-CN"/>
        </w:rPr>
        <w:t>项</w:t>
      </w:r>
      <w:r>
        <w:rPr>
          <w:rFonts w:hint="eastAsia" w:ascii="仿宋_GB2312" w:hAnsi="宋体"/>
          <w:color w:val="auto"/>
          <w:lang w:val="zh-CN"/>
        </w:rPr>
        <w:t>目决策</w:t>
      </w:r>
      <w:r>
        <w:rPr>
          <w:rFonts w:hint="eastAsia" w:ascii="仿宋_GB2312" w:hAnsi="宋体"/>
          <w:color w:val="auto"/>
          <w:lang w:val="en-US" w:eastAsia="zh-CN"/>
        </w:rPr>
        <w:t>得分30</w:t>
      </w:r>
      <w:r>
        <w:rPr>
          <w:rFonts w:hint="eastAsia" w:ascii="仿宋_GB2312" w:hAnsi="宋体"/>
          <w:color w:val="auto"/>
          <w:lang w:val="zh-CN"/>
        </w:rPr>
        <w:t>分、项目执行</w:t>
      </w:r>
      <w:r>
        <w:rPr>
          <w:rFonts w:hint="eastAsia" w:ascii="仿宋_GB2312" w:hAnsi="宋体"/>
          <w:color w:val="auto"/>
          <w:lang w:val="en-US" w:eastAsia="zh-CN"/>
        </w:rPr>
        <w:t>30</w:t>
      </w:r>
      <w:r>
        <w:rPr>
          <w:rFonts w:hint="eastAsia" w:ascii="仿宋_GB2312" w:hAnsi="宋体"/>
          <w:color w:val="auto"/>
          <w:lang w:val="zh-CN"/>
        </w:rPr>
        <w:t>分、目标实现</w:t>
      </w:r>
      <w:r>
        <w:rPr>
          <w:rFonts w:hint="eastAsia" w:ascii="仿宋_GB2312" w:hAnsi="宋体"/>
          <w:color w:val="auto"/>
          <w:lang w:val="en-US" w:eastAsia="zh-CN"/>
        </w:rPr>
        <w:t>15</w:t>
      </w:r>
      <w:r>
        <w:rPr>
          <w:rFonts w:hint="eastAsia" w:ascii="仿宋_GB2312" w:hAnsi="宋体"/>
          <w:color w:val="auto"/>
          <w:lang w:val="zh-CN"/>
        </w:rPr>
        <w:t>分、项目效果</w:t>
      </w:r>
      <w:r>
        <w:rPr>
          <w:rFonts w:hint="eastAsia" w:ascii="仿宋_GB2312" w:hAnsi="宋体"/>
          <w:color w:val="auto"/>
          <w:lang w:val="en-US" w:eastAsia="zh-CN"/>
        </w:rPr>
        <w:t>得分24分</w:t>
      </w:r>
      <w:r>
        <w:rPr>
          <w:rFonts w:hint="eastAsia" w:ascii="仿宋_GB2312" w:hAnsi="宋体"/>
          <w:color w:val="auto"/>
          <w:lang w:val="zh-CN"/>
        </w:rPr>
        <w:t>。</w:t>
      </w:r>
      <w:r>
        <w:rPr>
          <w:rFonts w:hint="eastAsia" w:ascii="仿宋_GB2312" w:hAnsi="宋体" w:cs="宋体"/>
          <w:color w:val="auto"/>
          <w:kern w:val="0"/>
          <w:szCs w:val="32"/>
          <w:shd w:val="clear" w:color="auto" w:fill="FFFFFF"/>
          <w:lang w:val="en-US" w:eastAsia="zh-CN"/>
        </w:rPr>
        <w:t>项目总体支出绩效得分为99分，总体</w:t>
      </w:r>
      <w:bookmarkStart w:id="0" w:name="_GoBack"/>
      <w:bookmarkEnd w:id="0"/>
      <w:r>
        <w:rPr>
          <w:rFonts w:hint="eastAsia" w:ascii="仿宋_GB2312" w:hAnsi="宋体" w:cs="宋体"/>
          <w:color w:val="auto"/>
          <w:kern w:val="0"/>
          <w:szCs w:val="32"/>
          <w:shd w:val="clear" w:color="auto" w:fill="FFFFFF"/>
          <w:lang w:val="en-US" w:eastAsia="zh-CN"/>
        </w:rPr>
        <w:t>效果良好。</w:t>
      </w:r>
    </w:p>
    <w:p w14:paraId="020CC485">
      <w:pPr>
        <w:keepNext w:val="0"/>
        <w:keepLines w:val="0"/>
        <w:pageBreakBefore w:val="0"/>
        <w:widowControl w:val="0"/>
        <w:numPr>
          <w:ilvl w:val="0"/>
          <w:numId w:val="3"/>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2"/>
        <w:jc w:val="both"/>
        <w:textAlignment w:val="auto"/>
        <w:outlineLvl w:val="9"/>
        <w:rPr>
          <w:rFonts w:hint="eastAsia" w:ascii="楷体_GB2312" w:hAnsi="宋体" w:eastAsia="楷体_GB2312"/>
          <w:b/>
          <w:lang w:val="zh-CN"/>
        </w:rPr>
      </w:pPr>
      <w:r>
        <w:rPr>
          <w:rFonts w:hint="eastAsia" w:ascii="楷体_GB2312" w:hAnsi="宋体" w:eastAsia="楷体_GB2312"/>
          <w:b/>
          <w:lang w:val="zh-CN"/>
        </w:rPr>
        <w:t>存在的问题。</w:t>
      </w:r>
    </w:p>
    <w:p w14:paraId="2AB2DEE4">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jc w:val="both"/>
        <w:textAlignment w:val="auto"/>
        <w:outlineLvl w:val="9"/>
        <w:rPr>
          <w:rFonts w:hint="eastAsia" w:ascii="仿宋_GB2312" w:hAnsi="宋体" w:cs="Times New Roman"/>
          <w:lang w:val="en-US" w:eastAsia="zh-CN"/>
        </w:rPr>
      </w:pPr>
      <w:r>
        <w:rPr>
          <w:rFonts w:hint="eastAsia" w:ascii="仿宋_GB2312" w:hAnsi="宋体" w:cs="Times New Roman"/>
          <w:lang w:val="en-US" w:eastAsia="zh-CN"/>
        </w:rPr>
        <w:t>无。</w:t>
      </w:r>
    </w:p>
    <w:p w14:paraId="2EEF507A">
      <w:pPr>
        <w:keepNext w:val="0"/>
        <w:keepLines w:val="0"/>
        <w:pageBreakBefore w:val="0"/>
        <w:widowControl w:val="0"/>
        <w:numPr>
          <w:ilvl w:val="0"/>
          <w:numId w:val="3"/>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firstLineChars="0"/>
        <w:jc w:val="both"/>
        <w:textAlignment w:val="auto"/>
        <w:outlineLvl w:val="9"/>
        <w:rPr>
          <w:rFonts w:hint="eastAsia" w:ascii="楷体_GB2312" w:hAnsi="宋体" w:eastAsia="楷体_GB2312"/>
          <w:b/>
          <w:lang w:val="zh-CN"/>
        </w:rPr>
      </w:pPr>
      <w:r>
        <w:rPr>
          <w:rFonts w:hint="eastAsia" w:ascii="楷体_GB2312" w:hAnsi="宋体" w:eastAsia="楷体_GB2312"/>
          <w:b/>
          <w:lang w:val="zh-CN"/>
        </w:rPr>
        <w:t>相关建议。</w:t>
      </w:r>
    </w:p>
    <w:p w14:paraId="16ABC363">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jc w:val="both"/>
        <w:textAlignment w:val="auto"/>
        <w:outlineLvl w:val="9"/>
        <w:rPr>
          <w:rFonts w:hint="eastAsia" w:eastAsia="仿宋_GB2312"/>
          <w:lang w:eastAsia="zh-CN"/>
        </w:rPr>
      </w:pPr>
      <w:r>
        <w:rPr>
          <w:rFonts w:hint="eastAsia" w:ascii="仿宋_GB2312" w:hAnsi="宋体"/>
          <w:lang w:val="en-US" w:eastAsia="zh-CN"/>
        </w:rPr>
        <w:t xml:space="preserve">    无。</w:t>
      </w:r>
    </w:p>
    <w:p w14:paraId="3F798C8D">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DD8106A-2369-461F-B19D-FC1983D257C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B9965763-61EB-43D6-BCFA-9B876C99CC85}"/>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E1B97119-3015-4BC7-ABDA-CEDED9C0DDAF}"/>
  </w:font>
  <w:font w:name="Cambria">
    <w:panose1 w:val="02040503050406030204"/>
    <w:charset w:val="00"/>
    <w:family w:val="roman"/>
    <w:pitch w:val="default"/>
    <w:sig w:usb0="E00002FF" w:usb1="400004FF" w:usb2="0000000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4" w:fontKey="{955E4D78-AE51-46A0-91D2-73373065D641}"/>
  </w:font>
  <w:font w:name="楷体_GB2312">
    <w:panose1 w:val="02010609030101010101"/>
    <w:charset w:val="86"/>
    <w:family w:val="modern"/>
    <w:pitch w:val="default"/>
    <w:sig w:usb0="00000001" w:usb1="080E0000" w:usb2="00000000" w:usb3="00000000" w:csb0="00040000" w:csb1="00000000"/>
    <w:embedRegular r:id="rId5" w:fontKey="{29B54890-ED52-4DFD-937D-46456158371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BCBE3"/>
    <w:multiLevelType w:val="singleLevel"/>
    <w:tmpl w:val="82FBCBE3"/>
    <w:lvl w:ilvl="0" w:tentative="0">
      <w:start w:val="3"/>
      <w:numFmt w:val="chineseCounting"/>
      <w:suff w:val="nothing"/>
      <w:lvlText w:val="（%1）"/>
      <w:lvlJc w:val="left"/>
      <w:rPr>
        <w:rFonts w:hint="eastAsia"/>
      </w:rPr>
    </w:lvl>
  </w:abstractNum>
  <w:abstractNum w:abstractNumId="1">
    <w:nsid w:val="64BDF90D"/>
    <w:multiLevelType w:val="singleLevel"/>
    <w:tmpl w:val="64BDF90D"/>
    <w:lvl w:ilvl="0" w:tentative="0">
      <w:start w:val="5"/>
      <w:numFmt w:val="chineseCounting"/>
      <w:suff w:val="nothing"/>
      <w:lvlText w:val="%1、"/>
      <w:lvlJc w:val="left"/>
    </w:lvl>
  </w:abstractNum>
  <w:abstractNum w:abstractNumId="2">
    <w:nsid w:val="64BDF933"/>
    <w:multiLevelType w:val="singleLevel"/>
    <w:tmpl w:val="64BDF933"/>
    <w:lvl w:ilvl="0" w:tentative="0">
      <w:start w:val="2"/>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1BC139C"/>
    <w:rsid w:val="02AF63B0"/>
    <w:rsid w:val="03CA32DF"/>
    <w:rsid w:val="0D466608"/>
    <w:rsid w:val="0D850CC5"/>
    <w:rsid w:val="104A61C4"/>
    <w:rsid w:val="124E588F"/>
    <w:rsid w:val="133958C8"/>
    <w:rsid w:val="155263C3"/>
    <w:rsid w:val="19B536B9"/>
    <w:rsid w:val="1A0B7E6B"/>
    <w:rsid w:val="1A133D69"/>
    <w:rsid w:val="1D9C7323"/>
    <w:rsid w:val="1DB90BE3"/>
    <w:rsid w:val="1F760C93"/>
    <w:rsid w:val="24F248DC"/>
    <w:rsid w:val="291C455A"/>
    <w:rsid w:val="2A502512"/>
    <w:rsid w:val="306E1120"/>
    <w:rsid w:val="32AA1245"/>
    <w:rsid w:val="35765E16"/>
    <w:rsid w:val="36926D0C"/>
    <w:rsid w:val="39DF6CAB"/>
    <w:rsid w:val="3F550869"/>
    <w:rsid w:val="3F946291"/>
    <w:rsid w:val="40E54E3D"/>
    <w:rsid w:val="414A628B"/>
    <w:rsid w:val="48C37879"/>
    <w:rsid w:val="4B4862D6"/>
    <w:rsid w:val="4C117585"/>
    <w:rsid w:val="50250CDF"/>
    <w:rsid w:val="57AD3FDA"/>
    <w:rsid w:val="595779DF"/>
    <w:rsid w:val="5A0510AC"/>
    <w:rsid w:val="5C793448"/>
    <w:rsid w:val="627D6EAF"/>
    <w:rsid w:val="673E27F9"/>
    <w:rsid w:val="69043FA0"/>
    <w:rsid w:val="6BDE1E54"/>
    <w:rsid w:val="6EF16389"/>
    <w:rsid w:val="731B7DF8"/>
    <w:rsid w:val="74276058"/>
    <w:rsid w:val="75295E7A"/>
    <w:rsid w:val="753D3342"/>
    <w:rsid w:val="75AA3DB5"/>
    <w:rsid w:val="783071E9"/>
    <w:rsid w:val="79016D9C"/>
    <w:rsid w:val="7A076694"/>
    <w:rsid w:val="7B23700B"/>
    <w:rsid w:val="7C56648E"/>
    <w:rsid w:val="7E2758B3"/>
    <w:rsid w:val="7EB80171"/>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val="0"/>
      <w:spacing w:before="240" w:after="60"/>
      <w:jc w:val="center"/>
      <w:outlineLvl w:val="0"/>
    </w:pPr>
    <w:rPr>
      <w:rFonts w:hint="default" w:ascii="Cambria" w:hAnsi="Cambria" w:cs="Times New Roman"/>
      <w:b/>
      <w:kern w:val="2"/>
      <w:sz w:val="32"/>
      <w:szCs w:val="32"/>
    </w:rPr>
  </w:style>
  <w:style w:type="paragraph" w:styleId="3">
    <w:name w:val="Body Text"/>
    <w:basedOn w:val="1"/>
    <w:qFormat/>
    <w:uiPriority w:val="0"/>
    <w:rPr>
      <w:rFonts w:ascii="等线" w:hAnsi="等线" w:eastAsia="等线" w:cs="Times New Roman"/>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1411</Words>
  <Characters>1442</Characters>
  <Lines>9</Lines>
  <Paragraphs>2</Paragraphs>
  <TotalTime>1</TotalTime>
  <ScaleCrop>false</ScaleCrop>
  <LinksUpToDate>false</LinksUpToDate>
  <CharactersWithSpaces>1454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2024-11-01T02:33:07Z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