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eastAsia="zh-CN"/>
        </w:rPr>
        <w:t>中共峨边彝族自治县委政法委员会</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rPr>
        <w:t>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r>
        <w:rPr>
          <w:rFonts w:hint="eastAsia" w:ascii="仿宋" w:hAnsi="宋体" w:eastAsia="仿宋" w:cs="宋体"/>
          <w:snapToGrid w:val="0"/>
          <w:color w:val="000000"/>
          <w:kern w:val="0"/>
          <w:szCs w:val="32"/>
          <w:shd w:val="clear" w:color="auto" w:fill="FFFFFF"/>
          <w:lang w:val="zh-CN"/>
        </w:rPr>
        <w:t>中共峨边彝族自治县委政法委员会，内设机构</w:t>
      </w:r>
      <w:r>
        <w:rPr>
          <w:rFonts w:hint="eastAsia" w:ascii="仿宋" w:hAnsi="宋体" w:eastAsia="仿宋" w:cs="宋体"/>
          <w:snapToGrid w:val="0"/>
          <w:color w:val="000000"/>
          <w:kern w:val="0"/>
          <w:szCs w:val="32"/>
          <w:shd w:val="clear" w:color="auto" w:fill="FFFFFF"/>
          <w:lang w:val="en-US" w:eastAsia="zh-CN"/>
        </w:rPr>
        <w:t>4个</w:t>
      </w:r>
      <w:r>
        <w:rPr>
          <w:rFonts w:hint="eastAsia" w:ascii="仿宋" w:hAnsi="宋体" w:eastAsia="仿宋" w:cs="宋体"/>
          <w:snapToGrid w:val="0"/>
          <w:color w:val="000000"/>
          <w:kern w:val="0"/>
          <w:szCs w:val="32"/>
          <w:shd w:val="clear" w:color="auto" w:fill="FFFFFF"/>
          <w:lang w:val="zh-CN"/>
        </w:rPr>
        <w:t>（办公室、政工股、综治指导股、维稳指导股），下属事业单位一个（综治中心）</w:t>
      </w:r>
    </w:p>
    <w:p>
      <w:pPr>
        <w:adjustRightInd w:val="0"/>
        <w:snapToGrid w:val="0"/>
        <w:spacing w:line="360" w:lineRule="auto"/>
        <w:ind w:firstLine="320" w:firstLineChars="100"/>
        <w:rPr>
          <w:rStyle w:val="14"/>
          <w:rFonts w:hint="eastAsia" w:ascii="仿宋" w:eastAsia="仿宋"/>
          <w:snapToGrid w:val="0"/>
          <w:szCs w:val="14"/>
          <w:lang w:eastAsia="zh-CN"/>
        </w:rPr>
      </w:pPr>
      <w:r>
        <w:rPr>
          <w:rFonts w:hint="eastAsia" w:ascii="楷体_GB2312" w:hAnsi="宋体" w:eastAsia="楷体_GB2312" w:cs="宋体"/>
          <w:color w:val="000000"/>
          <w:kern w:val="0"/>
          <w:szCs w:val="32"/>
          <w:shd w:val="clear" w:color="auto" w:fill="FFFFFF"/>
          <w:lang w:val="zh-CN"/>
        </w:rPr>
        <w:t>（二）机构职能和人员概况。</w:t>
      </w:r>
      <w:r>
        <w:rPr>
          <w:rStyle w:val="14"/>
          <w:rFonts w:hint="eastAsia" w:ascii="仿宋" w:eastAsia="仿宋"/>
          <w:snapToGrid w:val="0"/>
          <w:szCs w:val="14"/>
          <w:lang w:val="en-US" w:eastAsia="zh-CN"/>
        </w:rPr>
        <w:t xml:space="preserve"> </w:t>
      </w:r>
      <w:r>
        <w:rPr>
          <w:rStyle w:val="14"/>
          <w:rFonts w:hint="eastAsia" w:ascii="仿宋" w:eastAsia="仿宋"/>
          <w:snapToGrid w:val="0"/>
          <w:szCs w:val="14"/>
        </w:rPr>
        <w:t>1.</w:t>
      </w:r>
      <w:r>
        <w:rPr>
          <w:rStyle w:val="14"/>
          <w:rFonts w:hint="eastAsia" w:ascii="仿宋" w:eastAsia="仿宋"/>
          <w:snapToGrid w:val="0"/>
          <w:szCs w:val="14"/>
          <w:lang w:eastAsia="zh-CN"/>
        </w:rPr>
        <w:t>深入贯彻党的路线方针政策和决策部署，统一政法各部门思想和行动，坚持党对政法工作的绝对领导，坚决维护党中央权威和集中统一领导。</w:t>
      </w:r>
    </w:p>
    <w:p>
      <w:pPr>
        <w:adjustRightInd w:val="0"/>
        <w:snapToGrid w:val="0"/>
        <w:spacing w:line="360" w:lineRule="auto"/>
        <w:ind w:firstLine="320" w:firstLineChars="100"/>
        <w:rPr>
          <w:rStyle w:val="14"/>
          <w:rFonts w:hint="eastAsia" w:ascii="仿宋" w:eastAsia="仿宋"/>
          <w:snapToGrid w:val="0"/>
          <w:szCs w:val="14"/>
          <w:lang w:val="en-US" w:eastAsia="zh-CN"/>
        </w:rPr>
      </w:pPr>
      <w:r>
        <w:rPr>
          <w:rStyle w:val="14"/>
          <w:rFonts w:hint="eastAsia" w:ascii="仿宋" w:eastAsia="仿宋"/>
          <w:snapToGrid w:val="0"/>
          <w:szCs w:val="14"/>
          <w:lang w:val="en-US" w:eastAsia="zh-CN"/>
        </w:rPr>
        <w:t xml:space="preserve">  2.深入贯彻党中央决定和省委、市委、县委决策，对政法工作研究提出全局性部署，推进平安峨边、法治峨边建设，加强过硬队伍建设、促进社会公平正义、保障人民安居乐业。</w:t>
      </w:r>
    </w:p>
    <w:p>
      <w:pPr>
        <w:adjustRightInd w:val="0"/>
        <w:snapToGrid w:val="0"/>
        <w:spacing w:line="360" w:lineRule="auto"/>
        <w:ind w:firstLine="320" w:firstLineChars="100"/>
        <w:rPr>
          <w:rStyle w:val="14"/>
          <w:rFonts w:hint="eastAsia" w:ascii="仿宋" w:eastAsia="仿宋"/>
          <w:snapToGrid w:val="0"/>
          <w:szCs w:val="14"/>
          <w:lang w:val="en-US" w:eastAsia="zh-CN"/>
        </w:rPr>
      </w:pPr>
      <w:r>
        <w:rPr>
          <w:rStyle w:val="14"/>
          <w:rFonts w:hint="eastAsia" w:ascii="仿宋" w:eastAsia="仿宋"/>
          <w:snapToGrid w:val="0"/>
          <w:szCs w:val="14"/>
          <w:lang w:val="en-US" w:eastAsia="zh-CN"/>
        </w:rPr>
        <w:t xml:space="preserve">  3.了解掌握和分析研判政法工作情况动态，分析全县社会稳定形势，创新完善多部门参与综治维稳工作机制，构建矛盾纠纷多元化解体系和机制，协调推动预防、化解影响稳定的社会矛盾和风险，协调应对和处置重大突发事件，统筹推动全县维护稳定工作。</w:t>
      </w:r>
    </w:p>
    <w:p>
      <w:pPr>
        <w:adjustRightInd w:val="0"/>
        <w:snapToGrid w:val="0"/>
        <w:spacing w:line="360" w:lineRule="auto"/>
        <w:ind w:firstLine="320" w:firstLineChars="100"/>
        <w:rPr>
          <w:rStyle w:val="14"/>
          <w:rFonts w:hint="eastAsia" w:ascii="仿宋" w:eastAsia="仿宋"/>
          <w:snapToGrid w:val="0"/>
          <w:szCs w:val="14"/>
          <w:lang w:val="en-US" w:eastAsia="zh-CN"/>
        </w:rPr>
      </w:pPr>
      <w:r>
        <w:rPr>
          <w:rStyle w:val="14"/>
          <w:rFonts w:hint="eastAsia" w:ascii="仿宋" w:eastAsia="仿宋"/>
          <w:snapToGrid w:val="0"/>
          <w:szCs w:val="14"/>
          <w:lang w:val="en-US" w:eastAsia="zh-CN"/>
        </w:rPr>
        <w:t xml:space="preserve">  4.加强对政法工作的督查，统筹协调维护整治安全、社会治安综合治理、维护社会稳定、反邪教有关法律法规政策的实施工作；指导全县政法系统网络安全的智能化建设工作。</w:t>
      </w:r>
    </w:p>
    <w:p>
      <w:pPr>
        <w:widowControl/>
        <w:adjustRightInd w:val="0"/>
        <w:snapToGrid w:val="0"/>
        <w:spacing w:line="360" w:lineRule="auto"/>
        <w:ind w:firstLine="640" w:firstLineChars="200"/>
        <w:contextualSpacing/>
        <w:rPr>
          <w:rFonts w:ascii="楷体_GB2312" w:hAnsi="宋体" w:eastAsia="楷体_GB2312" w:cs="宋体"/>
          <w:color w:val="auto"/>
          <w:kern w:val="0"/>
          <w:szCs w:val="32"/>
          <w:shd w:val="clear" w:color="auto" w:fill="FFFFFF"/>
          <w:lang w:val="zh-CN"/>
        </w:rPr>
      </w:pPr>
      <w:r>
        <w:rPr>
          <w:rFonts w:hint="eastAsia" w:ascii="仿宋" w:hAnsi="宋体" w:eastAsia="仿宋" w:cs="宋体"/>
          <w:snapToGrid w:val="0"/>
          <w:color w:val="000000"/>
          <w:kern w:val="0"/>
          <w:szCs w:val="32"/>
          <w:shd w:val="clear" w:color="auto" w:fill="FFFFFF"/>
          <w:lang w:val="zh-CN"/>
        </w:rPr>
        <w:t>（三）人员概况。</w:t>
      </w:r>
      <w:r>
        <w:rPr>
          <w:rFonts w:hint="eastAsia" w:ascii="仿宋" w:hAnsi="仿宋" w:eastAsia="仿宋"/>
          <w:snapToGrid w:val="0"/>
          <w:szCs w:val="32"/>
          <w:lang w:eastAsia="zh-CN"/>
        </w:rPr>
        <w:t>政法委</w:t>
      </w:r>
      <w:r>
        <w:rPr>
          <w:rFonts w:hint="eastAsia" w:ascii="仿宋" w:hAnsi="仿宋" w:eastAsia="仿宋"/>
          <w:snapToGrid w:val="0"/>
          <w:szCs w:val="32"/>
        </w:rPr>
        <w:t>行政编制</w:t>
      </w:r>
      <w:r>
        <w:rPr>
          <w:rFonts w:hint="eastAsia" w:ascii="仿宋" w:hAnsi="仿宋" w:eastAsia="仿宋"/>
          <w:snapToGrid w:val="0"/>
          <w:szCs w:val="32"/>
          <w:lang w:val="en-US" w:eastAsia="zh-CN"/>
        </w:rPr>
        <w:t>9</w:t>
      </w:r>
      <w:r>
        <w:rPr>
          <w:rFonts w:hint="eastAsia" w:ascii="仿宋" w:hAnsi="仿宋" w:eastAsia="仿宋"/>
          <w:snapToGrid w:val="0"/>
          <w:szCs w:val="32"/>
        </w:rPr>
        <w:t>名，</w:t>
      </w:r>
      <w:r>
        <w:rPr>
          <w:rFonts w:hint="eastAsia" w:ascii="仿宋" w:hAnsi="仿宋" w:eastAsia="仿宋"/>
          <w:snapToGrid w:val="0"/>
          <w:szCs w:val="32"/>
          <w:lang w:eastAsia="zh-CN"/>
        </w:rPr>
        <w:t>其中</w:t>
      </w:r>
      <w:r>
        <w:rPr>
          <w:rFonts w:hint="eastAsia" w:ascii="仿宋" w:hAnsi="仿宋" w:eastAsia="仿宋"/>
          <w:snapToGrid w:val="0"/>
          <w:szCs w:val="32"/>
        </w:rPr>
        <w:t>工勤</w:t>
      </w:r>
      <w:r>
        <w:rPr>
          <w:rFonts w:hint="eastAsia" w:ascii="仿宋" w:hAnsi="仿宋" w:eastAsia="仿宋"/>
          <w:snapToGrid w:val="0"/>
          <w:szCs w:val="32"/>
          <w:lang w:eastAsia="zh-CN"/>
        </w:rPr>
        <w:t>人员</w:t>
      </w:r>
      <w:r>
        <w:rPr>
          <w:rFonts w:hint="eastAsia" w:ascii="仿宋" w:hAnsi="仿宋" w:eastAsia="仿宋"/>
          <w:snapToGrid w:val="0"/>
          <w:szCs w:val="32"/>
          <w:lang w:val="en-US" w:eastAsia="zh-CN"/>
        </w:rPr>
        <w:t>1</w:t>
      </w:r>
      <w:r>
        <w:rPr>
          <w:rFonts w:hint="eastAsia" w:ascii="仿宋" w:hAnsi="仿宋" w:eastAsia="仿宋"/>
          <w:snapToGrid w:val="0"/>
          <w:szCs w:val="32"/>
        </w:rPr>
        <w:t>名。在职人员总数</w:t>
      </w:r>
      <w:r>
        <w:rPr>
          <w:rFonts w:hint="eastAsia" w:ascii="仿宋" w:hAnsi="仿宋" w:eastAsia="仿宋"/>
          <w:snapToGrid w:val="0"/>
          <w:szCs w:val="32"/>
          <w:lang w:val="en-US" w:eastAsia="zh-CN"/>
        </w:rPr>
        <w:t>10</w:t>
      </w:r>
      <w:r>
        <w:rPr>
          <w:rFonts w:hint="eastAsia" w:ascii="仿宋" w:hAnsi="仿宋" w:eastAsia="仿宋"/>
          <w:snapToGrid w:val="0"/>
          <w:szCs w:val="32"/>
        </w:rPr>
        <w:t>名，其中：</w:t>
      </w:r>
      <w:r>
        <w:rPr>
          <w:rFonts w:hint="eastAsia" w:ascii="仿宋" w:hAnsi="仿宋" w:eastAsia="仿宋"/>
          <w:snapToGrid w:val="0"/>
          <w:szCs w:val="32"/>
          <w:lang w:eastAsia="zh-CN"/>
        </w:rPr>
        <w:t>常务副书记</w:t>
      </w:r>
      <w:r>
        <w:rPr>
          <w:rFonts w:hint="eastAsia" w:ascii="仿宋" w:hAnsi="仿宋" w:eastAsia="仿宋"/>
          <w:snapToGrid w:val="0"/>
          <w:szCs w:val="32"/>
          <w:lang w:val="en-US" w:eastAsia="zh-CN"/>
        </w:rPr>
        <w:t>1名，副书记2名，中层职数2名；事业编5名，在职人员总数5名。</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r>
        <w:rPr>
          <w:rFonts w:hint="eastAsia" w:ascii="仿宋_GB2312" w:hAnsi="仿宋" w:eastAsia="仿宋_GB2312"/>
          <w:sz w:val="32"/>
          <w:szCs w:val="32"/>
          <w:lang w:val="en-US" w:eastAsia="zh-CN"/>
        </w:rPr>
        <w:t xml:space="preserve">本年度我单位财政拨款收入  </w:t>
      </w:r>
      <w:r>
        <w:rPr>
          <w:rFonts w:hint="eastAsia" w:ascii="仿宋_GB2312" w:hAnsi="仿宋" w:eastAsia="仿宋_GB2312"/>
          <w:sz w:val="32"/>
          <w:szCs w:val="32"/>
          <w:highlight w:val="none"/>
          <w:lang w:val="en-US" w:eastAsia="zh-CN"/>
        </w:rPr>
        <w:t>710.19</w:t>
      </w:r>
      <w:r>
        <w:rPr>
          <w:rFonts w:hint="eastAsia" w:ascii="仿宋_GB2312" w:hAnsi="仿宋" w:eastAsia="仿宋_GB2312"/>
          <w:sz w:val="32"/>
          <w:szCs w:val="32"/>
          <w:lang w:val="en-US" w:eastAsia="zh-CN"/>
        </w:rPr>
        <w:t>万元。一般公共预算财政拨款预算收入710.19万元，其中基本支出收入410.91万元、项目支出收入299.28万元；政府性基金预算收入0万元。</w:t>
      </w:r>
    </w:p>
    <w:p>
      <w:pPr>
        <w:widowControl/>
        <w:adjustRightInd w:val="0"/>
        <w:snapToGrid w:val="0"/>
        <w:spacing w:line="580" w:lineRule="exact"/>
        <w:ind w:firstLine="640" w:firstLineChars="200"/>
        <w:contextualSpacing/>
        <w:jc w:val="left"/>
        <w:rPr>
          <w:rFonts w:hint="eastAsia" w:ascii="仿宋_GB2312" w:hAnsi="仿宋" w:eastAsia="仿宋_GB2312"/>
          <w:sz w:val="32"/>
          <w:szCs w:val="32"/>
          <w:lang w:val="en-US" w:eastAsia="zh-CN"/>
        </w:rPr>
      </w:pPr>
      <w:r>
        <w:rPr>
          <w:rFonts w:hint="eastAsia" w:ascii="楷体_GB2312" w:hAnsi="宋体" w:eastAsia="楷体_GB2312" w:cs="宋体"/>
          <w:color w:val="000000"/>
          <w:kern w:val="0"/>
          <w:szCs w:val="32"/>
          <w:shd w:val="clear" w:color="auto" w:fill="FFFFFF"/>
          <w:lang w:val="zh-CN"/>
        </w:rPr>
        <w:t>（二）部门财政资金支出情况。</w:t>
      </w:r>
      <w:r>
        <w:rPr>
          <w:rFonts w:hint="eastAsia" w:ascii="仿宋_GB2312" w:hAnsi="仿宋" w:eastAsia="仿宋_GB2312"/>
          <w:sz w:val="32"/>
          <w:szCs w:val="32"/>
          <w:lang w:val="en-US" w:eastAsia="zh-CN"/>
        </w:rPr>
        <w:t>本年度我单位财政拨款支出710.19万元。一般公共预算财政拨款预算支出710.19万元，其中基本支出410.91万元、项目支出299.28万元；政府性基金预算支出0万元。</w:t>
      </w:r>
      <w:bookmarkStart w:id="0" w:name="_GoBack"/>
      <w:bookmarkEnd w:id="0"/>
    </w:p>
    <w:p>
      <w:pPr>
        <w:snapToGrid w:val="0"/>
        <w:spacing w:line="520" w:lineRule="exact"/>
        <w:ind w:firstLine="640" w:firstLineChars="200"/>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（三）部门财政资金结转结余情况。</w:t>
      </w:r>
    </w:p>
    <w:p>
      <w:pPr>
        <w:snapToGrid w:val="0"/>
        <w:spacing w:line="520" w:lineRule="exact"/>
        <w:ind w:firstLine="640" w:firstLineChars="200"/>
        <w:rPr>
          <w:rFonts w:ascii="楷体_GB2312" w:hAnsi="宋体" w:eastAsia="楷体_GB2312" w:cs="宋体"/>
          <w:color w:val="000000"/>
          <w:kern w:val="0"/>
          <w:szCs w:val="32"/>
          <w:shd w:val="clear" w:color="auto" w:fill="FFFFFF"/>
          <w:lang w:val="zh-CN"/>
        </w:rPr>
      </w:pPr>
      <w:r>
        <w:rPr>
          <w:rFonts w:hint="eastAsia" w:ascii="仿宋_GB2312" w:hAnsi="仿宋" w:eastAsia="仿宋_GB2312"/>
          <w:sz w:val="32"/>
          <w:szCs w:val="32"/>
          <w:lang w:val="en-US" w:eastAsia="zh-CN"/>
        </w:rPr>
        <w:t>本年度无年末结转和结余。</w:t>
      </w:r>
    </w:p>
    <w:p>
      <w:pPr>
        <w:widowControl/>
        <w:numPr>
          <w:ilvl w:val="0"/>
          <w:numId w:val="1"/>
        </w:numPr>
        <w:adjustRightInd w:val="0"/>
        <w:snapToGrid w:val="0"/>
        <w:spacing w:line="580" w:lineRule="exact"/>
        <w:ind w:firstLine="640" w:firstLineChars="200"/>
        <w:contextualSpacing/>
        <w:jc w:val="left"/>
        <w:rPr>
          <w:rFonts w:hint="eastAsia"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部门整体绩效管理情况</w:t>
      </w:r>
    </w:p>
    <w:p>
      <w:pPr>
        <w:widowControl/>
        <w:numPr>
          <w:ilvl w:val="0"/>
          <w:numId w:val="0"/>
        </w:numPr>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adjustRightInd w:val="0"/>
        <w:snapToGrid w:val="0"/>
        <w:spacing w:line="360" w:lineRule="auto"/>
        <w:ind w:firstLine="640" w:firstLineChars="200"/>
        <w:rPr>
          <w:rFonts w:hint="eastAsia" w:ascii="仿宋" w:hAnsi="仿宋" w:eastAsia="仿宋" w:cs="仿宋_GB2312"/>
          <w:snapToGrid w:val="0"/>
          <w:szCs w:val="32"/>
        </w:rPr>
      </w:pPr>
      <w:r>
        <w:rPr>
          <w:rFonts w:hint="eastAsia" w:ascii="仿宋" w:eastAsia="仿宋"/>
          <w:snapToGrid w:val="0"/>
          <w:szCs w:val="14"/>
        </w:rPr>
        <w:t>以预算编制为引领，以支出管理为核心，扎实做好预算工作。首先严格按照财政局预算编制要求，认真细致搞好预算工作，确保预算编制的科学性和准确性。同时加强预算支出进度管理，完善预算动态监控，确保机关各项工作正常运行。</w:t>
      </w:r>
    </w:p>
    <w:p>
      <w:pPr>
        <w:widowControl/>
        <w:adjustRightInd w:val="0"/>
        <w:snapToGrid w:val="0"/>
        <w:spacing w:line="360" w:lineRule="auto"/>
        <w:ind w:firstLine="640" w:firstLineChars="200"/>
        <w:contextualSpacing/>
        <w:rPr>
          <w:rFonts w:ascii="仿宋" w:hAnsi="宋体" w:eastAsia="仿宋" w:cs="宋体"/>
          <w:snapToGrid w:val="0"/>
          <w:color w:val="FF0000"/>
          <w:kern w:val="0"/>
          <w:szCs w:val="32"/>
          <w:shd w:val="clear" w:color="auto" w:fill="FFFFFF"/>
        </w:rPr>
      </w:pPr>
      <w:r>
        <w:rPr>
          <w:rFonts w:hint="eastAsia" w:ascii="仿宋" w:hAnsi="宋体" w:eastAsia="仿宋" w:cs="宋体"/>
          <w:snapToGrid w:val="0"/>
          <w:color w:val="000000"/>
          <w:kern w:val="0"/>
          <w:szCs w:val="32"/>
          <w:shd w:val="clear" w:color="auto" w:fill="FFFFFF"/>
          <w:lang w:val="zh-CN"/>
        </w:rPr>
        <w:t>（二）</w:t>
      </w:r>
      <w:r>
        <w:rPr>
          <w:rFonts w:ascii="仿宋" w:hAnsi="仿宋" w:eastAsia="仿宋" w:cs="仿宋_GB2312"/>
          <w:snapToGrid w:val="0"/>
          <w:szCs w:val="32"/>
        </w:rPr>
        <w:t>专项预算管理。</w:t>
      </w:r>
      <w:r>
        <w:rPr>
          <w:rFonts w:hint="eastAsia" w:ascii="仿宋" w:hAnsi="仿宋" w:eastAsia="仿宋" w:cs="仿宋_GB2312"/>
          <w:snapToGrid w:val="0"/>
          <w:szCs w:val="32"/>
        </w:rPr>
        <w:t>在支付范围、支付标准、支付制度、支付依据等方面，严格按照财务制度相关规定合规合法。</w:t>
      </w:r>
    </w:p>
    <w:p>
      <w:pPr>
        <w:widowControl/>
        <w:adjustRightInd w:val="0"/>
        <w:snapToGrid w:val="0"/>
        <w:spacing w:line="580" w:lineRule="exact"/>
        <w:ind w:firstLine="640" w:firstLineChars="200"/>
        <w:contextualSpacing/>
        <w:jc w:val="left"/>
        <w:rPr>
          <w:rStyle w:val="14"/>
          <w:rFonts w:hint="eastAsia" w:ascii="仿宋" w:eastAsia="仿宋"/>
          <w:snapToGrid w:val="0"/>
          <w:szCs w:val="14"/>
        </w:rPr>
      </w:pPr>
      <w:r>
        <w:rPr>
          <w:rFonts w:hint="eastAsia" w:ascii="仿宋" w:hAnsi="宋体" w:eastAsia="仿宋" w:cs="宋体"/>
          <w:snapToGrid w:val="0"/>
          <w:color w:val="000000"/>
          <w:kern w:val="0"/>
          <w:szCs w:val="32"/>
          <w:shd w:val="clear" w:color="auto" w:fill="FFFFFF"/>
          <w:lang w:val="zh-CN"/>
        </w:rPr>
        <w:t>（三）结果应用情况。</w:t>
      </w:r>
      <w:r>
        <w:rPr>
          <w:rStyle w:val="14"/>
          <w:rFonts w:hint="eastAsia" w:ascii="仿宋" w:eastAsia="仿宋"/>
          <w:snapToGrid w:val="0"/>
          <w:szCs w:val="14"/>
        </w:rPr>
        <w:t>严格按照预算法规定，按月按需执行部门预算，对财政资金的支出做到审批到位，开支准确。</w:t>
      </w:r>
    </w:p>
    <w:p>
      <w:pPr>
        <w:widowControl/>
        <w:adjustRightInd w:val="0"/>
        <w:snapToGrid w:val="0"/>
        <w:spacing w:line="580" w:lineRule="exact"/>
        <w:ind w:firstLine="640" w:firstLineChars="200"/>
        <w:contextualSpacing/>
        <w:jc w:val="left"/>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(1)信息公开。部门整体绩效自评情况和自行组织的评价情况均按财政要求及时将向社会公开。</w:t>
      </w:r>
    </w:p>
    <w:p>
      <w:pPr>
        <w:widowControl/>
        <w:adjustRightInd w:val="0"/>
        <w:snapToGrid w:val="0"/>
        <w:spacing w:line="580" w:lineRule="exact"/>
        <w:ind w:firstLine="640" w:firstLineChars="200"/>
        <w:contextualSpacing/>
        <w:jc w:val="left"/>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(2)自评质量。我单位严格按照预算管理和支付时效要求，执行进度100%，整体绩效</w:t>
      </w:r>
      <w:r>
        <w:rPr>
          <w:rFonts w:hint="eastAsia" w:ascii="仿宋" w:hAnsi="仿宋" w:eastAsia="仿宋" w:cs="Times New Roman"/>
          <w:color w:val="auto"/>
          <w:sz w:val="32"/>
          <w:szCs w:val="32"/>
          <w:lang w:val="zh-CN" w:eastAsia="zh-CN"/>
        </w:rPr>
        <w:t>自评</w:t>
      </w:r>
      <w:r>
        <w:rPr>
          <w:rFonts w:hint="eastAsia" w:ascii="仿宋" w:hAnsi="仿宋" w:eastAsia="仿宋" w:cs="Times New Roman"/>
          <w:color w:val="auto"/>
          <w:sz w:val="32"/>
          <w:szCs w:val="32"/>
          <w:lang w:val="en-US" w:eastAsia="zh-CN"/>
        </w:rPr>
        <w:t>得分为97.5分。</w:t>
      </w:r>
    </w:p>
    <w:p>
      <w:pPr>
        <w:widowControl/>
        <w:adjustRightInd w:val="0"/>
        <w:snapToGrid w:val="0"/>
        <w:spacing w:line="580" w:lineRule="exact"/>
        <w:ind w:firstLine="640" w:firstLineChars="200"/>
        <w:contextualSpacing/>
        <w:jc w:val="left"/>
        <w:rPr>
          <w:rFonts w:hint="default"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(3)整改反馈。</w:t>
      </w:r>
      <w:r>
        <w:rPr>
          <w:rFonts w:hint="eastAsia" w:ascii="仿宋" w:hAnsi="仿宋" w:eastAsia="仿宋" w:cs="Times New Roman"/>
          <w:color w:val="auto"/>
          <w:sz w:val="32"/>
          <w:szCs w:val="32"/>
          <w:lang w:val="zh-CN" w:eastAsia="zh-CN"/>
        </w:rPr>
        <w:t>评价结果整改和应用结果反馈</w:t>
      </w:r>
      <w:r>
        <w:rPr>
          <w:rFonts w:hint="eastAsia" w:ascii="仿宋" w:hAnsi="仿宋" w:eastAsia="仿宋" w:cs="Times New Roman"/>
          <w:color w:val="auto"/>
          <w:sz w:val="32"/>
          <w:szCs w:val="32"/>
          <w:lang w:val="en-US" w:eastAsia="zh-CN"/>
        </w:rPr>
        <w:t>结合实际进行应用</w:t>
      </w:r>
      <w:r>
        <w:rPr>
          <w:rFonts w:hint="eastAsia" w:ascii="仿宋" w:hAnsi="仿宋" w:eastAsia="仿宋" w:cs="Times New Roman"/>
          <w:color w:val="auto"/>
          <w:sz w:val="32"/>
          <w:szCs w:val="32"/>
          <w:lang w:val="zh-CN" w:eastAsia="zh-CN"/>
        </w:rPr>
        <w:t>。</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 w:hAnsi="仿宋" w:eastAsia="仿宋" w:cs="Times New Roman"/>
          <w:color w:val="auto"/>
          <w:kern w:val="2"/>
          <w:sz w:val="32"/>
          <w:szCs w:val="32"/>
          <w:lang w:val="zh-CN" w:eastAsia="zh-CN" w:bidi="ar-SA"/>
        </w:rPr>
      </w:pPr>
      <w:r>
        <w:rPr>
          <w:rFonts w:hint="eastAsia" w:ascii="楷体_GB2312" w:hAnsi="宋体" w:eastAsia="楷体_GB2312" w:cs="宋体"/>
          <w:color w:val="000000"/>
          <w:kern w:val="0"/>
          <w:szCs w:val="32"/>
          <w:shd w:val="clear" w:color="auto" w:fill="FFFFFF"/>
          <w:lang w:val="zh-CN"/>
        </w:rPr>
        <w:t>（一）评价结论。</w:t>
      </w:r>
      <w:r>
        <w:rPr>
          <w:rFonts w:hint="eastAsia" w:ascii="仿宋" w:hAnsi="仿宋" w:eastAsia="仿宋" w:cs="Times New Roman"/>
          <w:color w:val="auto"/>
          <w:kern w:val="2"/>
          <w:sz w:val="32"/>
          <w:szCs w:val="32"/>
          <w:lang w:val="zh-CN" w:eastAsia="zh-CN" w:bidi="ar-SA"/>
        </w:rPr>
        <w:t>根据《峨边彝族自治县财政局 关于开展20</w:t>
      </w:r>
      <w:r>
        <w:rPr>
          <w:rFonts w:hint="eastAsia" w:ascii="仿宋" w:hAnsi="仿宋" w:eastAsia="仿宋" w:cs="Times New Roman"/>
          <w:color w:val="auto"/>
          <w:kern w:val="2"/>
          <w:sz w:val="32"/>
          <w:szCs w:val="32"/>
          <w:lang w:val="en-US" w:eastAsia="zh-CN" w:bidi="ar-SA"/>
        </w:rPr>
        <w:t>22</w:t>
      </w:r>
      <w:r>
        <w:rPr>
          <w:rFonts w:hint="eastAsia" w:ascii="仿宋" w:hAnsi="仿宋" w:eastAsia="仿宋" w:cs="Times New Roman"/>
          <w:color w:val="auto"/>
          <w:kern w:val="2"/>
          <w:sz w:val="32"/>
          <w:szCs w:val="32"/>
          <w:lang w:val="zh-CN" w:eastAsia="zh-CN" w:bidi="ar-SA"/>
        </w:rPr>
        <w:t>年</w:t>
      </w:r>
      <w:r>
        <w:rPr>
          <w:rFonts w:hint="eastAsia" w:ascii="仿宋" w:hAnsi="仿宋" w:eastAsia="仿宋" w:cs="Times New Roman"/>
          <w:color w:val="auto"/>
          <w:kern w:val="2"/>
          <w:sz w:val="32"/>
          <w:szCs w:val="32"/>
          <w:lang w:val="en-US" w:eastAsia="zh-CN" w:bidi="ar-SA"/>
        </w:rPr>
        <w:t>度部门整体、项目支出预算绩效评价</w:t>
      </w:r>
      <w:r>
        <w:rPr>
          <w:rFonts w:hint="eastAsia" w:ascii="仿宋" w:hAnsi="仿宋" w:eastAsia="仿宋" w:cs="Times New Roman"/>
          <w:color w:val="auto"/>
          <w:kern w:val="2"/>
          <w:sz w:val="32"/>
          <w:szCs w:val="32"/>
          <w:lang w:val="zh-CN" w:eastAsia="zh-CN" w:bidi="ar-SA"/>
        </w:rPr>
        <w:t>工作的通知》文件精神，</w:t>
      </w:r>
      <w:r>
        <w:rPr>
          <w:rFonts w:hint="eastAsia" w:ascii="仿宋" w:hAnsi="仿宋" w:eastAsia="仿宋" w:cs="Times New Roman"/>
          <w:color w:val="auto"/>
          <w:kern w:val="2"/>
          <w:sz w:val="32"/>
          <w:szCs w:val="32"/>
          <w:lang w:val="en-US" w:eastAsia="zh-CN" w:bidi="ar-SA"/>
        </w:rPr>
        <w:t>我单位认真组织开展了部门整体绩效自评工作，绩效评价</w:t>
      </w:r>
      <w:r>
        <w:rPr>
          <w:rFonts w:hint="eastAsia" w:ascii="仿宋" w:hAnsi="仿宋" w:eastAsia="仿宋" w:cs="Times New Roman"/>
          <w:color w:val="auto"/>
          <w:kern w:val="2"/>
          <w:sz w:val="32"/>
          <w:szCs w:val="32"/>
          <w:lang w:val="zh-CN" w:eastAsia="zh-CN" w:bidi="ar-SA"/>
        </w:rPr>
        <w:t>得分：</w:t>
      </w:r>
      <w:r>
        <w:rPr>
          <w:rFonts w:hint="eastAsia" w:ascii="仿宋" w:hAnsi="仿宋" w:eastAsia="仿宋" w:cs="Times New Roman"/>
          <w:color w:val="auto"/>
          <w:kern w:val="2"/>
          <w:sz w:val="32"/>
          <w:szCs w:val="32"/>
          <w:lang w:val="en-US" w:eastAsia="zh-CN" w:bidi="ar-SA"/>
        </w:rPr>
        <w:t>97.5</w:t>
      </w:r>
      <w:r>
        <w:rPr>
          <w:rFonts w:hint="eastAsia" w:ascii="仿宋" w:hAnsi="仿宋" w:eastAsia="仿宋" w:cs="Times New Roman"/>
          <w:color w:val="auto"/>
          <w:kern w:val="2"/>
          <w:sz w:val="32"/>
          <w:szCs w:val="32"/>
          <w:lang w:val="zh-CN" w:eastAsia="zh-CN" w:bidi="ar-SA"/>
        </w:rPr>
        <w:t>分。</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r>
        <w:rPr>
          <w:rFonts w:hint="eastAsia" w:ascii="仿宋" w:hAnsi="仿宋" w:eastAsia="仿宋" w:cs="Times New Roman"/>
          <w:color w:val="auto"/>
          <w:sz w:val="32"/>
          <w:szCs w:val="32"/>
          <w:lang w:val="en-US" w:eastAsia="zh-CN"/>
        </w:rPr>
        <w:t>内部控制制度建设的完整性需进一步完善。</w:t>
      </w:r>
    </w:p>
    <w:p>
      <w:pPr>
        <w:widowControl/>
        <w:adjustRightInd w:val="0"/>
        <w:snapToGrid w:val="0"/>
        <w:spacing w:line="580" w:lineRule="exact"/>
        <w:ind w:firstLine="640" w:firstLineChars="200"/>
        <w:contextualSpacing/>
        <w:jc w:val="left"/>
        <w:rPr>
          <w:rFonts w:hint="eastAsia" w:ascii="仿宋" w:hAnsi="仿宋" w:eastAsia="仿宋" w:cs="Times New Roman"/>
          <w:color w:val="auto"/>
          <w:sz w:val="32"/>
          <w:szCs w:val="32"/>
          <w:lang w:val="zh-CN" w:eastAsia="zh-CN"/>
        </w:rPr>
      </w:pPr>
      <w:r>
        <w:rPr>
          <w:rFonts w:hint="eastAsia" w:ascii="楷体_GB2312" w:hAnsi="宋体" w:eastAsia="楷体_GB2312" w:cs="宋体"/>
          <w:color w:val="000000"/>
          <w:kern w:val="0"/>
          <w:szCs w:val="32"/>
          <w:shd w:val="clear" w:color="auto" w:fill="FFFFFF"/>
          <w:lang w:val="zh-CN"/>
        </w:rPr>
        <w:t>（三）改进建议。</w:t>
      </w:r>
      <w:r>
        <w:rPr>
          <w:rFonts w:hint="eastAsia" w:ascii="仿宋" w:hAnsi="仿宋" w:eastAsia="仿宋" w:cs="Times New Roman"/>
          <w:color w:val="auto"/>
          <w:sz w:val="32"/>
          <w:szCs w:val="32"/>
          <w:lang w:val="en-US" w:eastAsia="zh-CN"/>
        </w:rPr>
        <w:t>严格按照制度规定，建立完善好内部控制制度。</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p>
      <w:pPr>
        <w:pStyle w:val="2"/>
        <w:rPr>
          <w:rFonts w:hint="eastAsia" w:ascii="仿宋" w:hAnsi="仿宋" w:eastAsia="仿宋" w:cs="Times New Roman"/>
          <w:color w:val="auto"/>
          <w:kern w:val="2"/>
          <w:sz w:val="32"/>
          <w:szCs w:val="32"/>
          <w:lang w:val="zh-CN" w:eastAsia="zh-CN" w:bidi="ar-SA"/>
        </w:rPr>
      </w:pPr>
    </w:p>
    <w:p>
      <w:pPr>
        <w:widowControl/>
        <w:numPr>
          <w:ilvl w:val="0"/>
          <w:numId w:val="0"/>
        </w:numPr>
        <w:wordWrap w:val="0"/>
        <w:adjustRightInd w:val="0"/>
        <w:snapToGrid w:val="0"/>
        <w:spacing w:line="580" w:lineRule="exact"/>
        <w:contextualSpacing/>
        <w:jc w:val="right"/>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 xml:space="preserve">中共峨边彝族自治县委政法委员会    </w:t>
      </w:r>
    </w:p>
    <w:p>
      <w:pPr>
        <w:widowControl/>
        <w:numPr>
          <w:ilvl w:val="0"/>
          <w:numId w:val="0"/>
        </w:numPr>
        <w:wordWrap w:val="0"/>
        <w:adjustRightInd w:val="0"/>
        <w:snapToGrid w:val="0"/>
        <w:spacing w:line="580" w:lineRule="exact"/>
        <w:contextualSpacing/>
        <w:jc w:val="right"/>
        <w:rPr>
          <w:rFonts w:hint="default" w:ascii="仿宋_GB2312" w:hAnsi="宋体" w:cs="宋体"/>
          <w:color w:val="000000"/>
          <w:kern w:val="0"/>
          <w:szCs w:val="32"/>
          <w:shd w:val="clear" w:color="auto" w:fill="FFFFFF"/>
          <w:lang w:val="en-US" w:eastAsia="zh-CN"/>
        </w:rPr>
      </w:pPr>
      <w:r>
        <w:rPr>
          <w:rFonts w:hint="eastAsia" w:ascii="仿宋" w:hAnsi="仿宋" w:eastAsia="仿宋" w:cs="Times New Roman"/>
          <w:color w:val="auto"/>
          <w:kern w:val="2"/>
          <w:sz w:val="32"/>
          <w:szCs w:val="32"/>
          <w:lang w:val="en-US" w:eastAsia="zh-CN" w:bidi="ar-SA"/>
        </w:rPr>
        <w:t xml:space="preserve">                               2022年7月23日 </w:t>
      </w:r>
      <w:r>
        <w:rPr>
          <w:rFonts w:hint="eastAsia" w:ascii="仿宋_GB2312" w:hAnsi="宋体" w:cs="宋体"/>
          <w:color w:val="000000"/>
          <w:kern w:val="0"/>
          <w:szCs w:val="32"/>
          <w:shd w:val="clear" w:color="auto" w:fill="FFFFFF"/>
          <w:lang w:val="en-US" w:eastAsia="zh-CN"/>
        </w:rPr>
        <w:t xml:space="preserve">         </w:t>
      </w:r>
    </w:p>
    <w:p>
      <w:pPr>
        <w:rPr>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7"/>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FA12CB"/>
    <w:multiLevelType w:val="singleLevel"/>
    <w:tmpl w:val="66FA12C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WUxNjFmMzVhYmRmMjFjZDYxYzZmMDA5NjI2ZjA5Z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56C236A"/>
    <w:rsid w:val="18D17537"/>
    <w:rsid w:val="19927F78"/>
    <w:rsid w:val="21AE59D8"/>
    <w:rsid w:val="2445713A"/>
    <w:rsid w:val="286F56EA"/>
    <w:rsid w:val="2D527252"/>
    <w:rsid w:val="2E2C3101"/>
    <w:rsid w:val="329102D6"/>
    <w:rsid w:val="3591030B"/>
    <w:rsid w:val="3A9520B3"/>
    <w:rsid w:val="3DE562B7"/>
    <w:rsid w:val="3E6507EA"/>
    <w:rsid w:val="40BC6A06"/>
    <w:rsid w:val="47550EBA"/>
    <w:rsid w:val="478942C3"/>
    <w:rsid w:val="50BB3388"/>
    <w:rsid w:val="60336F6B"/>
    <w:rsid w:val="61FE79B0"/>
    <w:rsid w:val="6636451A"/>
    <w:rsid w:val="6BE9411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semiHidden="0"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0" w:semiHidden="0"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2">
    <w:name w:val="Default Paragraph Font"/>
    <w:unhideWhenUsed/>
    <w:uiPriority w:val="1"/>
  </w:style>
  <w:style w:type="table" w:default="1" w:styleId="10">
    <w:name w:val="Normal Table"/>
    <w:unhideWhenUsed/>
    <w:uiPriority w:val="99"/>
    <w:tblPr>
      <w:tblCellMar>
        <w:top w:w="0" w:type="dxa"/>
        <w:left w:w="108" w:type="dxa"/>
        <w:bottom w:w="0" w:type="dxa"/>
        <w:right w:w="108" w:type="dxa"/>
      </w:tblCellMar>
    </w:tblPr>
  </w:style>
  <w:style w:type="paragraph" w:styleId="2">
    <w:name w:val="Body Text Indent 2"/>
    <w:next w:val="1"/>
    <w:qFormat/>
    <w:locked/>
    <w:uiPriority w:val="0"/>
    <w:pPr>
      <w:widowControl w:val="0"/>
      <w:spacing w:beforeAutospacing="1" w:line="480" w:lineRule="auto"/>
      <w:ind w:left="420" w:leftChars="200"/>
      <w:jc w:val="both"/>
    </w:pPr>
    <w:rPr>
      <w:rFonts w:ascii="Calibri" w:hAnsi="Calibri" w:eastAsia="宋体" w:cs="Times New Roman"/>
      <w:kern w:val="2"/>
      <w:sz w:val="21"/>
      <w:szCs w:val="24"/>
      <w:lang w:val="en-US" w:eastAsia="zh-CN" w:bidi="ar-SA"/>
    </w:rPr>
  </w:style>
  <w:style w:type="paragraph" w:styleId="3">
    <w:name w:val="Document Map"/>
    <w:basedOn w:val="1"/>
    <w:link w:val="15"/>
    <w:qFormat/>
    <w:uiPriority w:val="99"/>
    <w:rPr>
      <w:rFonts w:ascii="宋体"/>
      <w:sz w:val="18"/>
      <w:szCs w:val="18"/>
    </w:rPr>
  </w:style>
  <w:style w:type="paragraph" w:styleId="4">
    <w:name w:val="annotation text"/>
    <w:basedOn w:val="1"/>
    <w:semiHidden/>
    <w:unhideWhenUsed/>
    <w:qFormat/>
    <w:locked/>
    <w:uiPriority w:val="99"/>
    <w:pPr>
      <w:jc w:val="left"/>
    </w:pPr>
  </w:style>
  <w:style w:type="paragraph" w:styleId="5">
    <w:name w:val="Body Text"/>
    <w:basedOn w:val="1"/>
    <w:qFormat/>
    <w:locked/>
    <w:uiPriority w:val="0"/>
    <w:rPr>
      <w:sz w:val="24"/>
    </w:rPr>
  </w:style>
  <w:style w:type="paragraph" w:styleId="6">
    <w:name w:val="Balloon Text"/>
    <w:basedOn w:val="1"/>
    <w:link w:val="16"/>
    <w:semiHidden/>
    <w:qFormat/>
    <w:uiPriority w:val="99"/>
    <w:rPr>
      <w:sz w:val="18"/>
      <w:szCs w:val="18"/>
    </w:rPr>
  </w:style>
  <w:style w:type="paragraph" w:styleId="7">
    <w:name w:val="footer"/>
    <w:basedOn w:val="1"/>
    <w:link w:val="17"/>
    <w:qFormat/>
    <w:uiPriority w:val="99"/>
    <w:pPr>
      <w:tabs>
        <w:tab w:val="center" w:pos="4153"/>
        <w:tab w:val="right" w:pos="8306"/>
      </w:tabs>
      <w:snapToGrid w:val="0"/>
      <w:jc w:val="left"/>
    </w:pPr>
    <w:rPr>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locked/>
    <w:uiPriority w:val="10"/>
    <w:pPr>
      <w:spacing w:line="600" w:lineRule="exact"/>
      <w:jc w:val="center"/>
      <w:outlineLvl w:val="0"/>
    </w:pPr>
    <w:rPr>
      <w:rFonts w:eastAsia="方正小标宋_GBK"/>
      <w:bCs/>
      <w:sz w:val="44"/>
      <w:szCs w:val="32"/>
    </w:rPr>
  </w:style>
  <w:style w:type="table" w:styleId="11">
    <w:name w:val="Table Grid"/>
    <w:basedOn w:val="1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qFormat/>
    <w:uiPriority w:val="99"/>
    <w:rPr>
      <w:rFonts w:cs="Times New Roman"/>
    </w:rPr>
  </w:style>
  <w:style w:type="character" w:styleId="14">
    <w:name w:val="Emphasis"/>
    <w:basedOn w:val="12"/>
    <w:qFormat/>
    <w:locked/>
    <w:uiPriority w:val="20"/>
  </w:style>
  <w:style w:type="character" w:customStyle="1" w:styleId="15">
    <w:name w:val="文档结构图 Char"/>
    <w:link w:val="3"/>
    <w:qFormat/>
    <w:locked/>
    <w:uiPriority w:val="99"/>
    <w:rPr>
      <w:rFonts w:ascii="宋体" w:cs="Times New Roman"/>
      <w:kern w:val="2"/>
      <w:sz w:val="18"/>
      <w:szCs w:val="18"/>
    </w:rPr>
  </w:style>
  <w:style w:type="character" w:customStyle="1" w:styleId="16">
    <w:name w:val="批注框文本 Char"/>
    <w:link w:val="6"/>
    <w:semiHidden/>
    <w:qFormat/>
    <w:locked/>
    <w:uiPriority w:val="99"/>
    <w:rPr>
      <w:rFonts w:cs="Times New Roman"/>
      <w:sz w:val="2"/>
    </w:rPr>
  </w:style>
  <w:style w:type="character" w:customStyle="1" w:styleId="17">
    <w:name w:val="页脚 Char"/>
    <w:link w:val="7"/>
    <w:qFormat/>
    <w:locked/>
    <w:uiPriority w:val="99"/>
    <w:rPr>
      <w:rFonts w:cs="Times New Roman"/>
      <w:kern w:val="2"/>
      <w:sz w:val="18"/>
      <w:szCs w:val="18"/>
    </w:rPr>
  </w:style>
  <w:style w:type="character" w:customStyle="1" w:styleId="18">
    <w:name w:val="页眉 Char"/>
    <w:link w:val="8"/>
    <w:semiHidden/>
    <w:qFormat/>
    <w:locked/>
    <w:uiPriority w:val="99"/>
    <w:rPr>
      <w:rFonts w:cs="Times New Roman"/>
      <w:sz w:val="18"/>
      <w:szCs w:val="18"/>
    </w:rPr>
  </w:style>
  <w:style w:type="paragraph" w:customStyle="1" w:styleId="19">
    <w:name w:val="四号正文"/>
    <w:basedOn w:val="1"/>
    <w:link w:val="20"/>
    <w:qFormat/>
    <w:uiPriority w:val="99"/>
    <w:pPr>
      <w:spacing w:line="360" w:lineRule="auto"/>
    </w:pPr>
    <w:rPr>
      <w:rFonts w:ascii="??" w:hAnsi="??" w:cs="宋体"/>
      <w:color w:val="000000"/>
      <w:kern w:val="0"/>
      <w:sz w:val="28"/>
      <w:szCs w:val="21"/>
    </w:rPr>
  </w:style>
  <w:style w:type="character" w:customStyle="1" w:styleId="20">
    <w:name w:val="四号正文 Char"/>
    <w:link w:val="19"/>
    <w:qFormat/>
    <w:locked/>
    <w:uiPriority w:val="99"/>
    <w:rPr>
      <w:rFonts w:ascii="??" w:hAnsi="??" w:eastAsia="宋体" w:cs="宋体"/>
      <w:color w:val="000000"/>
      <w:sz w:val="21"/>
      <w:szCs w:val="21"/>
      <w:lang w:val="en-US" w:eastAsia="zh-CN" w:bidi="ar-SA"/>
    </w:rPr>
  </w:style>
  <w:style w:type="paragraph" w:customStyle="1" w:styleId="21">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5</TotalTime>
  <ScaleCrop>false</ScaleCrop>
  <LinksUpToDate>false</LinksUpToDate>
  <CharactersWithSpaces>423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2023-07-24T01:49:00Z</cp:lastPrinted>
  <dcterms:modified xsi:type="dcterms:W3CDTF">2023-07-25T01:33:42Z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53B7F86B27C64309879EEE75FFE498EF</vt:lpwstr>
  </property>
</Properties>
</file>