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（网格及设备更新(按实））</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60" w:lineRule="exact"/>
        <w:ind w:firstLine="720"/>
        <w:rPr>
          <w:rFonts w:ascii="仿宋_GB2312" w:hAnsi="宋体"/>
          <w:lang w:val="zh-CN"/>
        </w:rPr>
      </w:pPr>
      <w:r>
        <w:rPr>
          <w:rFonts w:hint="eastAsia" w:ascii="仿宋_GB2312" w:hAnsi="宋体"/>
          <w:lang w:val="zh-CN"/>
        </w:rPr>
        <w:t>1．</w:t>
      </w:r>
      <w:r>
        <w:rPr>
          <w:rFonts w:hint="eastAsia" w:ascii="仿宋_GB2312" w:hAnsi="宋体"/>
          <w:lang w:val="en-US" w:eastAsia="zh-CN"/>
        </w:rPr>
        <w:t>当前，信息技术政治深刻影响和改变着我国的经济社会生活，也给深化平安建设、加强社会管理提供了新的条件和手段。加强以信息化为支撑的的网格化和综治信息化为支撑的网格化管理和综治信息化建设，对实现资源整合、力量协调、工作统筹，推动更高层次、更高水平的平安建设和社会管理意义重大。</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adjustRightInd w:val="0"/>
        <w:snapToGrid w:val="0"/>
        <w:spacing w:line="560" w:lineRule="exact"/>
        <w:ind w:firstLine="720"/>
        <w:rPr>
          <w:rFonts w:ascii="仿宋_GB2312" w:hAnsi="宋体"/>
          <w:lang w:val="zh-CN"/>
        </w:rPr>
      </w:pPr>
      <w:r>
        <w:rPr>
          <w:rFonts w:hint="eastAsia" w:ascii="仿宋_GB2312" w:hAnsi="宋体"/>
          <w:lang w:val="en-US" w:eastAsia="zh-CN"/>
        </w:rPr>
        <w:t>该项目的实施保障全县130个网格员手机终端及电脑PC端的正常运行。</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lang w:val="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项目实施严格有专人领导负责实施，保证项目的实施过程中严格把控项目的质量和不利因素的发生</w:t>
      </w:r>
      <w:r>
        <w:rPr>
          <w:rFonts w:hint="eastAsia" w:ascii="仿宋_GB2312" w:hAnsi="仿宋_GB2312" w:cs="仿宋_GB2312"/>
          <w:sz w:val="32"/>
          <w:szCs w:val="32"/>
          <w:lang w:eastAsia="zh-CN"/>
        </w:rPr>
        <w:t>。</w:t>
      </w:r>
    </w:p>
    <w:p>
      <w:pPr>
        <w:numPr>
          <w:ilvl w:val="0"/>
          <w:numId w:val="0"/>
        </w:numPr>
        <w:adjustRightInd w:val="0"/>
        <w:snapToGrid w:val="0"/>
        <w:spacing w:line="600" w:lineRule="exact"/>
        <w:ind w:firstLine="640"/>
        <w:rPr>
          <w:rFonts w:hint="eastAsia" w:ascii="仿宋_GB2312" w:hAnsi="宋体"/>
          <w:lang w:val="zh-CN"/>
        </w:rPr>
      </w:pPr>
      <w:r>
        <w:rPr>
          <w:rFonts w:hint="eastAsia" w:ascii="仿宋_GB2312" w:hAnsi="宋体"/>
          <w:lang w:val="zh-CN"/>
        </w:rPr>
        <w:t>4．资金分配的原则及考虑因素。</w:t>
      </w:r>
    </w:p>
    <w:p>
      <w:pPr>
        <w:adjustRightInd w:val="0"/>
        <w:snapToGrid w:val="0"/>
        <w:spacing w:line="580" w:lineRule="exact"/>
        <w:ind w:firstLine="480" w:firstLineChars="150"/>
        <w:rPr>
          <w:lang w:val="zh-CN"/>
        </w:rPr>
      </w:pPr>
      <w:r>
        <w:rPr>
          <w:rFonts w:hint="eastAsia" w:ascii="仿宋_GB2312" w:hAnsi="仿宋_GB2312" w:eastAsia="仿宋_GB2312" w:cs="仿宋_GB2312"/>
          <w:sz w:val="32"/>
          <w:szCs w:val="32"/>
          <w:lang w:eastAsia="zh-CN"/>
        </w:rPr>
        <w:t>资金严格按照预算支出专款专用，考虑到项目预算一系列开支未精确到细枝末节，我局妥善按比例从项目支出。</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eastAsia="仿宋_GB2312" w:cs="Times New Roman"/>
          <w:b w:val="0"/>
          <w:kern w:val="2"/>
          <w:sz w:val="32"/>
          <w:szCs w:val="32"/>
          <w:lang w:val="zh-CN" w:eastAsia="zh-CN" w:bidi="ar-SA"/>
        </w:rPr>
      </w:pPr>
      <w:r>
        <w:rPr>
          <w:rFonts w:hint="eastAsia" w:ascii="仿宋_GB2312" w:hAnsi="宋体" w:eastAsia="仿宋_GB2312" w:cs="Times New Roman"/>
          <w:b w:val="0"/>
          <w:kern w:val="2"/>
          <w:sz w:val="32"/>
          <w:szCs w:val="32"/>
          <w:lang w:val="en-US" w:eastAsia="zh-CN" w:bidi="ar-SA"/>
        </w:rPr>
        <w:t>该项目的实施保障全县130个网格员手机终端及电脑PC端的正常运行。</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numPr>
          <w:ilvl w:val="0"/>
          <w:numId w:val="0"/>
        </w:numPr>
        <w:adjustRightInd w:val="0"/>
        <w:snapToGrid w:val="0"/>
        <w:spacing w:line="560" w:lineRule="exact"/>
        <w:ind w:firstLine="640" w:firstLineChars="200"/>
        <w:rPr>
          <w:rFonts w:hint="eastAsia" w:eastAsia="仿宋_GB231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通过</w:t>
      </w:r>
      <w:r>
        <w:rPr>
          <w:rFonts w:hint="eastAsia" w:ascii="仿宋_GB2312" w:hAnsi="仿宋_GB2312" w:cs="仿宋_GB2312"/>
          <w:sz w:val="32"/>
          <w:szCs w:val="32"/>
          <w:lang w:val="en-US" w:eastAsia="zh-CN"/>
        </w:rPr>
        <w:t>峨边县</w:t>
      </w:r>
      <w:r>
        <w:rPr>
          <w:rFonts w:hint="eastAsia" w:ascii="仿宋_GB2312" w:hAnsi="宋体" w:eastAsia="仿宋_GB2312"/>
          <w:color w:val="auto"/>
          <w:kern w:val="2"/>
          <w:sz w:val="32"/>
          <w:szCs w:val="32"/>
        </w:rPr>
        <w:t>网格及设备更新</w:t>
      </w:r>
      <w:r>
        <w:rPr>
          <w:rFonts w:hint="eastAsia" w:ascii="仿宋_GB2312" w:hAnsi="宋体"/>
          <w:color w:val="auto"/>
          <w:kern w:val="2"/>
          <w:sz w:val="32"/>
          <w:szCs w:val="32"/>
          <w:lang w:val="en-US" w:eastAsia="zh-CN"/>
        </w:rPr>
        <w:t>项目资金的使用和效益情况开展财政重点绩效评价，加强支出管理，强化支出责任，评估投入产出效果，确定投入的重点和方向。根据绩效评价中发现的问题，规范项目管理，加强财务管理，提高财政资金使用效益。</w:t>
      </w:r>
    </w:p>
    <w:p>
      <w:pPr>
        <w:numPr>
          <w:ilvl w:val="0"/>
          <w:numId w:val="2"/>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720"/>
        <w:rPr>
          <w:lang w:val="zh-CN"/>
        </w:rPr>
      </w:pPr>
      <w:r>
        <w:rPr>
          <w:rFonts w:hint="eastAsia" w:ascii="仿宋_GB2312" w:hAnsi="宋体"/>
          <w:lang w:val="zh-CN"/>
        </w:rPr>
        <w:t>分析评价申报内容与实际相符，申报目标是合理可行的。</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i w:val="0"/>
          <w:caps w:val="0"/>
          <w:color w:val="000000"/>
          <w:spacing w:val="0"/>
          <w:sz w:val="32"/>
          <w:szCs w:val="32"/>
          <w:shd w:val="clear" w:color="auto" w:fill="FFFFFF"/>
        </w:rPr>
      </w:pP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numPr>
          <w:ilvl w:val="0"/>
          <w:numId w:val="0"/>
        </w:numPr>
        <w:adjustRightInd w:val="0"/>
        <w:snapToGrid w:val="0"/>
        <w:spacing w:line="560" w:lineRule="exact"/>
        <w:ind w:firstLine="640" w:firstLineChars="200"/>
        <w:rPr>
          <w:rFonts w:hint="eastAsia"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adjustRightInd w:val="0"/>
        <w:snapToGrid w:val="0"/>
        <w:spacing w:line="560" w:lineRule="exact"/>
        <w:ind w:firstLine="640" w:firstLineChars="200"/>
        <w:rPr>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36.1</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36.1</w:t>
      </w:r>
      <w:r>
        <w:rPr>
          <w:rFonts w:hint="eastAsia" w:ascii="仿宋_GB2312" w:hAnsi="仿宋_GB2312" w:eastAsia="仿宋_GB2312" w:cs="仿宋_GB2312"/>
          <w:sz w:val="32"/>
          <w:szCs w:val="32"/>
          <w:lang w:val="zh-CN"/>
        </w:rPr>
        <w:t>万。</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eastAsia="仿宋_GB2312"/>
          <w:color w:val="auto"/>
          <w:kern w:val="2"/>
          <w:sz w:val="32"/>
          <w:szCs w:val="32"/>
        </w:rPr>
        <w:t>网格及设备更新</w:t>
      </w:r>
      <w:r>
        <w:rPr>
          <w:rFonts w:hint="eastAsia" w:ascii="仿宋_GB2312" w:hAnsi="宋体"/>
          <w:lang w:val="en-US" w:eastAsia="zh-CN"/>
        </w:rPr>
        <w:t>工作经费</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u w:val="none"/>
          <w:lang w:val="en-US" w:eastAsia="zh-CN"/>
        </w:rPr>
        <w:t>36.1</w:t>
      </w:r>
      <w:r>
        <w:rPr>
          <w:rFonts w:hint="eastAsia" w:ascii="仿宋_GB2312" w:hAnsi="宋体"/>
          <w:lang w:val="en-US" w:eastAsia="zh-CN"/>
        </w:rPr>
        <w:t>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2022年12月31日，目在</w:t>
      </w:r>
      <w:r>
        <w:rPr>
          <w:rFonts w:hint="eastAsia" w:ascii="仿宋_GB2312" w:hAnsi="宋体"/>
          <w:lang w:val="zh-CN"/>
        </w:rPr>
        <w:t>资金到位</w:t>
      </w:r>
      <w:r>
        <w:rPr>
          <w:rFonts w:hint="eastAsia" w:ascii="仿宋_GB2312" w:hAnsi="宋体"/>
          <w:u w:val="none"/>
          <w:lang w:val="en-US" w:eastAsia="zh-CN"/>
        </w:rPr>
        <w:t>36.1</w:t>
      </w:r>
      <w:r>
        <w:rPr>
          <w:rFonts w:hint="eastAsia" w:ascii="仿宋_GB2312" w:hAnsi="宋体"/>
          <w:lang w:val="en-US" w:eastAsia="zh-CN"/>
        </w:rPr>
        <w:t>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100</w:t>
      </w:r>
      <w:bookmarkStart w:id="0" w:name="_GoBack"/>
      <w:bookmarkEnd w:id="0"/>
      <w:r>
        <w:rPr>
          <w:rFonts w:hint="eastAsia" w:ascii="仿宋_GB2312" w:hAnsi="宋体"/>
          <w:lang w:val="en-US"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en-US" w:eastAsia="zh-CN"/>
        </w:rPr>
        <w:t>网格及设备更新工作经费</w:t>
      </w:r>
      <w:r>
        <w:rPr>
          <w:rFonts w:hint="eastAsia" w:ascii="仿宋_GB2312" w:hAnsi="宋体"/>
          <w:u w:val="none"/>
          <w:lang w:val="en-US" w:eastAsia="zh-CN"/>
        </w:rPr>
        <w:t>项目</w:t>
      </w:r>
      <w:r>
        <w:rPr>
          <w:rFonts w:hint="eastAsia" w:ascii="仿宋_GB2312" w:hAnsi="仿宋_GB2312" w:eastAsia="仿宋_GB2312" w:cs="仿宋_GB2312"/>
          <w:b w:val="0"/>
          <w:i w:val="0"/>
          <w:caps w:val="0"/>
          <w:color w:val="000000"/>
          <w:spacing w:val="0"/>
          <w:sz w:val="32"/>
          <w:szCs w:val="32"/>
          <w:shd w:val="clear" w:color="auto" w:fill="FFFFFF"/>
        </w:rPr>
        <w:t>经费采取授权支付形式，由财政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3"/>
        </w:numPr>
        <w:adjustRightInd w:val="0"/>
        <w:snapToGrid w:val="0"/>
        <w:spacing w:line="600" w:lineRule="exact"/>
        <w:ind w:firstLine="720"/>
        <w:rPr>
          <w:rFonts w:hint="eastAsia" w:ascii="楷体_GB2312" w:hAnsi="宋体" w:eastAsia="楷体_GB2312"/>
          <w:b w:val="0"/>
          <w:bCs/>
          <w:lang w:val="en-US" w:eastAsia="zh-CN"/>
        </w:rPr>
      </w:pPr>
      <w:r>
        <w:rPr>
          <w:rFonts w:hint="eastAsia" w:ascii="楷体_GB2312" w:hAnsi="宋体" w:eastAsia="楷体_GB2312"/>
          <w:b/>
          <w:lang w:val="zh-CN"/>
        </w:rPr>
        <w:t>项目组织架构及实施流程。</w:t>
      </w:r>
    </w:p>
    <w:p>
      <w:pPr>
        <w:numPr>
          <w:ilvl w:val="0"/>
          <w:numId w:val="0"/>
        </w:numPr>
        <w:adjustRightInd w:val="0"/>
        <w:snapToGrid w:val="0"/>
        <w:spacing w:line="600" w:lineRule="exact"/>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lang w:val="zh-CN"/>
        </w:rPr>
      </w:pPr>
      <w:r>
        <w:rPr>
          <w:rFonts w:hint="eastAsia" w:ascii="楷体_GB2312" w:hAnsi="宋体" w:eastAsia="楷体_GB2312"/>
          <w:b w:val="0"/>
          <w:bCs/>
          <w:lang w:val="en-US" w:eastAsia="zh-CN"/>
        </w:rPr>
        <w:t xml:space="preserve">    3、由财政局对口股室审核通过。</w:t>
      </w:r>
    </w:p>
    <w:p>
      <w:pPr>
        <w:numPr>
          <w:ilvl w:val="0"/>
          <w:numId w:val="3"/>
        </w:numPr>
        <w:adjustRightInd w:val="0"/>
        <w:snapToGrid w:val="0"/>
        <w:spacing w:line="600" w:lineRule="exact"/>
        <w:ind w:firstLine="720" w:firstLineChars="0"/>
        <w:rPr>
          <w:rFonts w:hint="eastAsia" w:ascii="楷体_GB2312" w:hAnsi="宋体" w:eastAsia="楷体_GB2312"/>
          <w:b/>
          <w:lang w:val="zh-CN"/>
        </w:rPr>
      </w:pPr>
      <w:r>
        <w:rPr>
          <w:rFonts w:hint="eastAsia" w:ascii="楷体_GB2312" w:hAnsi="宋体" w:eastAsia="楷体_GB2312"/>
          <w:b/>
          <w:lang w:val="zh-CN"/>
        </w:rPr>
        <w:t>项目管理情况。</w:t>
      </w:r>
    </w:p>
    <w:p>
      <w:pPr>
        <w:numPr>
          <w:ilvl w:val="0"/>
          <w:numId w:val="0"/>
        </w:numPr>
        <w:adjustRightInd w:val="0"/>
        <w:snapToGrid w:val="0"/>
        <w:spacing w:line="600" w:lineRule="exact"/>
        <w:rPr>
          <w:rFonts w:hint="eastAsia" w:ascii="楷体_GB2312" w:hAnsi="宋体" w:eastAsia="楷体_GB2312"/>
          <w:b/>
          <w:lang w:val="en-US" w:eastAsia="zh-CN"/>
        </w:rPr>
      </w:pPr>
      <w:r>
        <w:rPr>
          <w:rFonts w:hint="eastAsia" w:ascii="仿宋_GB2312" w:hAnsi="仿宋_GB2312" w:cs="仿宋_GB2312"/>
          <w:lang w:val="en-US" w:eastAsia="zh-CN"/>
        </w:rPr>
        <w:t xml:space="preserve">    </w:t>
      </w:r>
      <w:r>
        <w:rPr>
          <w:rFonts w:hint="eastAsia" w:ascii="仿宋_GB2312" w:hAnsi="仿宋_GB2312" w:eastAsia="仿宋_GB2312" w:cs="仿宋_GB2312"/>
          <w:lang w:eastAsia="zh-CN"/>
        </w:rPr>
        <w:t>根据</w:t>
      </w:r>
      <w:r>
        <w:rPr>
          <w:rFonts w:hint="eastAsia" w:ascii="仿宋_GB2312" w:hAnsi="仿宋_GB2312" w:cs="仿宋_GB2312"/>
          <w:lang w:eastAsia="zh-CN"/>
        </w:rPr>
        <w:t>项目资金使用要求，严格项目实施可行性和审核程序。</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zh-CN"/>
        </w:rPr>
      </w:pPr>
      <w:r>
        <w:rPr>
          <w:rFonts w:hint="eastAsia" w:ascii="楷体_GB2312" w:hAnsi="宋体" w:eastAsia="楷体_GB2312"/>
          <w:b/>
          <w:lang w:val="en-US" w:eastAsia="zh-CN"/>
        </w:rPr>
        <w:t xml:space="preserve">    （三）</w:t>
      </w: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（一）项目决策</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zh-CN"/>
        </w:rPr>
        <w:t>项目根据社会必要性、可行性、明确性、合理性进行决策。</w:t>
      </w:r>
    </w:p>
    <w:p>
      <w:pPr>
        <w:keepNext w:val="0"/>
        <w:keepLines w:val="0"/>
        <w:pageBreakBefore w:val="0"/>
        <w:numPr>
          <w:ilvl w:val="0"/>
          <w:numId w:val="4"/>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en-US" w:eastAsia="zh-CN"/>
        </w:rPr>
      </w:pPr>
      <w:r>
        <w:rPr>
          <w:rFonts w:hint="eastAsia" w:ascii="楷体_GB2312" w:hAnsi="宋体" w:eastAsia="楷体_GB2312"/>
          <w:b/>
          <w:lang w:val="en-US" w:eastAsia="zh-CN"/>
        </w:rPr>
        <w:t>项目管理</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仿宋_GB2312" w:cs="仿宋_GB2312"/>
          <w:b w:val="0"/>
          <w:bCs/>
          <w:lang w:val="en-US" w:eastAsia="zh-CN"/>
        </w:rPr>
      </w:pPr>
      <w:r>
        <w:rPr>
          <w:rFonts w:hint="eastAsia" w:ascii="楷体_GB2312" w:hAnsi="宋体" w:eastAsia="楷体_GB2312"/>
          <w:b/>
          <w:lang w:val="en-US" w:eastAsia="zh-CN"/>
        </w:rPr>
        <w:t xml:space="preserve">   </w:t>
      </w:r>
      <w:r>
        <w:rPr>
          <w:rFonts w:hint="eastAsia" w:ascii="仿宋_GB2312" w:hAnsi="仿宋_GB2312" w:eastAsia="仿宋_GB2312" w:cs="仿宋_GB2312"/>
          <w:b w:val="0"/>
          <w:bCs/>
          <w:lang w:val="en-US" w:eastAsia="zh-CN"/>
        </w:rPr>
        <w:t xml:space="preserve"> </w:t>
      </w: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en-US" w:eastAsia="zh-CN"/>
        </w:rPr>
        <w:t>项目在资金分配</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资金使用</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执行规范</w:t>
      </w:r>
      <w:r>
        <w:rPr>
          <w:rFonts w:hint="eastAsia" w:ascii="仿宋_GB2312" w:hAnsi="仿宋_GB2312" w:cs="仿宋_GB2312"/>
          <w:b w:val="0"/>
          <w:bCs/>
          <w:lang w:val="en-US" w:eastAsia="zh-CN"/>
        </w:rPr>
        <w:t>严格按照财经法和预算法进行运转。</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仿宋_GB2312" w:hAnsi="仿宋_GB2312" w:cs="仿宋_GB2312"/>
          <w:b w:val="0"/>
          <w:bCs/>
          <w:lang w:val="en-US" w:eastAsia="zh-CN"/>
        </w:rPr>
        <w:t xml:space="preserve">     （三）</w:t>
      </w:r>
      <w:r>
        <w:rPr>
          <w:rFonts w:hint="eastAsia" w:ascii="楷体_GB2312" w:hAnsi="宋体" w:eastAsia="楷体_GB2312"/>
          <w:b/>
          <w:lang w:val="en-US" w:eastAsia="zh-CN"/>
        </w:rPr>
        <w:t>项目绩效</w:t>
      </w:r>
    </w:p>
    <w:p>
      <w:pPr>
        <w:widowControl/>
        <w:adjustRightInd w:val="0"/>
        <w:snapToGrid w:val="0"/>
        <w:spacing w:line="580" w:lineRule="exact"/>
        <w:ind w:firstLine="320" w:firstLineChars="100"/>
        <w:contextualSpacing/>
        <w:jc w:val="left"/>
        <w:rPr>
          <w:rFonts w:ascii="仿宋_GB2312" w:hAnsi="宋体"/>
          <w:lang w:val="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该项目的设立</w:t>
      </w:r>
      <w:r>
        <w:rPr>
          <w:rFonts w:hint="eastAsia" w:ascii="仿宋_GB2312" w:hAnsi="仿宋_GB2312" w:cs="仿宋_GB2312"/>
          <w:sz w:val="32"/>
          <w:szCs w:val="32"/>
          <w:lang w:eastAsia="zh-CN"/>
        </w:rPr>
        <w:t>保障了全县网格员工作顺利开展，为全县社会稳定保驾护航</w:t>
      </w:r>
      <w:r>
        <w:rPr>
          <w:rFonts w:hint="eastAsia" w:ascii="仿宋_GB2312" w:hAnsi="仿宋_GB2312" w:eastAsia="仿宋_GB2312" w:cs="仿宋_GB2312"/>
          <w:sz w:val="32"/>
          <w:szCs w:val="32"/>
          <w:lang w:eastAsia="zh-CN"/>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97</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无。</w:t>
      </w:r>
    </w:p>
    <w:p>
      <w:pPr>
        <w:widowControl/>
        <w:numPr>
          <w:ilvl w:val="0"/>
          <w:numId w:val="5"/>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adjustRightInd w:val="0"/>
        <w:snapToGrid w:val="0"/>
        <w:spacing w:line="600" w:lineRule="exact"/>
        <w:ind w:firstLine="720"/>
      </w:pPr>
      <w:r>
        <w:rPr>
          <w:rFonts w:hint="eastAsia" w:ascii="仿宋_GB2312" w:hAnsi="宋体" w:cs="宋体"/>
          <w:color w:val="000000"/>
          <w:kern w:val="0"/>
          <w:szCs w:val="32"/>
          <w:shd w:val="clear" w:color="auto" w:fill="FFFFFF"/>
          <w:lang w:val="en-US" w:eastAsia="zh-CN"/>
        </w:rPr>
        <w:t xml:space="preserve">    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7CE77"/>
    <w:multiLevelType w:val="singleLevel"/>
    <w:tmpl w:val="FC77CE77"/>
    <w:lvl w:ilvl="0" w:tentative="0">
      <w:start w:val="3"/>
      <w:numFmt w:val="chineseCounting"/>
      <w:suff w:val="nothing"/>
      <w:lvlText w:val="（%1）"/>
      <w:lvlJc w:val="left"/>
      <w:rPr>
        <w:rFonts w:hint="eastAsia"/>
      </w:rPr>
    </w:lvl>
  </w:abstractNum>
  <w:abstractNum w:abstractNumId="1">
    <w:nsid w:val="60DAE942"/>
    <w:multiLevelType w:val="singleLevel"/>
    <w:tmpl w:val="60DAE942"/>
    <w:lvl w:ilvl="0" w:tentative="0">
      <w:start w:val="2"/>
      <w:numFmt w:val="chineseCounting"/>
      <w:suff w:val="nothing"/>
      <w:lvlText w:val="（%1）"/>
      <w:lvlJc w:val="left"/>
    </w:lvl>
  </w:abstractNum>
  <w:abstractNum w:abstractNumId="2">
    <w:nsid w:val="6555C7E4"/>
    <w:multiLevelType w:val="singleLevel"/>
    <w:tmpl w:val="6555C7E4"/>
    <w:lvl w:ilvl="0" w:tentative="0">
      <w:start w:val="3"/>
      <w:numFmt w:val="decimal"/>
      <w:suff w:val="nothing"/>
      <w:lvlText w:val="%1．"/>
      <w:lvlJc w:val="left"/>
    </w:lvl>
  </w:abstractNum>
  <w:abstractNum w:abstractNumId="3">
    <w:nsid w:val="6555C843"/>
    <w:multiLevelType w:val="singleLevel"/>
    <w:tmpl w:val="6555C843"/>
    <w:lvl w:ilvl="0" w:tentative="0">
      <w:start w:val="2"/>
      <w:numFmt w:val="decimal"/>
      <w:suff w:val="nothing"/>
      <w:lvlText w:val="%1．"/>
      <w:lvlJc w:val="left"/>
    </w:lvl>
  </w:abstractNum>
  <w:abstractNum w:abstractNumId="4">
    <w:nsid w:val="6555C9A5"/>
    <w:multiLevelType w:val="singleLevel"/>
    <w:tmpl w:val="6555C9A5"/>
    <w:lvl w:ilvl="0" w:tentative="0">
      <w:start w:val="1"/>
      <w:numFmt w:val="chineseCounting"/>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03262CD"/>
    <w:rsid w:val="291C455A"/>
    <w:rsid w:val="2A502512"/>
    <w:rsid w:val="2DF555B5"/>
    <w:rsid w:val="36926D0C"/>
    <w:rsid w:val="414A628B"/>
    <w:rsid w:val="596D75CE"/>
    <w:rsid w:val="673E27F9"/>
    <w:rsid w:val="690E7CA8"/>
    <w:rsid w:val="6EF16389"/>
    <w:rsid w:val="74276058"/>
    <w:rsid w:val="79016D9C"/>
    <w:rsid w:val="7B23700B"/>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2023-11-16T09:51:14Z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