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8"/>
        <w:spacing w:line="60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综合治理、治安防控暨平安建设工作经费</w:t>
      </w:r>
      <w:r>
        <w:rPr>
          <w:rFonts w:hint="eastAsia" w:ascii="仿宋_GB2312" w:hAnsi="宋体" w:eastAsia="仿宋_GB2312"/>
          <w:color w:val="auto"/>
          <w:kern w:val="2"/>
          <w:sz w:val="32"/>
          <w:szCs w:val="32"/>
        </w:rPr>
        <w:t>）</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560" w:lineRule="exact"/>
        <w:ind w:firstLine="720"/>
        <w:rPr>
          <w:rFonts w:hint="eastAsia" w:ascii="仿宋_GB2312" w:hAnsi="宋体"/>
          <w:lang w:val="en-US" w:eastAsia="zh-CN"/>
        </w:rPr>
      </w:pPr>
      <w:r>
        <w:rPr>
          <w:rFonts w:hint="eastAsia" w:ascii="仿宋_GB2312" w:hAnsi="宋体"/>
          <w:lang w:val="en-US" w:eastAsia="zh-CN"/>
        </w:rPr>
        <w:t>社会治理治安防控暨平安建设项目是根据县委政法委的职能职责来组织、协调和推动各乡镇（社区）、各部门社会治安综合治理工作，全面确保全年全县社会大局安全稳定。</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numPr>
          <w:ilvl w:val="0"/>
          <w:numId w:val="0"/>
        </w:numPr>
        <w:adjustRightInd w:val="0"/>
        <w:snapToGrid w:val="0"/>
        <w:spacing w:line="560" w:lineRule="exact"/>
        <w:ind w:firstLine="64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为进一步强有力高质高效推进全县安全信访稳定工作，进一步提升人民群众的安全感、幸福感和获得感，确保全县政治政治大局持续平安和谐稳定，委全县经济社会高速发展提供坚实法治保障。</w:t>
      </w:r>
    </w:p>
    <w:p>
      <w:pPr>
        <w:numPr>
          <w:ilvl w:val="0"/>
          <w:numId w:val="0"/>
        </w:numPr>
        <w:adjustRightInd w:val="0"/>
        <w:snapToGrid w:val="0"/>
        <w:spacing w:line="560" w:lineRule="exact"/>
        <w:ind w:firstLine="64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项目应实现的具体绩效目标，包括目标的量化、细化情况以及项目实施进度计划等。                                                                                                                                                                                                                                                                                                                                                                                                                                                                                                                                                                                                                                                                                                                                                                                                                                                                                                                                                                                                                                                                                                                                                                                                                                                                                                                                                                                                                                                                                                                  </w:t>
      </w:r>
    </w:p>
    <w:p>
      <w:pPr>
        <w:numPr>
          <w:ilvl w:val="0"/>
          <w:numId w:val="0"/>
        </w:numPr>
        <w:adjustRightInd w:val="0"/>
        <w:snapToGrid w:val="0"/>
        <w:spacing w:line="560" w:lineRule="exact"/>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cs="仿宋_GB2312"/>
          <w:sz w:val="32"/>
          <w:szCs w:val="32"/>
          <w:lang w:val="en-US" w:eastAsia="zh-CN"/>
        </w:rPr>
        <w:t>分析评价申报内容是否与实际相符，申报目标是</w:t>
      </w:r>
      <w:r>
        <w:rPr>
          <w:rFonts w:hint="eastAsia" w:ascii="仿宋_GB2312" w:hAnsi="仿宋_GB2312" w:eastAsia="仿宋_GB2312" w:cs="仿宋_GB2312"/>
          <w:b w:val="0"/>
          <w:kern w:val="2"/>
          <w:sz w:val="32"/>
          <w:szCs w:val="32"/>
          <w:lang w:val="en-US" w:eastAsia="zh-CN" w:bidi="ar-SA"/>
        </w:rPr>
        <w:t>否合理可行。</w:t>
      </w:r>
    </w:p>
    <w:p>
      <w:pPr>
        <w:numPr>
          <w:ilvl w:val="0"/>
          <w:numId w:val="0"/>
        </w:numPr>
        <w:adjustRightInd w:val="0"/>
        <w:snapToGrid w:val="0"/>
        <w:spacing w:line="560" w:lineRule="exact"/>
        <w:ind w:firstLine="640"/>
        <w:rPr>
          <w:rFonts w:hint="default" w:ascii="仿宋_GB2312" w:hAnsi="仿宋_GB2312" w:eastAsia="仿宋_GB2312" w:cs="仿宋_GB2312"/>
          <w:b w:val="0"/>
          <w:kern w:val="2"/>
          <w:sz w:val="32"/>
          <w:szCs w:val="32"/>
          <w:lang w:val="en-US" w:eastAsia="zh-CN" w:bidi="ar-SA"/>
        </w:rPr>
      </w:pPr>
      <w:r>
        <w:rPr>
          <w:rFonts w:hint="eastAsia" w:ascii="仿宋_GB2312" w:hAnsi="仿宋_GB2312" w:cs="仿宋_GB2312"/>
          <w:b w:val="0"/>
          <w:kern w:val="2"/>
          <w:sz w:val="32"/>
          <w:szCs w:val="32"/>
          <w:lang w:val="en-US" w:eastAsia="zh-CN" w:bidi="ar-SA"/>
        </w:rPr>
        <w:t>该项目申报内容与实际相符，申报目标合理可行。</w:t>
      </w:r>
      <w:r>
        <w:rPr>
          <w:rFonts w:hint="eastAsia" w:ascii="仿宋_GB2312" w:hAnsi="仿宋_GB2312" w:eastAsia="仿宋_GB2312" w:cs="仿宋_GB2312"/>
          <w:b w:val="0"/>
          <w:kern w:val="2"/>
          <w:sz w:val="32"/>
          <w:szCs w:val="32"/>
          <w:lang w:val="en-US" w:eastAsia="zh-CN" w:bidi="ar-SA"/>
        </w:rPr>
        <w:t xml:space="preserve"> </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该</w:t>
      </w:r>
      <w:r>
        <w:rPr>
          <w:rFonts w:hint="eastAsia" w:ascii="仿宋_GB2312" w:hAnsi="宋体"/>
          <w:color w:val="auto"/>
          <w:lang w:val="zh-CN"/>
        </w:rPr>
        <w:t>项目绩效自评</w:t>
      </w:r>
      <w:r>
        <w:rPr>
          <w:rFonts w:hint="eastAsia" w:ascii="仿宋_GB2312" w:hAnsi="宋体"/>
          <w:color w:val="auto"/>
          <w:lang w:val="en-US" w:eastAsia="zh-CN"/>
        </w:rPr>
        <w:t>根据项目支出绩效评价指标体系内容，结合工作开展情况，逐项量化评价。</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color w:val="auto"/>
          <w:lang w:val="en-US" w:eastAsia="zh-CN"/>
        </w:rPr>
        <w:t>该项目属政府批示项目，</w:t>
      </w:r>
      <w:r>
        <w:rPr>
          <w:rFonts w:hint="eastAsia" w:ascii="仿宋_GB2312" w:hAnsi="宋体"/>
          <w:color w:val="auto"/>
          <w:lang w:val="zh-CN"/>
        </w:rPr>
        <w:t>项目资金</w:t>
      </w:r>
      <w:r>
        <w:rPr>
          <w:rFonts w:hint="eastAsia" w:ascii="仿宋_GB2312" w:hAnsi="宋体"/>
          <w:color w:val="auto"/>
          <w:lang w:val="en-US" w:eastAsia="zh-CN"/>
        </w:rPr>
        <w:t>发放下达按照财政流程经业务科室审核、预算科室审核、国库审核审定；资金使用按实向财政申请。</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该项目经费调整预算后为15.47万元；截止2022年底，该项目经费财政拨款15.47万元，全部拨付到位，资金到位率100%。</w:t>
      </w:r>
    </w:p>
    <w:p>
      <w:pPr>
        <w:adjustRightInd w:val="0"/>
        <w:snapToGrid w:val="0"/>
        <w:spacing w:line="560" w:lineRule="exact"/>
        <w:ind w:firstLine="720"/>
        <w:rPr>
          <w:rFonts w:hint="eastAsia" w:ascii="仿宋_GB2312" w:hAnsi="宋体" w:cs="Times New Roman"/>
          <w:color w:val="auto"/>
          <w:lang w:val="zh-CN"/>
        </w:rPr>
      </w:pPr>
      <w:r>
        <w:rPr>
          <w:rFonts w:hint="eastAsia" w:ascii="楷体_GB2312" w:hAnsi="宋体" w:eastAsia="楷体_GB2312"/>
          <w:lang w:val="zh-CN"/>
        </w:rPr>
        <w:t>2．资金使用。</w:t>
      </w:r>
      <w:r>
        <w:rPr>
          <w:rFonts w:hint="eastAsia" w:ascii="楷体_GB2312" w:hAnsi="宋体" w:eastAsia="楷体_GB2312"/>
          <w:lang w:val="en-US" w:eastAsia="zh-CN"/>
        </w:rPr>
        <w:t>截止2022年12月31日，项目资金实际支付15.47万元。在实际使用中，机关财务严把审核关，对项目所列开支的范围、标准、进度、依据逐一进行核查，确保资金使用合规合法，与预算相符。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仿宋_GB2312" w:hAnsi="宋体"/>
          <w:color w:val="auto"/>
          <w:lang w:val="en-US" w:eastAsia="zh-CN"/>
        </w:rPr>
        <w:t>我</w:t>
      </w:r>
      <w:r>
        <w:rPr>
          <w:rFonts w:hint="eastAsia" w:ascii="仿宋_GB2312" w:hAnsi="宋体"/>
          <w:color w:val="auto"/>
          <w:lang w:val="zh-CN"/>
        </w:rPr>
        <w:t>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宋体"/>
          <w:color w:val="auto"/>
          <w:lang w:val="en-US" w:eastAsia="zh-CN"/>
        </w:rPr>
        <w:t>该项目由相关业务股室组织实施、分管领导审核确认工作事实、主要领导审定的方式实施并报县委县政府批示。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b/>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1.数量指标：完成综合协调、矛盾纠纷、安保维稳20次以上。</w:t>
      </w:r>
    </w:p>
    <w:p>
      <w:pPr>
        <w:adjustRightInd w:val="0"/>
        <w:snapToGrid w:val="0"/>
        <w:spacing w:line="600" w:lineRule="exact"/>
        <w:ind w:firstLine="72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2.质量指标：矛盾纠纷化解率90%</w:t>
      </w:r>
    </w:p>
    <w:p>
      <w:pPr>
        <w:adjustRightInd w:val="0"/>
        <w:snapToGrid w:val="0"/>
        <w:spacing w:line="600" w:lineRule="exact"/>
        <w:ind w:firstLine="720"/>
        <w:rPr>
          <w:rFonts w:hint="eastAsia"/>
          <w:lang w:val="en-US" w:eastAsia="zh-CN"/>
        </w:rPr>
      </w:pPr>
      <w:r>
        <w:rPr>
          <w:rFonts w:hint="eastAsia" w:ascii="仿宋_GB2312" w:hAnsi="仿宋_GB2312" w:cs="仿宋_GB2312"/>
          <w:sz w:val="32"/>
          <w:szCs w:val="32"/>
          <w:lang w:val="en-US" w:eastAsia="zh-CN"/>
        </w:rPr>
        <w:t>3.时效指标：项目完成时间：2022年12月</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1.经济效益指标：无</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2.社会效益指标：完善处置矛盾纠纷、应急处置预案，维护社会政治大局稳定。</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3.可持续影响指标：常态化保持社会治安秩序稳定。</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lang w:val="en-US" w:eastAsia="zh-CN"/>
        </w:rPr>
      </w:pPr>
      <w:r>
        <w:rPr>
          <w:rFonts w:hint="eastAsia" w:ascii="仿宋_GB2312" w:hAnsi="仿宋_GB2312" w:cs="仿宋_GB2312"/>
          <w:sz w:val="32"/>
          <w:szCs w:val="32"/>
          <w:lang w:val="en-US" w:eastAsia="zh-CN"/>
        </w:rPr>
        <w:t>4.满意度指标完成情况：公众对社会治理、平安建设工作满意度≥98%。</w:t>
      </w:r>
    </w:p>
    <w:p>
      <w:pPr>
        <w:keepNext w:val="0"/>
        <w:keepLines w:val="0"/>
        <w:pageBreakBefore w:val="0"/>
        <w:widowControl w:val="0"/>
        <w:numPr>
          <w:ilvl w:val="0"/>
          <w:numId w:val="1"/>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黑体" w:hAnsi="宋体" w:eastAsia="黑体"/>
        </w:rPr>
      </w:pPr>
      <w:r>
        <w:rPr>
          <w:rFonts w:hint="eastAsia" w:ascii="黑体" w:hAnsi="宋体" w:eastAsia="黑体"/>
        </w:rPr>
        <w:t>评价结论及建议</w:t>
      </w:r>
    </w:p>
    <w:p>
      <w:pPr>
        <w:keepNext w:val="0"/>
        <w:keepLines w:val="0"/>
        <w:pageBreakBefore w:val="0"/>
        <w:widowControl w:val="0"/>
        <w:numPr>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（一）评价结论。</w:t>
      </w:r>
    </w:p>
    <w:p>
      <w:pPr>
        <w:keepNext w:val="0"/>
        <w:keepLines w:val="0"/>
        <w:pageBreakBefore w:val="0"/>
        <w:widowControl w:val="0"/>
        <w:numPr>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仿宋_GB2312" w:hAnsi="宋体" w:cs="宋体"/>
          <w:color w:val="auto"/>
          <w:kern w:val="0"/>
          <w:szCs w:val="32"/>
          <w:shd w:val="clear" w:color="auto" w:fill="FFFFFF"/>
          <w:lang w:val="en-US" w:eastAsia="zh-CN"/>
        </w:rPr>
      </w:pPr>
      <w:r>
        <w:rPr>
          <w:rFonts w:hint="eastAsia" w:ascii="仿宋_GB2312" w:hAnsi="宋体"/>
          <w:color w:val="auto"/>
          <w:lang w:val="en-US" w:eastAsia="zh-CN"/>
        </w:rPr>
        <w:t>县委政法委，高度重视绩效评价工作，对项目资金的收入、使用情况进行检查核实，如实反映单位财务状况，加快推进绩效目标的全面落实，项目实施达到了预期的效果。（评分见附件）</w:t>
      </w:r>
      <w:bookmarkStart w:id="0" w:name="_GoBack"/>
      <w:bookmarkEnd w:id="0"/>
    </w:p>
    <w:p>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楷体_GB2312" w:hAnsi="宋体" w:eastAsia="楷体_GB2312"/>
          <w:b/>
          <w:lang w:val="zh-CN"/>
        </w:rPr>
      </w:pPr>
      <w:r>
        <w:rPr>
          <w:rFonts w:hint="eastAsia" w:ascii="楷体_GB2312" w:hAnsi="宋体" w:eastAsia="楷体_GB2312"/>
          <w:b/>
          <w:lang w:val="zh-CN"/>
        </w:rPr>
        <w:t>存在的问题。</w:t>
      </w:r>
    </w:p>
    <w:p>
      <w:pPr>
        <w:keepNext w:val="0"/>
        <w:keepLines w:val="0"/>
        <w:pageBreakBefore w:val="0"/>
        <w:widowControl w:val="0"/>
        <w:numPr>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jc w:val="both"/>
        <w:textAlignment w:val="auto"/>
        <w:outlineLvl w:val="9"/>
        <w:rPr>
          <w:rFonts w:hint="eastAsia" w:ascii="仿宋_GB2312" w:hAnsi="宋体" w:cs="Times New Roman"/>
          <w:lang w:val="en-US" w:eastAsia="zh-CN"/>
        </w:rPr>
      </w:pPr>
      <w:r>
        <w:rPr>
          <w:rFonts w:hint="eastAsia" w:ascii="仿宋_GB2312" w:hAnsi="宋体" w:cs="Times New Roman"/>
          <w:lang w:val="en-US" w:eastAsia="zh-CN"/>
        </w:rPr>
        <w:t>无。</w:t>
      </w:r>
    </w:p>
    <w:p>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0"/>
        <w:jc w:val="both"/>
        <w:textAlignment w:val="auto"/>
        <w:outlineLvl w:val="9"/>
        <w:rPr>
          <w:rFonts w:hint="eastAsia" w:ascii="楷体_GB2312" w:hAnsi="宋体" w:eastAsia="楷体_GB2312"/>
          <w:b/>
          <w:lang w:val="zh-CN"/>
        </w:rPr>
      </w:pPr>
      <w:r>
        <w:rPr>
          <w:rFonts w:hint="eastAsia" w:ascii="楷体_GB2312" w:hAnsi="宋体" w:eastAsia="楷体_GB2312"/>
          <w:b/>
          <w:lang w:val="zh-CN"/>
        </w:rPr>
        <w:t>相关建议。</w:t>
      </w:r>
    </w:p>
    <w:p>
      <w:pPr>
        <w:keepNext w:val="0"/>
        <w:keepLines w:val="0"/>
        <w:pageBreakBefore w:val="0"/>
        <w:widowControl w:val="0"/>
        <w:numPr>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eastAsia="仿宋_GB2312"/>
          <w:lang w:eastAsia="zh-CN"/>
        </w:rPr>
      </w:pPr>
      <w:r>
        <w:rPr>
          <w:rFonts w:hint="eastAsia" w:ascii="仿宋_GB2312" w:hAnsi="宋体"/>
          <w:lang w:val="en-US" w:eastAsia="zh-CN"/>
        </w:rPr>
        <w:t xml:space="preserve">    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BDF90D"/>
    <w:multiLevelType w:val="singleLevel"/>
    <w:tmpl w:val="64BDF90D"/>
    <w:lvl w:ilvl="0" w:tentative="0">
      <w:start w:val="5"/>
      <w:numFmt w:val="chineseCounting"/>
      <w:suff w:val="nothing"/>
      <w:lvlText w:val="%1、"/>
      <w:lvlJc w:val="left"/>
    </w:lvl>
  </w:abstractNum>
  <w:abstractNum w:abstractNumId="1">
    <w:nsid w:val="64BDF933"/>
    <w:multiLevelType w:val="singleLevel"/>
    <w:tmpl w:val="64BDF933"/>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1BC139C"/>
    <w:rsid w:val="02AF63B0"/>
    <w:rsid w:val="03CA32DF"/>
    <w:rsid w:val="0D466608"/>
    <w:rsid w:val="0D850CC5"/>
    <w:rsid w:val="0F6167F3"/>
    <w:rsid w:val="104A61C4"/>
    <w:rsid w:val="124E588F"/>
    <w:rsid w:val="133958C8"/>
    <w:rsid w:val="155263C3"/>
    <w:rsid w:val="19B536B9"/>
    <w:rsid w:val="1A0B7E6B"/>
    <w:rsid w:val="1D9C7323"/>
    <w:rsid w:val="1DB90BE3"/>
    <w:rsid w:val="1F760C93"/>
    <w:rsid w:val="24F248DC"/>
    <w:rsid w:val="291C455A"/>
    <w:rsid w:val="2A502512"/>
    <w:rsid w:val="306E1120"/>
    <w:rsid w:val="32AA1245"/>
    <w:rsid w:val="36926D0C"/>
    <w:rsid w:val="39DF6CAB"/>
    <w:rsid w:val="3B4B6964"/>
    <w:rsid w:val="3F550869"/>
    <w:rsid w:val="3F946291"/>
    <w:rsid w:val="40E54E3D"/>
    <w:rsid w:val="414A628B"/>
    <w:rsid w:val="48C37879"/>
    <w:rsid w:val="4B4862D6"/>
    <w:rsid w:val="4C117585"/>
    <w:rsid w:val="50250CDF"/>
    <w:rsid w:val="57AD3FDA"/>
    <w:rsid w:val="595779DF"/>
    <w:rsid w:val="5C793448"/>
    <w:rsid w:val="627D6EAF"/>
    <w:rsid w:val="673E27F9"/>
    <w:rsid w:val="69043FA0"/>
    <w:rsid w:val="6BDE1E54"/>
    <w:rsid w:val="6EF16389"/>
    <w:rsid w:val="731B7DF8"/>
    <w:rsid w:val="74276058"/>
    <w:rsid w:val="75295E7A"/>
    <w:rsid w:val="753D3342"/>
    <w:rsid w:val="75AA3DB5"/>
    <w:rsid w:val="783071E9"/>
    <w:rsid w:val="79016D9C"/>
    <w:rsid w:val="7A076694"/>
    <w:rsid w:val="7B23700B"/>
    <w:rsid w:val="7C56648E"/>
    <w:rsid w:val="7CB14764"/>
    <w:rsid w:val="7E2758B3"/>
    <w:rsid w:val="7EB80171"/>
    <w:rsid w:val="FFA371D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0</TotalTime>
  <ScaleCrop>false</ScaleCrop>
  <LinksUpToDate>false</LinksUpToDate>
  <CharactersWithSpaces>1342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2023-07-24T09:04:25Z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2295F6004E7C4908A6170C90E5C595B7</vt:lpwstr>
  </property>
</Properties>
</file>