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53E59">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0168E464">
      <w:pPr>
        <w:tabs>
          <w:tab w:val="left" w:pos="1440"/>
        </w:tabs>
        <w:spacing w:line="600" w:lineRule="exact"/>
        <w:rPr>
          <w:rFonts w:ascii="宋体" w:hAnsi="宋体" w:eastAsia="宋体"/>
          <w:sz w:val="30"/>
          <w:szCs w:val="30"/>
        </w:rPr>
      </w:pPr>
    </w:p>
    <w:p w14:paraId="6B56D9C6">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B0F3D76">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w:t>
      </w:r>
      <w:r>
        <w:rPr>
          <w:rFonts w:hint="eastAsia" w:ascii="仿宋_GB2312" w:hAnsi="宋体" w:eastAsia="仿宋_GB2312"/>
          <w:color w:val="auto"/>
          <w:kern w:val="2"/>
          <w:sz w:val="32"/>
          <w:szCs w:val="32"/>
          <w:lang w:eastAsia="zh-CN"/>
        </w:rPr>
        <w:t>（县级）</w:t>
      </w:r>
    </w:p>
    <w:p w14:paraId="11E1FEFB">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43075DC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6B7C2F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14:paraId="0836143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2023年衔接推进乡村振兴资金使用方案保障方案内3个项目的正常实施，提升乡镇基础设施、提升人居环境水平。</w:t>
      </w:r>
    </w:p>
    <w:p w14:paraId="5F0D0F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14:paraId="5CD59E6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2EAEF27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5FEA71A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1．资金计划及到位。截至目前</w:t>
      </w:r>
      <w:bookmarkStart w:id="0" w:name="_GoBack"/>
      <w:bookmarkEnd w:id="0"/>
      <w:r>
        <w:rPr>
          <w:rFonts w:hint="eastAsia" w:ascii="仿宋_GB2312" w:hAnsi="宋体"/>
          <w:lang w:val="zh-CN"/>
        </w:rPr>
        <w:t>该项目资金已全部到位，到位率</w:t>
      </w:r>
      <w:r>
        <w:rPr>
          <w:rFonts w:hint="eastAsia" w:ascii="仿宋_GB2312" w:hAnsi="宋体"/>
          <w:lang w:val="en-US" w:eastAsia="zh-CN"/>
        </w:rPr>
        <w:t>100%。</w:t>
      </w:r>
    </w:p>
    <w:p w14:paraId="074406E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2．资金使用。截至目前</w:t>
      </w:r>
      <w:r>
        <w:rPr>
          <w:rFonts w:hint="eastAsia" w:ascii="仿宋_GB2312" w:hAnsi="宋体"/>
          <w:lang w:val="zh-CN"/>
        </w:rPr>
        <w:t>该项目资金支出</w:t>
      </w:r>
      <w:r>
        <w:rPr>
          <w:rFonts w:hint="eastAsia" w:ascii="仿宋_GB2312" w:hAnsi="宋体"/>
          <w:lang w:val="en-US" w:eastAsia="zh-CN"/>
        </w:rPr>
        <w:t>96.61</w:t>
      </w:r>
      <w:r>
        <w:rPr>
          <w:rFonts w:hint="eastAsia" w:ascii="仿宋_GB2312" w:hAnsi="宋体"/>
          <w:lang w:val="zh-CN"/>
        </w:rPr>
        <w:t>万元，支付进度为</w:t>
      </w:r>
      <w:r>
        <w:rPr>
          <w:rFonts w:hint="eastAsia" w:ascii="仿宋_GB2312" w:hAnsi="宋体"/>
          <w:lang w:val="en-US" w:eastAsia="zh-CN"/>
        </w:rPr>
        <w:t>95.22%。</w:t>
      </w:r>
    </w:p>
    <w:p w14:paraId="00D8FBC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0A94A74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7DA5160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A4CCAF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14:paraId="69A3C78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53ABFA3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35200C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3个项目进度目标均已完成，完成率100%。提升乡镇基础设施、提升人居环境。项目验收合格率100%。无项目资金结余，无违规违纪记录</w:t>
      </w:r>
      <w:r>
        <w:rPr>
          <w:rFonts w:hint="eastAsia" w:ascii="仿宋_GB2312" w:hAnsi="宋体"/>
          <w:lang w:val="zh-CN"/>
        </w:rPr>
        <w:t>。</w:t>
      </w:r>
    </w:p>
    <w:p w14:paraId="6EC4AE6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14:paraId="5FCDCC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2CA5D41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6823D3E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3507F68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3A2AF2F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14:paraId="736C5B54">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4CE060-E66B-418E-A2E5-13026EF6A1D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24FC29F-8E8F-4DF4-A79B-121AAC1CC0C3}"/>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F1EE4C0B-7847-4803-ABC3-C1CCF7E2E2D5}"/>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1C48B0D0-E60A-419E-809F-74372704F385}"/>
  </w:font>
  <w:font w:name="楷体_GB2312">
    <w:panose1 w:val="02010609030101010101"/>
    <w:charset w:val="86"/>
    <w:family w:val="modern"/>
    <w:pitch w:val="default"/>
    <w:sig w:usb0="00000001" w:usb1="080E0000" w:usb2="00000000" w:usb3="00000000" w:csb0="00040000" w:csb1="00000000"/>
    <w:embedRegular r:id="rId5" w:fontKey="{CD116C65-D101-46AC-A77F-E17CEFB56381}"/>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157273"/>
    <w:rsid w:val="2A502512"/>
    <w:rsid w:val="2E9669E8"/>
    <w:rsid w:val="36926D0C"/>
    <w:rsid w:val="414A628B"/>
    <w:rsid w:val="4AFB58E0"/>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717</Characters>
  <Lines>9</Lines>
  <Paragraphs>2</Paragraphs>
  <TotalTime>0</TotalTime>
  <ScaleCrop>false</ScaleCrop>
  <LinksUpToDate>false</LinksUpToDate>
  <CharactersWithSpaces>719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2024-10-30T00:51:27Z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