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（峨边彝族自治县老城区棚户区（城中村）改造工程项目）</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为改善我局群众居住环境，我局实施</w:t>
      </w:r>
      <w:r>
        <w:rPr>
          <w:rFonts w:hint="eastAsia" w:ascii="仿宋_GB2312" w:hAnsi="宋体" w:eastAsia="仿宋_GB2312"/>
          <w:color w:val="auto"/>
          <w:kern w:val="2"/>
          <w:sz w:val="32"/>
          <w:szCs w:val="32"/>
        </w:rPr>
        <w:t>峨边彝族自治县老城区棚户区（城中村）改造工程项目</w:t>
      </w:r>
      <w:r>
        <w:rPr>
          <w:rFonts w:hint="eastAsia" w:ascii="仿宋_GB2312" w:hAnsi="宋体"/>
          <w:color w:val="auto"/>
          <w:kern w:val="2"/>
          <w:sz w:val="32"/>
          <w:szCs w:val="32"/>
          <w:lang w:eastAsia="zh-CN"/>
        </w:rPr>
        <w:t>，对</w:t>
      </w:r>
      <w:r>
        <w:rPr>
          <w:rFonts w:hint="eastAsia" w:ascii="仿宋_GB2312" w:hAnsi="宋体"/>
          <w:color w:val="auto"/>
          <w:kern w:val="2"/>
          <w:sz w:val="32"/>
          <w:szCs w:val="32"/>
          <w:lang w:val="en-US" w:eastAsia="zh-CN"/>
        </w:rPr>
        <w:t>3个片区进行棚户区改造。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该项目为我县申报的专项债券资金项目，分年度下达专项债券资金，本年下达资金</w:t>
      </w:r>
      <w:r>
        <w:rPr>
          <w:rFonts w:hint="eastAsia" w:ascii="仿宋_GB2312" w:hAnsi="宋体"/>
          <w:lang w:val="en-US" w:eastAsia="zh-CN"/>
        </w:rPr>
        <w:t>17600万元。</w:t>
      </w:r>
      <w:r>
        <w:rPr>
          <w:rFonts w:hint="eastAsia" w:ascii="仿宋_GB2312" w:hAnsi="宋体"/>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我局对全县</w:t>
      </w:r>
      <w:r>
        <w:rPr>
          <w:rFonts w:hint="eastAsia" w:ascii="仿宋_GB2312" w:hAnsi="宋体"/>
          <w:lang w:val="en-US" w:eastAsia="zh-CN"/>
        </w:rPr>
        <w:t>3个片区实施棚户区改造，从而改善全县群众居住环境。该项目我局未主管部门，峨边彝族自治县城市建设投资有限公司为代建单位具体实施。目前已实施了恋爱桥片区、C、D级危房，下一步我局将稳步推进项目实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截止目前</w:t>
      </w:r>
      <w:r>
        <w:rPr>
          <w:rFonts w:hint="eastAsia" w:ascii="仿宋_GB2312" w:hAnsi="宋体"/>
          <w:lang w:val="zh-CN"/>
        </w:rPr>
        <w:t>，该项目专项资金已全部到位，资金到位率</w:t>
      </w:r>
      <w:r>
        <w:rPr>
          <w:rFonts w:hint="eastAsia" w:ascii="仿宋_GB2312" w:hAnsi="宋体"/>
          <w:lang w:val="en-US" w:eastAsia="zh-CN"/>
        </w:rPr>
        <w:t>100%，到位及时。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2．资金使用。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截止目前，该项目资金已全部支付，资金全部用于老城区棚户区改造项目实施。支付进度达到</w:t>
      </w:r>
      <w:r>
        <w:rPr>
          <w:rFonts w:hint="eastAsia" w:ascii="仿宋_GB2312" w:hAnsi="宋体"/>
          <w:lang w:val="en-US" w:eastAsia="zh-CN"/>
        </w:rPr>
        <w:t>100%，支付依据合规合法，资金支付与预算相符。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我局为该项目主管部门和建设单位，县城投公司为代建单位，在项目实施过程中严格按照住建局项目管理制度和相关法律法规执行。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截止目前，我局完了了对恋爱桥片区、大坪片区</w:t>
      </w:r>
      <w:r>
        <w:rPr>
          <w:rFonts w:hint="eastAsia" w:ascii="仿宋_GB2312" w:hAnsi="宋体"/>
          <w:lang w:val="en-US" w:eastAsia="zh-CN"/>
        </w:rPr>
        <w:t>C、D级危房</w:t>
      </w:r>
      <w:r>
        <w:rPr>
          <w:rFonts w:hint="eastAsia" w:ascii="仿宋_GB2312" w:hAnsi="宋体"/>
          <w:lang w:val="zh-CN"/>
        </w:rPr>
        <w:t>棚户区征拆工作，并购买新集贸市场大楼房屋进行安置，在古今寺片区修建棚改安置还房（目前该项目正在建设中）。</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该项目改善了群众居住环境，改善了我县县城城市面貌，提升了群众幸福指数和满意度。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4C70B84"/>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858</Words>
  <Characters>860</Characters>
  <Lines>9</Lines>
  <Paragraphs>2</Paragraphs>
  <TotalTime>13</TotalTime>
  <ScaleCrop>false</ScaleCrop>
  <LinksUpToDate>false</LinksUpToDate>
  <CharactersWithSpaces>862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2024-07-30T03:00:14Z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