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（城东片区（城中村）棚户区改造项目）</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峨边彝族自治县城东片区（城中村）棚户区改造项目为我局购买服务项目，服务单位为县城投公司。县新城开发投资有限公司通过融资实施，目前该项目已实施完毕，我局需每年支付购买服务款项。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该项目纳入我局</w:t>
      </w:r>
      <w:r>
        <w:rPr>
          <w:rFonts w:hint="eastAsia" w:ascii="仿宋_GB2312" w:hAnsi="宋体"/>
          <w:lang w:val="en-US" w:eastAsia="zh-CN"/>
        </w:rPr>
        <w:t>2023年年初预算，由财政审核，人大批复后实施，复核资金管理办法等相关规定。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用于支付城东片区棚户区改造项目购买服务款项，确保政府隐形债务按要求进行化解，目前该项目</w:t>
      </w:r>
      <w:r>
        <w:rPr>
          <w:rFonts w:hint="eastAsia" w:ascii="仿宋_GB2312" w:hAnsi="宋体"/>
          <w:lang w:val="en-US" w:eastAsia="zh-CN"/>
        </w:rPr>
        <w:t>2023年度债务化解已完成</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仿宋_GB2312" w:cs="仿宋_GB2312"/>
          <w:lang w:val="zh-CN"/>
        </w:rPr>
        <w:t>截止目前该项目资金已全部到位，资金到位率</w:t>
      </w:r>
      <w:r>
        <w:rPr>
          <w:rFonts w:hint="eastAsia" w:ascii="仿宋_GB2312" w:hAnsi="仿宋_GB2312" w:cs="仿宋_GB2312"/>
          <w:lang w:val="en-US" w:eastAsia="zh-CN"/>
        </w:rPr>
        <w:t>100%，单位及时。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lang w:val="zh-CN"/>
        </w:rPr>
      </w:pPr>
      <w:r>
        <w:rPr>
          <w:rFonts w:hint="eastAsia" w:ascii="楷体_GB2312" w:hAnsi="宋体" w:eastAsia="楷体_GB2312"/>
          <w:lang w:val="zh-CN"/>
        </w:rPr>
        <w:t>2．资金使用。</w:t>
      </w:r>
      <w:r>
        <w:rPr>
          <w:rFonts w:hint="eastAsia" w:ascii="仿宋_GB2312" w:hAnsi="仿宋_GB2312" w:eastAsia="仿宋_GB2312" w:cs="仿宋_GB2312"/>
          <w:lang w:val="zh-CN"/>
        </w:rPr>
        <w:t>截止目前该项目资金支付1204.27万元，资金全部用于偿还该项目隐形债务，资金支付进度为</w:t>
      </w:r>
      <w:r>
        <w:rPr>
          <w:rFonts w:hint="eastAsia" w:ascii="仿宋_GB2312" w:hAnsi="仿宋_GB2312" w:eastAsia="仿宋_GB2312" w:cs="仿宋_GB2312"/>
          <w:lang w:val="en-US" w:eastAsia="zh-CN"/>
        </w:rPr>
        <w:t>100%，支付依据合规合法，资金支付与预算相符。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该项目由县新城开发投资有限公司通过融资实施。目前，该项目已实施完毕，根据政府购买服务合同我局需每年支付政府购买服务款项，从而化解政府隐形债务。</w:t>
      </w:r>
      <w:r>
        <w:rPr>
          <w:rFonts w:hint="eastAsia" w:ascii="仿宋_GB2312" w:hAnsi="宋体"/>
          <w:lang w:val="en-US" w:eastAsia="zh-CN"/>
        </w:rPr>
        <w:t>2023年已按要求化解债务。</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我局化解隐形债务</w:t>
      </w:r>
      <w:r>
        <w:rPr>
          <w:rFonts w:hint="eastAsia" w:ascii="仿宋_GB2312" w:hAnsi="宋体"/>
          <w:lang w:val="en-US" w:eastAsia="zh-CN"/>
        </w:rPr>
        <w:t>1个，债务化解及时，无违规违纪情况。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偿</w:t>
      </w:r>
      <w:r>
        <w:rPr>
          <w:rFonts w:hint="eastAsia" w:ascii="仿宋_GB2312" w:hAnsi="宋体" w:cs="Times New Roman"/>
          <w:lang w:val="zh-CN"/>
        </w:rPr>
        <w:t>还政府隐形债务，消除县财政财务隐患</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无。</w:t>
      </w:r>
    </w:p>
    <w:p>
      <w:pPr>
        <w:adjustRightInd w:val="0"/>
        <w:snapToGrid w:val="0"/>
        <w:spacing w:line="600" w:lineRule="exact"/>
        <w:ind w:firstLine="720"/>
      </w:pPr>
      <w:bookmarkStart w:id="0" w:name="_GoBack"/>
      <w:bookmarkEnd w:id="0"/>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6926D0C"/>
    <w:rsid w:val="390519B5"/>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860</Characters>
  <Lines>9</Lines>
  <Paragraphs>2</Paragraphs>
  <TotalTime>5</TotalTime>
  <ScaleCrop>false</ScaleCrop>
  <LinksUpToDate>false</LinksUpToDate>
  <CharactersWithSpaces>862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2024-07-30T03:32:09Z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