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工程类项目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1．根据我局三定方案确定的职能职责，我局为老旧小区改造、棚户区改造项目实施部门，根据县政府工作安排，我局实施乡村振兴补助资金项目。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2．根据我局职能职责及上报了工作目标我局实施了老旧小区改造项目、棚户区改造项目，根据县政府工作安排，我局实施乡村振兴补助资金项目。资金申报根据项目实施情况申报。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3．根据《峨边彝族自治县住房和城乡建设财务管理治理》、《峨边彝族自治县住房和城乡建设内部控制手册》进行资金管理。</w:t>
      </w:r>
      <w:r>
        <w:rPr>
          <w:rFonts w:hint="eastAsia" w:ascii="仿宋_GB2312" w:hAnsi="宋体"/>
          <w:lang w:val="en-US" w:eastAsia="zh-CN"/>
        </w:rPr>
        <w:t>2022年年初预算县级资金全额支持此项目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4．在项目申报时根据项目情况及县级财力进行资金分配。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1．保障我县老旧小区改造、棚户区改造相关项目正常开展，完成政府交办的乡村振兴项目。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2．实施乡村振兴项目数</w:t>
      </w:r>
      <w:r>
        <w:rPr>
          <w:rFonts w:hint="eastAsia" w:ascii="仿宋_GB2312" w:hAnsi="宋体"/>
          <w:lang w:val="en-US" w:eastAsia="zh-CN"/>
        </w:rPr>
        <w:t>6个，开展老旧小区改造小区数52个，开展棚户区改造项目数2个。</w:t>
      </w:r>
      <w:r>
        <w:rPr>
          <w:rFonts w:hint="eastAsia" w:ascii="仿宋_GB2312" w:hAnsi="宋体"/>
          <w:lang w:val="zh-CN"/>
        </w:rPr>
        <w:t>乡村振兴项目均在本年内实施完成，老旧小区改造项目及棚户区改造项目根据我县规划逐步实施。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3．申报内容与实际相符，申报目标是合理可行。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我局成了了项目绩效自评领导小组，由局长任组长，各分管领导任副组长，各股室负责人为成员。对实施项目进行全面（包括现场勘查和资料查看），并将自查情况报财务室汇总上报。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该项目资金严格按照相关法律法规进行申报，年初预算时进行申报，预算批复后进行使用，该项目没有进行预算调整。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该项目资金为</w:t>
      </w:r>
      <w:r>
        <w:rPr>
          <w:rFonts w:hint="eastAsia" w:ascii="仿宋_GB2312" w:hAnsi="宋体"/>
          <w:lang w:val="en-US" w:eastAsia="zh-CN"/>
        </w:rPr>
        <w:t>2022年年初预算县级资金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该项目资金已全部到位。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截止评价时点项目已全部支出完毕。资金使用的安全性、规范性及有效性均没有问题，资金支付范围、支付标准、支付进度、支付依据等合规合法、与预算相符。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我局严格执行《峨边彝族自治县住房和城乡建设局财务管理制度》，账务处理及时，会计核算规范。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该项目由我局组织实施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项目实施过程中严格执行《政府采购法》等相关法律法规，严格按照《峨边彝族自治县住房和城乡建设局内部控制手册》对项目全过程进行监督管理。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严格按照《峨边彝族自治县住房和城乡建设财务管理制度》、《峨边彝族自治县住房和城乡建设内部控制手册》进行监管。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完成了乡村振兴项目数</w:t>
      </w:r>
      <w:r>
        <w:rPr>
          <w:rFonts w:hint="eastAsia" w:ascii="仿宋_GB2312" w:hAnsi="宋体"/>
          <w:lang w:val="en-US" w:eastAsia="zh-CN"/>
        </w:rPr>
        <w:t>6个，实施老旧小区改造小区数52个，项目均已开工，开展棚户区改造项目数2个</w:t>
      </w:r>
      <w:r>
        <w:rPr>
          <w:rFonts w:hint="eastAsia" w:ascii="仿宋_GB2312" w:hAnsi="宋体"/>
          <w:lang w:val="zh-CN"/>
        </w:rPr>
        <w:t>包括。竣工验收合格率达到</w:t>
      </w:r>
      <w:r>
        <w:rPr>
          <w:rFonts w:hint="eastAsia" w:ascii="仿宋_GB2312" w:hAnsi="宋体"/>
          <w:lang w:val="en-US" w:eastAsia="zh-CN"/>
        </w:rPr>
        <w:t>100%，项目按时完成率达到100%，资金均无结余，无违规违纪情况。</w:t>
      </w:r>
      <w:r>
        <w:rPr>
          <w:rFonts w:hint="eastAsia" w:ascii="仿宋_GB2312" w:hAnsi="宋体"/>
          <w:lang w:val="zh-CN"/>
        </w:rPr>
        <w:t>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该项目实施提升了城区群众住房品质及居住环境，实施乡村振兴项目提升乡镇基础设施、提升人居环境水平。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该项目较好的完成了绩效目标，达到了我局及县委县政府的工作要求，总体评价为好。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1A055D12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2023-11-14T02:40:22Z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  <property fmtid="{D5CDD505-2E9C-101B-9397-08002B2CF9AE}" pid="3" name="ICV">
    <vt:lpwstr>2295F6004E7C4908A6170C90E5C595B7</vt:lpwstr>
  </property>
</Properties>
</file>