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3</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峨边彝族自治县住房和城乡建设局</w:t>
      </w:r>
    </w:p>
    <w:p>
      <w:pPr>
        <w:widowControl/>
        <w:spacing w:line="580" w:lineRule="exact"/>
        <w:contextualSpacing/>
        <w:jc w:val="center"/>
        <w:rPr>
          <w:rFonts w:ascii="仿宋_GB2312" w:hAnsi="宋体" w:eastAsia="仿宋_GB2312"/>
          <w:szCs w:val="32"/>
          <w:shd w:val="clear" w:color="auto" w:fill="FFFFFF"/>
        </w:rPr>
      </w:pPr>
      <w:r>
        <w:rPr>
          <w:rFonts w:hint="eastAsia" w:ascii="方正小标宋简体" w:hAnsi="宋体" w:eastAsia="方正小标宋简体"/>
          <w:sz w:val="44"/>
          <w:szCs w:val="44"/>
          <w:shd w:val="clear" w:color="auto" w:fill="FFFFFF"/>
          <w:lang w:val="en-US" w:eastAsia="zh-CN"/>
        </w:rPr>
        <w:t>2021年</w:t>
      </w:r>
      <w:r>
        <w:rPr>
          <w:rFonts w:hint="eastAsia" w:ascii="方正小标宋简体" w:hAnsi="宋体" w:eastAsia="方正小标宋简体"/>
          <w:sz w:val="44"/>
          <w:szCs w:val="44"/>
          <w:shd w:val="clear" w:color="auto" w:fill="FFFFFF"/>
        </w:rPr>
        <w:t>部门整体支出绩效自评报告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部门（单位）概况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峨边住建局独立预算单位1个，下属事业单位</w:t>
      </w:r>
      <w:r>
        <w:rPr>
          <w:rFonts w:hint="eastAsia" w:ascii="仿宋_GB2312" w:hAnsi="仿宋_GB2312" w:eastAsia="仿宋_GB2312" w:cs="仿宋_GB2312"/>
          <w:color w:val="000000"/>
          <w:kern w:val="0"/>
          <w:sz w:val="32"/>
          <w:szCs w:val="32"/>
          <w:shd w:val="clear" w:color="auto" w:fill="FFFFFF"/>
          <w:lang w:val="en-US" w:eastAsia="zh-CN"/>
        </w:rPr>
        <w:t>3个，为建筑工程质量监督站、房地产管理局、公园服务中心。</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（二）机构职能。</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贯彻执行国家和省、市住房和城乡建设的法律、法规和方针、政策。拟订全县住房保障、工程建设、城市建设、村镇建设、建筑业、房屋装饰装修业、住宅与房地产业、勘察设计咨询业管理的有关规定及相关发展战略并组织实施，进行行业管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承担推进住房制度改革、保障城镇低收入家庭住房的责任。贯彻国家和省、市住房及住房保障相关政策，推进全县住房建设和住房制度改革。  </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承担工程建设标准体系组织实施的责任。组织实施工程建设实施阶段的国家标准、全国统一定额和行业标准定额；贯彻执行建设项目可行性研究评价方法、经济参数、建设标准和工程造价的管理制度；指导监督各类工程建设标准定额的实施和工程造价计价。</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承担规范房地产市场秩序、监督管理房地产市场的责任。贯彻房地产市场监督管理政策，会同有关部门拟订相关配套办法；贯彻房地产业政策和房地产开发、房屋权属管理、房屋租赁、房屋面积管理、危房鉴定、白蚁防治、房地产估价与经纪管理、物业管理、国有土地上房屋征地拆迁的规章制度并监督执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承担监督管理建筑市场、规范市场各方主体行为的责任。综合管理和指导建筑活动；贯彻实施工程建设、建筑业及装饰装修业法律法规和政策；组织实施房屋和市政工程项目招标投标活动的监督执法，拟订建设工程施工、监理以及规范建筑市场各方主体行为的规章制度并组织实施；负责建筑工程质量安全的监督管理工作；贯彻执行建筑工程质量、建筑安全生产和竣工验收备案的政策、规章制度；组织参与工程重大质量、安全事故的调查处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承担监督管理勘察设计咨询市场秩序和勘察设计咨询质量的责任。贯彻工程勘察设计咨询业产业和技术政策，负责建设工程抗震设防工作；执行房屋建筑和市政设施抗震技术地方规范和标准图集；组织开展城市建筑物抗震性能普查、鉴定加固和改造工作；指导村镇和农村建筑抗震工作，指导和组织灾后恢复重建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承担城市基础设施建设项目的实施工作。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shd w:val="pct10" w:color="auto" w:fill="FFFFFF"/>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承担城镇建设管理的责任。贯彻城镇建设的相关政策，负责棚户区改造，负责城镇道路的建设，负责燃气、城镇生活污水处理等市政公用设施的建设管理；负责按规划开发利用城市空间；指导全县小城镇建设、村镇房屋产权管理和城镇建设档案管理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承担推进建筑节能、城镇减排的责任。贯彻执行建筑节能政策，组织实施重大建筑节能项目，推进节能减排；承担推进墙体材料革新的工作；负责散装水泥的推广工作。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承担县人民政府人民防空委员会办公室工作。贯彻落实人民防空法律、法规、政策和规章制度，落实人民防空工作。制定人民防空工程建设规划，抓好人民防空工程质量监督管理。建立健全人民防空报警体系，安装预警报装置。落实人民防空经费。会同物价、财政部门共同制定标准收费，依法许可城市新建民用建筑按城市规划要求修建防空地下室和征收易地建设费。制定防空袭方案及实施计划，组织演习。加强对人民防空工程、通信、指挥、警报设备设施等资产进行管理。加大人民防空法制宣传教育和人民防空行政执法力度。建立和完善重要经济目标防护管理体制和机制，制定保护措施。</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制定住房和城乡建设行业人才培养和教育发展并组织实</w:t>
      </w:r>
      <w:r>
        <w:rPr>
          <w:rFonts w:hint="eastAsia" w:ascii="仿宋_GB2312" w:hAnsi="仿宋_GB2312" w:eastAsia="仿宋_GB2312" w:cs="仿宋_GB2312"/>
          <w:sz w:val="32"/>
          <w:szCs w:val="32"/>
        </w:rPr>
        <w:t>施；负责住房和城乡建设行业科技人才队伍建设、专业技术职称评审和执业资格管理工作；指导和监督管理住</w:t>
      </w:r>
      <w:r>
        <w:rPr>
          <w:rFonts w:hint="eastAsia" w:ascii="仿宋_GB2312" w:hAnsi="仿宋_GB2312" w:eastAsia="仿宋_GB2312" w:cs="仿宋_GB2312"/>
          <w:color w:val="000000"/>
          <w:sz w:val="32"/>
          <w:szCs w:val="32"/>
        </w:rPr>
        <w:t>房和城乡建设行业协会、学会以及相关社会中介组织；负责住房和城乡建设系统的信访工作。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承担贯彻执行县政府非经营性投资项目“代建制”的责任。负责县政府非经营性投资有关项目“代建制”的推行。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13.</w:t>
      </w:r>
      <w:r>
        <w:rPr>
          <w:rFonts w:hint="eastAsia" w:ascii="仿宋_GB2312" w:hAnsi="仿宋_GB2312" w:eastAsia="仿宋_GB2312" w:cs="仿宋_GB2312"/>
          <w:color w:val="000000"/>
          <w:sz w:val="32"/>
          <w:szCs w:val="32"/>
        </w:rPr>
        <w:t>负责职责范围内的安全生产和职业健康、生态环境保护、服务便民化工作。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负责住房和城乡建设行政复议的办理和行政诉讼的应诉工作；负责住房和城乡建设行政执法与刑事司法衔接工作；负责住房和城乡建设行政许可及相关行政服务信息共享工作；负责处理行政审批、综合行政执法等部门提出的事中事后监管建议意见。</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承办县委、县政府交办的其他事项。</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（三）人员概况。</w:t>
      </w:r>
    </w:p>
    <w:p>
      <w:pPr>
        <w:widowControl/>
        <w:tabs>
          <w:tab w:val="left" w:pos="3840"/>
        </w:tabs>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sz w:val="32"/>
          <w:szCs w:val="32"/>
        </w:rPr>
        <w:t>县住房城乡建设局行政编制7名。其中：局长1名、副局长2名、总工程师1名，中层领导职数3名。保留机关工勤编制1名。</w:t>
      </w:r>
      <w:r>
        <w:rPr>
          <w:rFonts w:hint="eastAsia" w:ascii="仿宋_GB2312" w:hAnsi="仿宋_GB2312" w:eastAsia="仿宋_GB2312" w:cs="仿宋_GB2312"/>
          <w:color w:val="000000"/>
          <w:sz w:val="32"/>
          <w:szCs w:val="32"/>
          <w:lang w:eastAsia="zh-CN"/>
        </w:rPr>
        <w:t>事业编制</w:t>
      </w:r>
      <w:r>
        <w:rPr>
          <w:rFonts w:hint="eastAsia" w:ascii="仿宋_GB2312" w:hAnsi="仿宋_GB2312" w:eastAsia="仿宋_GB2312" w:cs="仿宋_GB2312"/>
          <w:color w:val="000000"/>
          <w:sz w:val="32"/>
          <w:szCs w:val="32"/>
          <w:lang w:val="en-US" w:eastAsia="zh-CN"/>
        </w:rPr>
        <w:t>1</w:t>
      </w:r>
      <w:r>
        <w:rPr>
          <w:rFonts w:hint="eastAsia" w:ascii="仿宋_GB2312" w:hAnsi="仿宋_GB2312" w:cs="仿宋_GB2312"/>
          <w:color w:val="000000"/>
          <w:sz w:val="32"/>
          <w:szCs w:val="32"/>
          <w:lang w:val="en-US" w:eastAsia="zh-CN"/>
        </w:rPr>
        <w:t>6</w:t>
      </w:r>
      <w:r>
        <w:rPr>
          <w:rFonts w:hint="eastAsia" w:ascii="仿宋_GB2312" w:hAnsi="仿宋_GB2312" w:eastAsia="仿宋_GB2312" w:cs="仿宋_GB2312"/>
          <w:color w:val="000000"/>
          <w:sz w:val="32"/>
          <w:szCs w:val="32"/>
          <w:lang w:val="en-US" w:eastAsia="zh-CN"/>
        </w:rPr>
        <w:t>名。</w:t>
      </w:r>
      <w:r>
        <w:rPr>
          <w:rFonts w:hint="eastAsia" w:ascii="仿宋_GB2312" w:hAnsi="仿宋_GB2312" w:eastAsia="仿宋_GB2312" w:cs="仿宋_GB2312"/>
          <w:color w:val="000000"/>
          <w:kern w:val="0"/>
          <w:sz w:val="32"/>
          <w:szCs w:val="32"/>
          <w:shd w:val="clear" w:color="auto" w:fill="FFFFFF"/>
          <w:lang w:val="zh-CN"/>
        </w:rPr>
        <w:t>在职人员总数2</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lang w:val="zh-CN"/>
        </w:rPr>
        <w:t>名，其中：行政</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lang w:val="zh-CN"/>
        </w:rPr>
        <w:t>名，工勤2名，事业</w:t>
      </w:r>
      <w:r>
        <w:rPr>
          <w:rFonts w:hint="eastAsia" w:ascii="仿宋_GB2312" w:hAnsi="仿宋_GB2312" w:eastAsia="仿宋_GB2312" w:cs="仿宋_GB2312"/>
          <w:color w:val="000000"/>
          <w:kern w:val="0"/>
          <w:sz w:val="32"/>
          <w:szCs w:val="32"/>
          <w:shd w:val="clear" w:color="auto" w:fill="FFFFFF"/>
          <w:lang w:val="en-US" w:eastAsia="zh-CN"/>
        </w:rPr>
        <w:t>13</w:t>
      </w:r>
      <w:r>
        <w:rPr>
          <w:rFonts w:hint="eastAsia" w:ascii="仿宋_GB2312" w:hAnsi="仿宋_GB2312" w:eastAsia="仿宋_GB2312" w:cs="仿宋_GB2312"/>
          <w:color w:val="000000"/>
          <w:kern w:val="0"/>
          <w:sz w:val="32"/>
          <w:szCs w:val="32"/>
          <w:shd w:val="clear" w:color="auto" w:fill="FFFFFF"/>
          <w:lang w:val="zh-CN"/>
        </w:rPr>
        <w:t>名。</w:t>
      </w:r>
      <w:r>
        <w:rPr>
          <w:rFonts w:ascii="楷体_GB2312" w:hAnsi="宋体" w:eastAsia="楷体_GB2312" w:cs="宋体"/>
          <w:color w:val="000000"/>
          <w:kern w:val="0"/>
          <w:szCs w:val="32"/>
          <w:shd w:val="clear" w:color="auto" w:fill="FFFFFF"/>
          <w:lang w:val="zh-CN"/>
        </w:rPr>
        <w:tab/>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我局2021年财政拨款年初预算收入2498.15万元，其中一般公共预算财政拨款收入2498.15万元，调整预算收入20588.86万元，其中一般公共预算财政拨款收入2920.13万元。</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我局2021年支出合计18246.04万元，其中基本支出545.57万元，项目支出17700.47万元。</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绩效目标要素完整、细化量化。绩效目标实际实现程度与预期目标基本一致。年初预算编制基本科学准确，在城乡污水处理运行维护项目上预算金额不足。支出严格执行财经纪律，开展绩效运行监控后，将绩效监控结果应用到预算调整。</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（二）项目预算管理。</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bookmarkStart w:id="0" w:name="_GoBack"/>
      <w:bookmarkEnd w:id="0"/>
      <w:r>
        <w:rPr>
          <w:rFonts w:hint="eastAsia" w:ascii="仿宋_GB2312" w:hAnsi="宋体" w:eastAsia="仿宋_GB2312" w:cs="宋体"/>
          <w:color w:val="000000"/>
          <w:kern w:val="0"/>
          <w:szCs w:val="32"/>
          <w:shd w:val="clear" w:color="auto" w:fill="FFFFFF"/>
          <w:lang w:val="en-US" w:eastAsia="zh-CN"/>
        </w:rPr>
        <w:t>1.城乡污水处理设施运行维护项目。基本情况：对城区生活污水处理厂、乡镇生活污水处理站（20个站）进行运维维护管理，确保厂（站）正常运行，达标排放。全年城区生活污水处理厂、乡镇生活污水处理站均正常运行，污水处理达标，项目完成情况良好。</w:t>
      </w:r>
    </w:p>
    <w:p>
      <w:pPr>
        <w:widowControl/>
        <w:adjustRightInd w:val="0"/>
        <w:snapToGrid w:val="0"/>
        <w:spacing w:line="580" w:lineRule="exact"/>
        <w:ind w:firstLine="640" w:firstLineChars="200"/>
        <w:contextualSpacing/>
        <w:jc w:val="left"/>
        <w:rPr>
          <w:rFonts w:ascii="方正仿宋_GBK" w:hAnsi="宋体" w:eastAsia="方正仿宋_GBK"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2.公园管理项目。基本情况：对全县4个公园、2个场馆进行管理。2021年全县公园及场馆均正常运行，保洁、绿化均达到要求。</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我局按要求将部门绩效目标、部门整体绩效自评情况和自行组织的评价情况向社会公开，按要求对自评发现问题进行整改，并按要求及时向财政部门反馈结果应用。</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根据财政局文件精神，住建局认真组织开展了部门整体支出绩效评价工作，绩效评价得分：99分。</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1.城区污水处理覆盖率还未达到100%，污水处理仍需提升。</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2.部分小区老旧，功能缺失，导致群众居住环境差。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3.部分公租房老旧，居住环境较差，需进一步改善。</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4.需进一步提升公园环境。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1.进一步开展城区管网普查。对管网损坏、缺失部分开展污水处理提质增效，不断提高污水管网覆盖率。</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2.加快推进202</w:t>
      </w: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rPr>
        <w:t>年老旧小区改造项目，规划202</w:t>
      </w: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rPr>
        <w:t>年老旧小区改造，加快推进既有住宅电梯安装，不断提升小区环境，提升群众满意度。</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3.加强对公共租赁住房的巡查，出现问题立即维修整改，增加群众满意度。</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4.不断提升公园管理水平，特别是公园绿化水平。</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FCEDD"/>
    <w:multiLevelType w:val="singleLevel"/>
    <w:tmpl w:val="90CFCED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5Zjc3YTVhMzZhMzA0ZTFmZjk3ZGE4NGZiMmViYWIifQ=="/>
  </w:docVars>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21C05C6"/>
    <w:rsid w:val="166A25A3"/>
    <w:rsid w:val="19927F78"/>
    <w:rsid w:val="21AE59D8"/>
    <w:rsid w:val="24A83FD0"/>
    <w:rsid w:val="286F56EA"/>
    <w:rsid w:val="2D0530BB"/>
    <w:rsid w:val="2D527252"/>
    <w:rsid w:val="329102D6"/>
    <w:rsid w:val="3A9520B3"/>
    <w:rsid w:val="3C116DE8"/>
    <w:rsid w:val="3DBD4858"/>
    <w:rsid w:val="3DE562B7"/>
    <w:rsid w:val="3E6507EA"/>
    <w:rsid w:val="46644FD2"/>
    <w:rsid w:val="47550EBA"/>
    <w:rsid w:val="507B3238"/>
    <w:rsid w:val="50BB3388"/>
    <w:rsid w:val="6636451A"/>
    <w:rsid w:val="6BE94116"/>
    <w:rsid w:val="6FDA2517"/>
    <w:rsid w:val="70EA4708"/>
    <w:rsid w:val="78916378"/>
    <w:rsid w:val="7A3A6B7E"/>
    <w:rsid w:val="7BC20073"/>
    <w:rsid w:val="7C631402"/>
    <w:rsid w:val="7DCC0F6E"/>
    <w:rsid w:val="7E140770"/>
    <w:rsid w:val="7F0A4BF7"/>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5</Pages>
  <Words>2615</Words>
  <Characters>2716</Characters>
  <Lines>2</Lines>
  <Paragraphs>1</Paragraphs>
  <TotalTime>4</TotalTime>
  <ScaleCrop>false</ScaleCrop>
  <LinksUpToDate>false</LinksUpToDate>
  <CharactersWithSpaces>2719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峨边县住建局</cp:lastModifiedBy>
  <cp:lastPrinted>2022-03-15T02:17:00Z</cp:lastPrinted>
  <dcterms:modified xsi:type="dcterms:W3CDTF">2022-08-23T06:47:38Z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BFEBBA3979B04189974B004967ACF4F9</vt:lpwstr>
  </property>
</Properties>
</file>