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16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6-2</w:t>
      </w:r>
    </w:p>
    <w:p w14:paraId="344E63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760" w:firstLineChars="4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-SA"/>
        </w:rPr>
        <w:t>峨边彝族自治县人民政府办公室</w:t>
      </w:r>
    </w:p>
    <w:p w14:paraId="1D486A68">
      <w:pPr>
        <w:spacing w:line="600" w:lineRule="exact"/>
        <w:jc w:val="both"/>
        <w:rPr>
          <w:rFonts w:hint="eastAsia" w:ascii="黑体" w:hAnsi="黑体" w:eastAsia="黑体" w:cs="黑体"/>
          <w:color w:val="auto"/>
          <w:w w:val="98"/>
          <w:kern w:val="2"/>
          <w:sz w:val="44"/>
          <w:szCs w:val="44"/>
        </w:rPr>
      </w:pPr>
      <w:r>
        <w:rPr>
          <w:rFonts w:hint="eastAsia" w:ascii="黑体" w:hAnsi="黑体" w:eastAsia="黑体" w:cs="黑体"/>
          <w:w w:val="98"/>
          <w:sz w:val="44"/>
          <w:szCs w:val="44"/>
          <w:lang w:eastAsia="zh-CN"/>
        </w:rPr>
        <w:t>重点工作保障推进经费</w:t>
      </w:r>
      <w:r>
        <w:rPr>
          <w:rFonts w:hint="eastAsia" w:ascii="黑体" w:hAnsi="黑体" w:eastAsia="黑体" w:cs="黑体"/>
          <w:w w:val="98"/>
          <w:sz w:val="44"/>
          <w:szCs w:val="44"/>
        </w:rPr>
        <w:t>项目支出绩效自评报告</w:t>
      </w:r>
    </w:p>
    <w:p w14:paraId="55AB2A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760" w:firstLineChars="400"/>
        <w:textAlignment w:val="auto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-SA"/>
        </w:rPr>
      </w:pPr>
    </w:p>
    <w:p w14:paraId="4F64D59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lang w:val="zh-CN"/>
        </w:rPr>
        <w:t>项目概况</w:t>
      </w:r>
    </w:p>
    <w:p w14:paraId="7DA8DA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（一）项目资金申报及批复情况。</w:t>
      </w:r>
    </w:p>
    <w:p w14:paraId="06CA0976">
      <w:pPr>
        <w:adjustRightInd w:val="0"/>
        <w:snapToGrid w:val="0"/>
        <w:spacing w:line="600" w:lineRule="exact"/>
        <w:ind w:firstLine="720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en-US" w:eastAsia="zh-CN"/>
        </w:rPr>
        <w:t>1</w:t>
      </w:r>
      <w:r>
        <w:rPr>
          <w:rFonts w:hint="eastAsia" w:ascii="仿宋_GB2312" w:hAnsi="宋体"/>
          <w:lang w:val="zh-CN"/>
        </w:rPr>
        <w:t>．项目立项、资金申报的依据。</w:t>
      </w:r>
      <w:r>
        <w:rPr>
          <w:rFonts w:hint="eastAsia" w:ascii="仿宋" w:hAnsi="仿宋" w:eastAsia="仿宋" w:cs="仿宋"/>
          <w:sz w:val="32"/>
          <w:szCs w:val="32"/>
        </w:rPr>
        <w:t>经县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政府同意开展重点工作保障推进项目，我办结合工作实际报经县</w:t>
      </w:r>
      <w:r>
        <w:rPr>
          <w:rFonts w:hint="eastAsia" w:ascii="仿宋" w:hAnsi="仿宋" w:eastAsia="仿宋" w:cs="仿宋"/>
          <w:sz w:val="32"/>
          <w:szCs w:val="32"/>
        </w:rPr>
        <w:t>财政局批复的项目</w:t>
      </w:r>
      <w:r>
        <w:rPr>
          <w:rFonts w:hint="eastAsia" w:ascii="仿宋_GB2312" w:hAnsi="宋体"/>
          <w:lang w:val="zh-CN"/>
        </w:rPr>
        <w:t>经费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总额为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205.82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万元，实际使用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205.82万元，资金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全部是县本级预算资金。该项目资金</w:t>
      </w:r>
      <w:r>
        <w:rPr>
          <w:rFonts w:hint="eastAsia" w:ascii="仿宋_GB2312" w:hAnsi="宋体"/>
          <w:lang w:val="zh-CN"/>
        </w:rPr>
        <w:t>主要用于保证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政府常务会议和各类重要会议的顺利召开，以及政府办公场所及周转房的正常使用</w:t>
      </w:r>
      <w:r>
        <w:rPr>
          <w:rFonts w:hint="eastAsia" w:ascii="仿宋_GB2312" w:hAnsi="宋体"/>
          <w:lang w:val="zh-CN"/>
        </w:rPr>
        <w:t>。</w:t>
      </w:r>
    </w:p>
    <w:p w14:paraId="1027C65F">
      <w:pPr>
        <w:spacing w:line="640" w:lineRule="exact"/>
        <w:ind w:firstLine="640" w:firstLineChars="200"/>
        <w:rPr>
          <w:rFonts w:hint="eastAsia" w:ascii="仿宋_GB2312" w:hAnsi="宋体" w:eastAsia="仿宋_GB2312"/>
          <w:lang w:val="zh-CN" w:eastAsia="zh-CN"/>
        </w:rPr>
      </w:pPr>
      <w:r>
        <w:rPr>
          <w:rFonts w:hint="eastAsia" w:ascii="仿宋_GB2312" w:hAnsi="宋体"/>
          <w:lang w:val="en-US" w:eastAsia="zh-CN"/>
        </w:rPr>
        <w:t>2</w:t>
      </w:r>
      <w:r>
        <w:rPr>
          <w:rFonts w:hint="eastAsia" w:ascii="仿宋_GB2312" w:hAnsi="宋体"/>
          <w:lang w:val="zh-CN"/>
        </w:rPr>
        <w:t>．资金管理办法制定情况，资金支持具体项目的条件、范围与支持方式概况。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重点工作保障推进经费项目的</w:t>
      </w:r>
      <w:r>
        <w:rPr>
          <w:rFonts w:hint="eastAsia" w:ascii="仿宋_GB2312" w:hAnsi="宋体"/>
          <w:lang w:val="zh-CN"/>
        </w:rPr>
        <w:t>资金管理按</w:t>
      </w:r>
      <w:r>
        <w:rPr>
          <w:rFonts w:hint="eastAsia" w:ascii="仿宋_GB2312" w:hAnsi="仿宋_GB2312" w:cs="仿宋_GB2312"/>
        </w:rPr>
        <w:t>各项财经纪律和管理制度进行管理，按程序按规定支付各类费用。</w:t>
      </w:r>
    </w:p>
    <w:p w14:paraId="616741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（二）项目绩效目标。</w:t>
      </w:r>
    </w:p>
    <w:p w14:paraId="32570B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1．项目主要内容。</w:t>
      </w:r>
    </w:p>
    <w:p w14:paraId="37228A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重点工作保障推进经费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用于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保证政府常务会议和各类重要会议的顺利召开；保证政府办公场所及周转房的正常使用；确保2023年12月20日前全面完成了当年省市县下达目标任务。</w:t>
      </w:r>
    </w:p>
    <w:p w14:paraId="2A7941E0">
      <w:pPr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rPr>
          <w:rFonts w:hint="eastAsia" w:ascii="仿宋_GB2312" w:hAnsi="宋体"/>
          <w:lang w:val="zh-CN"/>
        </w:rPr>
      </w:pPr>
      <w:r>
        <w:rPr>
          <w:rFonts w:hint="eastAsia" w:ascii="仿宋_GB2312" w:hAnsi="宋体"/>
          <w:lang w:val="en-US" w:eastAsia="zh-CN"/>
        </w:rPr>
        <w:t>2.</w:t>
      </w:r>
      <w:r>
        <w:rPr>
          <w:rFonts w:hint="eastAsia" w:ascii="仿宋_GB2312" w:hAnsi="宋体"/>
          <w:lang w:val="zh-CN"/>
        </w:rPr>
        <w:t>计划实现的具体绩效目标以及项目实施进度计划等。</w:t>
      </w:r>
    </w:p>
    <w:p w14:paraId="466C6D54">
      <w:pPr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rPr>
          <w:rFonts w:hint="eastAsia" w:ascii="仿宋_GB2312" w:hAnsi="宋体" w:eastAsia="仿宋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资金主要用于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公大楼和政府周转房的维修和维护；提高办会水平，保证政府常务会议及各类重要会议的顺利召开；强化信息调研，加强督办问效，规范信息公开；保障政府后勤工作的顺利推进，使办公室的各项工作有序开展，保证2023年政府各项工作的顺利完成。</w:t>
      </w:r>
    </w:p>
    <w:p w14:paraId="45E150C5">
      <w:pPr>
        <w:numPr>
          <w:ilvl w:val="0"/>
          <w:numId w:val="0"/>
        </w:numPr>
        <w:adjustRightInd w:val="0"/>
        <w:snapToGrid w:val="0"/>
        <w:spacing w:line="580" w:lineRule="exact"/>
        <w:ind w:firstLine="643" w:firstLineChars="200"/>
        <w:rPr>
          <w:rFonts w:hint="eastAsia" w:ascii="仿宋_GB2312" w:hAnsi="宋体"/>
          <w:b/>
          <w:bCs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</w:t>
      </w:r>
      <w:r>
        <w:rPr>
          <w:rFonts w:hint="eastAsia" w:ascii="仿宋_GB2312" w:hAnsi="宋体"/>
          <w:b/>
          <w:bCs/>
          <w:lang w:val="zh-CN"/>
        </w:rPr>
        <w:t>项目资金申报相符性。</w:t>
      </w:r>
    </w:p>
    <w:p w14:paraId="62381CB6">
      <w:pPr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rPr>
          <w:rFonts w:hint="eastAsia" w:ascii="仿宋_GB2312" w:hAnsi="宋体" w:eastAsia="仿宋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项目申报内容是与具体实施内容相符的、申报目标是合理可行的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848D70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720" w:firstLineChars="0"/>
        <w:textAlignment w:val="auto"/>
        <w:rPr>
          <w:rFonts w:hint="eastAsia" w:ascii="黑体" w:hAnsi="宋体" w:eastAsia="黑体"/>
          <w:highlight w:val="none"/>
          <w:lang w:eastAsia="zh-CN"/>
        </w:rPr>
      </w:pPr>
      <w:r>
        <w:rPr>
          <w:rFonts w:hint="eastAsia" w:ascii="黑体" w:hAnsi="宋体" w:eastAsia="黑体"/>
          <w:highlight w:val="none"/>
        </w:rPr>
        <w:t>项目</w:t>
      </w:r>
      <w:r>
        <w:rPr>
          <w:rFonts w:hint="eastAsia" w:ascii="黑体" w:hAnsi="宋体" w:eastAsia="黑体"/>
          <w:highlight w:val="none"/>
          <w:lang w:eastAsia="zh-CN"/>
        </w:rPr>
        <w:t>实施及管理情况</w:t>
      </w:r>
    </w:p>
    <w:p w14:paraId="6BBCDA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（一）资金计划、到位及使用情况。</w:t>
      </w:r>
    </w:p>
    <w:p w14:paraId="235606ED">
      <w:pPr>
        <w:adjustRightInd w:val="0"/>
        <w:snapToGrid w:val="0"/>
        <w:spacing w:line="580" w:lineRule="exact"/>
        <w:ind w:firstLine="720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  <w:lang w:val="zh-CN"/>
        </w:rPr>
        <w:t>1．资金计划</w:t>
      </w:r>
      <w:r>
        <w:rPr>
          <w:rFonts w:hint="eastAsia" w:ascii="仿宋_GB2312" w:hAnsi="仿宋_GB2312" w:cs="仿宋_GB2312"/>
          <w:highlight w:val="none"/>
          <w:lang w:val="zh-CN"/>
        </w:rPr>
        <w:t>及到位</w:t>
      </w:r>
      <w:r>
        <w:rPr>
          <w:rFonts w:hint="eastAsia" w:ascii="仿宋_GB2312" w:hAnsi="仿宋_GB2312" w:eastAsia="仿宋_GB2312" w:cs="仿宋_GB2312"/>
          <w:highlight w:val="none"/>
          <w:lang w:val="zh-CN"/>
        </w:rPr>
        <w:t>。峨边彝族自治县人民政府</w:t>
      </w:r>
      <w:r>
        <w:rPr>
          <w:rFonts w:hint="eastAsia" w:ascii="仿宋_GB2312" w:hAnsi="仿宋_GB2312" w:cs="仿宋_GB2312"/>
          <w:highlight w:val="none"/>
          <w:lang w:val="zh-CN"/>
        </w:rPr>
        <w:t>办公室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重点工作保障推进项目资金</w:t>
      </w:r>
      <w:r>
        <w:rPr>
          <w:rFonts w:hint="eastAsia" w:ascii="仿宋_GB2312" w:hAnsi="仿宋_GB2312" w:eastAsia="仿宋_GB2312" w:cs="仿宋_GB2312"/>
          <w:highlight w:val="none"/>
          <w:lang w:val="zh-CN"/>
        </w:rPr>
        <w:t>为</w:t>
      </w:r>
      <w:r>
        <w:rPr>
          <w:rFonts w:hint="eastAsia" w:ascii="仿宋_GB2312" w:hAnsi="仿宋_GB2312" w:cs="仿宋_GB2312"/>
          <w:highlight w:val="none"/>
          <w:lang w:val="en-US" w:eastAsia="zh-CN"/>
        </w:rPr>
        <w:t>205.82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highlight w:val="none"/>
        </w:rPr>
        <w:t>，截止评价时点实际到位</w:t>
      </w:r>
      <w:r>
        <w:rPr>
          <w:rFonts w:hint="eastAsia" w:ascii="仿宋_GB2312" w:hAnsi="仿宋_GB2312" w:cs="仿宋_GB2312"/>
          <w:highlight w:val="none"/>
          <w:lang w:val="en-US" w:eastAsia="zh-CN"/>
        </w:rPr>
        <w:t>205.82</w:t>
      </w:r>
      <w:r>
        <w:rPr>
          <w:rFonts w:hint="eastAsia" w:ascii="仿宋_GB2312" w:hAnsi="仿宋_GB2312" w:eastAsia="仿宋_GB2312" w:cs="仿宋_GB2312"/>
          <w:highlight w:val="none"/>
        </w:rPr>
        <w:t>万元，实际资金到位率为</w:t>
      </w:r>
      <w:r>
        <w:rPr>
          <w:rFonts w:hint="eastAsia" w:ascii="仿宋_GB2312" w:hAnsi="仿宋_GB2312" w:cs="仿宋_GB231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highlight w:val="none"/>
        </w:rPr>
        <w:t>%、当年的财政资金及时全额到位。</w:t>
      </w:r>
    </w:p>
    <w:p w14:paraId="262EE7F9">
      <w:pPr>
        <w:adjustRightInd w:val="0"/>
        <w:snapToGrid w:val="0"/>
        <w:spacing w:line="580" w:lineRule="exact"/>
        <w:ind w:firstLine="720"/>
        <w:rPr>
          <w:rFonts w:ascii="仿宋" w:hAnsi="仿宋" w:eastAsia="仿宋" w:cs="仿宋"/>
          <w:highlight w:val="none"/>
        </w:rPr>
      </w:pPr>
      <w:r>
        <w:rPr>
          <w:rFonts w:hint="eastAsia" w:ascii="仿宋_GB2312" w:hAnsi="仿宋_GB2312" w:cs="仿宋_GB2312"/>
          <w:highlight w:val="none"/>
          <w:lang w:val="en-US" w:eastAsia="zh-CN"/>
        </w:rPr>
        <w:t>2</w:t>
      </w:r>
      <w:r>
        <w:rPr>
          <w:rFonts w:hint="eastAsia" w:ascii="楷体_GB2312" w:hAnsi="宋体" w:eastAsia="楷体_GB2312"/>
          <w:lang w:val="en-US" w:eastAsia="zh-CN"/>
        </w:rPr>
        <w:t>.</w:t>
      </w:r>
      <w:r>
        <w:rPr>
          <w:rFonts w:hint="eastAsia" w:ascii="楷体_GB2312" w:hAnsi="宋体" w:eastAsia="楷体_GB2312"/>
          <w:lang w:val="zh-CN"/>
        </w:rPr>
        <w:t>资金使用。</w:t>
      </w:r>
      <w:r>
        <w:rPr>
          <w:rFonts w:hint="eastAsia" w:ascii="仿宋_GB2312" w:hAnsi="仿宋_GB2312" w:eastAsia="仿宋_GB2312" w:cs="仿宋_GB2312"/>
          <w:highlight w:val="none"/>
          <w:lang w:val="zh-CN"/>
        </w:rPr>
        <w:t>峨边彝族自治县人民政府</w:t>
      </w:r>
      <w:r>
        <w:rPr>
          <w:rFonts w:hint="eastAsia" w:ascii="仿宋_GB2312" w:hAnsi="仿宋_GB2312" w:cs="仿宋_GB2312"/>
          <w:highlight w:val="none"/>
          <w:lang w:val="zh-CN"/>
        </w:rPr>
        <w:t>办公室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重点工作保障推进项目</w:t>
      </w:r>
      <w:r>
        <w:rPr>
          <w:rFonts w:hint="eastAsia" w:ascii="仿宋" w:hAnsi="仿宋" w:eastAsia="仿宋" w:cs="仿宋"/>
          <w:highlight w:val="none"/>
        </w:rPr>
        <w:t>共计支出</w:t>
      </w:r>
      <w:r>
        <w:rPr>
          <w:rFonts w:hint="eastAsia" w:ascii="仿宋" w:hAnsi="仿宋" w:eastAsia="仿宋" w:cs="仿宋"/>
          <w:highlight w:val="none"/>
          <w:lang w:val="en-US" w:eastAsia="zh-CN"/>
        </w:rPr>
        <w:t>205.82</w:t>
      </w:r>
      <w:r>
        <w:rPr>
          <w:rFonts w:hint="eastAsia" w:ascii="仿宋" w:hAnsi="仿宋" w:eastAsia="仿宋" w:cs="仿宋"/>
          <w:highlight w:val="none"/>
        </w:rPr>
        <w:t>万元。</w:t>
      </w:r>
      <w:r>
        <w:rPr>
          <w:rFonts w:hint="eastAsia" w:ascii="仿宋" w:hAnsi="仿宋" w:eastAsia="仿宋" w:cs="仿宋"/>
          <w:highlight w:val="none"/>
          <w:lang w:eastAsia="zh-CN"/>
        </w:rPr>
        <w:t>试点</w:t>
      </w:r>
      <w:bookmarkStart w:id="0" w:name="_GoBack"/>
      <w:bookmarkEnd w:id="0"/>
      <w:r>
        <w:rPr>
          <w:rFonts w:hint="eastAsia" w:ascii="仿宋" w:hAnsi="仿宋" w:eastAsia="仿宋" w:cs="仿宋"/>
          <w:highlight w:val="none"/>
        </w:rPr>
        <w:t>项目资金的实际支出情况，资金开支范围、标准及支付进度，支付依据是合规合法的，资金支付是与预算相符的。</w:t>
      </w:r>
    </w:p>
    <w:p w14:paraId="7251E2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（二）项目财务管理情况。</w:t>
      </w:r>
    </w:p>
    <w:p w14:paraId="565D7ED2">
      <w:pPr>
        <w:adjustRightInd w:val="0"/>
        <w:snapToGrid w:val="0"/>
        <w:spacing w:line="600" w:lineRule="exact"/>
        <w:ind w:firstLine="720"/>
        <w:rPr>
          <w:rFonts w:hint="eastAsia" w:ascii="仿宋_GB2312" w:hAnsi="仿宋_GB2312" w:cs="仿宋_GB2312"/>
          <w:lang w:val="zh-CN"/>
        </w:rPr>
      </w:pPr>
      <w:r>
        <w:rPr>
          <w:rFonts w:hint="eastAsia" w:ascii="仿宋_GB2312" w:hAnsi="仿宋_GB2312" w:cs="仿宋_GB2312"/>
        </w:rPr>
        <w:t>严格按照各项财务制度进行管理，按程序按规定报销各类费用</w:t>
      </w:r>
      <w:r>
        <w:rPr>
          <w:rFonts w:hint="eastAsia" w:ascii="仿宋_GB2312" w:hAnsi="仿宋_GB2312" w:cs="仿宋_GB2312"/>
          <w:lang w:val="zh-CN"/>
        </w:rPr>
        <w:t>，账务处理及时，会计核算规范。</w:t>
      </w:r>
    </w:p>
    <w:p w14:paraId="4E5FDA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黑体" w:hAnsi="宋体" w:eastAsia="黑体"/>
          <w:lang w:eastAsia="zh-CN"/>
        </w:rPr>
        <w:t>（</w:t>
      </w:r>
      <w:r>
        <w:rPr>
          <w:rFonts w:hint="eastAsia" w:ascii="楷体_GB2312" w:hAnsi="宋体" w:eastAsia="楷体_GB2312"/>
          <w:b/>
          <w:lang w:val="zh-CN" w:eastAsia="zh-CN"/>
        </w:rPr>
        <w:t>三）</w:t>
      </w:r>
      <w:r>
        <w:rPr>
          <w:rFonts w:hint="eastAsia" w:ascii="楷体_GB2312" w:hAnsi="宋体" w:eastAsia="楷体_GB2312"/>
          <w:b/>
          <w:lang w:val="zh-CN"/>
        </w:rPr>
        <w:t>项目组织实施情况</w:t>
      </w:r>
    </w:p>
    <w:p w14:paraId="1D24259B">
      <w:pPr>
        <w:adjustRightInd w:val="0"/>
        <w:snapToGrid w:val="0"/>
        <w:spacing w:line="600" w:lineRule="exact"/>
        <w:ind w:firstLine="720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结合项目组织实施管理办法，重点围绕以下内容进行分析评价，并对自评中发现的问题分析说明。</w:t>
      </w:r>
    </w:p>
    <w:p w14:paraId="706BAD74">
      <w:pPr>
        <w:numPr>
          <w:ilvl w:val="0"/>
          <w:numId w:val="0"/>
        </w:numPr>
        <w:adjustRightInd w:val="0"/>
        <w:snapToGrid w:val="0"/>
        <w:spacing w:line="560" w:lineRule="exact"/>
        <w:ind w:firstLine="643" w:firstLineChars="200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</w:t>
      </w:r>
      <w:r>
        <w:rPr>
          <w:rFonts w:hint="eastAsia" w:ascii="楷体_GB2312" w:hAnsi="宋体" w:eastAsia="楷体_GB2312"/>
          <w:b/>
          <w:lang w:val="en-US" w:eastAsia="zh-CN"/>
        </w:rPr>
        <w:t>1</w:t>
      </w:r>
      <w:r>
        <w:rPr>
          <w:rFonts w:hint="eastAsia" w:ascii="楷体_GB2312" w:hAnsi="宋体" w:eastAsia="楷体_GB2312"/>
          <w:b/>
          <w:lang w:val="zh-CN"/>
        </w:rPr>
        <w:t>）项目组织架构及实施流程。</w:t>
      </w:r>
    </w:p>
    <w:p w14:paraId="382185DE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召开专项申报工作会议，布置专项预算申报工作</w:t>
      </w:r>
    </w:p>
    <w:p w14:paraId="6035C833">
      <w:pPr>
        <w:adjustRightInd w:val="0"/>
        <w:snapToGrid w:val="0"/>
        <w:spacing w:line="560" w:lineRule="exact"/>
        <w:ind w:firstLine="7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各归口股室进行评审</w:t>
      </w:r>
    </w:p>
    <w:p w14:paraId="32EF94C8">
      <w:pPr>
        <w:adjustRightInd w:val="0"/>
        <w:snapToGrid w:val="0"/>
        <w:spacing w:line="560" w:lineRule="exact"/>
        <w:ind w:firstLine="7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并依据评审结果形成政府办专项预算草案</w:t>
      </w:r>
    </w:p>
    <w:p w14:paraId="230D98FD">
      <w:pPr>
        <w:adjustRightInd w:val="0"/>
        <w:snapToGrid w:val="0"/>
        <w:spacing w:line="560" w:lineRule="exact"/>
        <w:ind w:firstLine="7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办公室办公会审批预算方案和指标</w:t>
      </w:r>
    </w:p>
    <w:p w14:paraId="774129B1">
      <w:pPr>
        <w:adjustRightInd w:val="0"/>
        <w:snapToGrid w:val="0"/>
        <w:spacing w:line="560" w:lineRule="exact"/>
        <w:ind w:firstLine="7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财务室下达政府办专项预算指标</w:t>
      </w:r>
    </w:p>
    <w:p w14:paraId="7B3C7B69">
      <w:pPr>
        <w:adjustRightInd w:val="0"/>
        <w:snapToGrid w:val="0"/>
        <w:spacing w:line="560" w:lineRule="exact"/>
        <w:ind w:firstLine="7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项目相关股室根据财政评审和政府采购的要求修订预算，并准备评审资料</w:t>
      </w:r>
    </w:p>
    <w:p w14:paraId="7517666B">
      <w:pPr>
        <w:adjustRightInd w:val="0"/>
        <w:snapToGrid w:val="0"/>
        <w:spacing w:line="560" w:lineRule="exact"/>
        <w:ind w:firstLine="7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提交财务室，由财务室上报县财政局</w:t>
      </w:r>
    </w:p>
    <w:p w14:paraId="384B12A2">
      <w:pPr>
        <w:adjustRightInd w:val="0"/>
        <w:snapToGrid w:val="0"/>
        <w:spacing w:line="560" w:lineRule="exact"/>
        <w:ind w:firstLine="7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各相关股室将预算批复的结果及时告知各项目单位，严格项目预算执行，实施预算控制</w:t>
      </w:r>
    </w:p>
    <w:p w14:paraId="4589244D"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</w:t>
      </w:r>
      <w:r>
        <w:rPr>
          <w:rFonts w:hint="eastAsia" w:ascii="楷体_GB2312" w:hAnsi="宋体" w:eastAsia="楷体_GB2312"/>
          <w:b/>
          <w:lang w:val="en-US" w:eastAsia="zh-CN"/>
        </w:rPr>
        <w:t>2</w:t>
      </w:r>
      <w:r>
        <w:rPr>
          <w:rFonts w:hint="eastAsia" w:ascii="楷体_GB2312" w:hAnsi="宋体" w:eastAsia="楷体_GB2312"/>
          <w:b/>
          <w:lang w:val="zh-CN"/>
        </w:rPr>
        <w:t>）项目管理情况。</w:t>
      </w:r>
      <w:r>
        <w:rPr>
          <w:rFonts w:hint="eastAsia" w:ascii="仿宋_GB2312" w:hAnsi="宋体"/>
          <w:lang w:val="zh-CN"/>
        </w:rPr>
        <w:t>结合项目特点，按照相关法律法规及中央、省、市、县规定要求推进工作。</w:t>
      </w:r>
    </w:p>
    <w:p w14:paraId="3766D78E">
      <w:pPr>
        <w:adjustRightInd w:val="0"/>
        <w:snapToGrid w:val="0"/>
        <w:spacing w:line="600" w:lineRule="exact"/>
        <w:ind w:firstLine="643" w:firstLineChars="200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</w:t>
      </w:r>
      <w:r>
        <w:rPr>
          <w:rFonts w:hint="eastAsia" w:ascii="楷体_GB2312" w:hAnsi="宋体" w:eastAsia="楷体_GB2312"/>
          <w:b/>
          <w:lang w:val="en-US" w:eastAsia="zh-CN"/>
        </w:rPr>
        <w:t>3</w:t>
      </w:r>
      <w:r>
        <w:rPr>
          <w:rFonts w:hint="eastAsia" w:ascii="楷体_GB2312" w:hAnsi="宋体" w:eastAsia="楷体_GB2312"/>
          <w:b/>
          <w:lang w:val="zh-CN"/>
        </w:rPr>
        <w:t>）项目监管情况。</w:t>
      </w:r>
      <w:r>
        <w:rPr>
          <w:rFonts w:hint="eastAsia" w:ascii="仿宋_GB2312" w:hAnsi="仿宋_GB2312" w:cs="仿宋_GB2312"/>
          <w:bCs/>
          <w:lang w:val="zh-CN"/>
        </w:rPr>
        <w:t>办公室按照相关要求，对</w:t>
      </w:r>
      <w:r>
        <w:rPr>
          <w:rFonts w:hint="eastAsia" w:ascii="仿宋_GB2312" w:hAnsi="仿宋_GB2312" w:cs="仿宋_GB2312"/>
          <w:bCs/>
          <w:lang w:val="zh-CN" w:eastAsia="zh-CN"/>
        </w:rPr>
        <w:t>重点工作保障推进经费</w:t>
      </w:r>
      <w:r>
        <w:rPr>
          <w:rFonts w:hint="eastAsia" w:ascii="仿宋_GB2312" w:hAnsi="仿宋_GB2312" w:cs="仿宋_GB2312"/>
          <w:bCs/>
          <w:lang w:val="zh-CN"/>
        </w:rPr>
        <w:t>项目进行监督指导。</w:t>
      </w:r>
    </w:p>
    <w:p w14:paraId="7E75DD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jc w:val="left"/>
        <w:textAlignment w:val="auto"/>
        <w:rPr>
          <w:rFonts w:ascii="仿宋_GB2312" w:hAnsi="宋体"/>
          <w:lang w:val="zh-CN"/>
        </w:rPr>
      </w:pPr>
      <w:r>
        <w:rPr>
          <w:rFonts w:hint="eastAsia" w:ascii="黑体" w:hAnsi="宋体" w:eastAsia="黑体"/>
          <w:lang w:eastAsia="zh-CN"/>
        </w:rPr>
        <w:t>三</w:t>
      </w:r>
      <w:r>
        <w:rPr>
          <w:rFonts w:hint="eastAsia" w:ascii="黑体" w:hAnsi="宋体" w:eastAsia="黑体"/>
        </w:rPr>
        <w:t>、项目绩效情况</w:t>
      </w:r>
      <w:r>
        <w:rPr>
          <w:rFonts w:hint="eastAsia" w:ascii="仿宋_GB2312" w:hAnsi="宋体"/>
          <w:lang w:val="zh-CN"/>
        </w:rPr>
        <w:tab/>
      </w:r>
    </w:p>
    <w:p w14:paraId="7D6E98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（一）项目完成情况。</w:t>
      </w:r>
    </w:p>
    <w:p w14:paraId="6CECF7D0">
      <w:pPr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rPr>
          <w:rFonts w:hint="eastAsia" w:ascii="仿宋_GB2312" w:hAnsi="宋体" w:eastAsia="仿宋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重点工作保障推进项目</w:t>
      </w:r>
      <w:r>
        <w:rPr>
          <w:rFonts w:hint="eastAsia" w:ascii="仿宋_GB2312" w:hAnsi="宋体"/>
          <w:lang w:val="zh-CN"/>
        </w:rPr>
        <w:t>经费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实际使用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205.82万元，保证了2023年政府各项工作的顺利完成。</w:t>
      </w:r>
    </w:p>
    <w:p w14:paraId="23B338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（二）项目效益情况。</w:t>
      </w:r>
    </w:p>
    <w:p w14:paraId="090B6A03">
      <w:pPr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rPr>
          <w:rFonts w:hint="eastAsia" w:ascii="仿宋_GB2312" w:hAnsi="宋体" w:eastAsia="仿宋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高了办会水平，保证政府常务会及各类重要会议的顺利召开；强化了信息调研，加强了督办问效，规范了信息公开；保障了政府后勤工作的顺利推进，使办公室的各项工作有序开展，保证了2023年政府各项工作的顺利完成。</w:t>
      </w:r>
    </w:p>
    <w:p w14:paraId="541E60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69780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宋体" w:eastAsia="黑体"/>
          <w:lang w:eastAsia="zh-CN"/>
        </w:rPr>
      </w:pPr>
      <w:r>
        <w:rPr>
          <w:rFonts w:hint="eastAsia" w:ascii="黑体" w:hAnsi="宋体" w:eastAsia="黑体"/>
          <w:lang w:eastAsia="zh-CN"/>
        </w:rPr>
        <w:t>四</w:t>
      </w:r>
      <w:r>
        <w:rPr>
          <w:rFonts w:hint="eastAsia" w:ascii="黑体" w:hAnsi="宋体" w:eastAsia="黑体"/>
        </w:rPr>
        <w:t>、</w:t>
      </w:r>
      <w:r>
        <w:rPr>
          <w:rFonts w:hint="eastAsia" w:ascii="黑体" w:hAnsi="宋体" w:eastAsia="黑体"/>
          <w:lang w:eastAsia="zh-CN"/>
        </w:rPr>
        <w:t>问题及建议</w:t>
      </w:r>
    </w:p>
    <w:p w14:paraId="74CFE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（一）存在的问题。</w:t>
      </w:r>
    </w:p>
    <w:p w14:paraId="3ADB85B1"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560" w:lineRule="exact"/>
        <w:ind w:firstLine="602" w:firstLineChars="200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/>
          <w:color w:val="C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预算编制仍需进一步精确细化。随着财务工作日益细化，项目资金需要完全按照所下指标用途分类来使用，我办目前还需要进一步对预算编制进行细化，加强对资金使用的前瞻性预估。</w:t>
      </w:r>
    </w:p>
    <w:p w14:paraId="541CF11C">
      <w:pPr>
        <w:numPr>
          <w:ilvl w:val="0"/>
          <w:numId w:val="2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560" w:lineRule="exact"/>
        <w:ind w:firstLine="643" w:firstLineChars="200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相关建议。</w:t>
      </w:r>
    </w:p>
    <w:p w14:paraId="32701500">
      <w:pPr>
        <w:numPr>
          <w:ilvl w:val="0"/>
          <w:numId w:val="3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lang w:val="zh-CN"/>
        </w:rPr>
      </w:pPr>
      <w:r>
        <w:rPr>
          <w:rFonts w:hint="eastAsia" w:ascii="仿宋_GB2312" w:hAnsi="仿宋_GB2312" w:cs="仿宋_GB2312"/>
          <w:lang w:val="zh-CN"/>
        </w:rPr>
        <w:t>加强内部科室细化预算编制工作，认真做好预算的编制进一步的预算管理意识，严格按照预算编制的相关制度和要求进行预算编制。</w:t>
      </w:r>
    </w:p>
    <w:p w14:paraId="29AAA97E">
      <w:pPr>
        <w:numPr>
          <w:ilvl w:val="0"/>
          <w:numId w:val="3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560" w:lineRule="exact"/>
        <w:ind w:left="0" w:leftChars="0" w:firstLine="640" w:firstLineChars="200"/>
        <w:rPr>
          <w:rFonts w:hint="eastAsia" w:ascii="仿宋_GB2312" w:hAnsi="仿宋_GB2312" w:cs="仿宋_GB2312"/>
          <w:lang w:val="zh-CN" w:eastAsia="zh-CN"/>
        </w:rPr>
      </w:pPr>
      <w:r>
        <w:rPr>
          <w:rFonts w:hint="eastAsia" w:ascii="仿宋_GB2312" w:hAnsi="仿宋_GB2312" w:cs="仿宋_GB2312"/>
          <w:lang w:val="zh-CN" w:eastAsia="zh-CN"/>
        </w:rPr>
        <w:t>加强财务管理，严格财务审核。加强单位财务管理，健全单位财务管理制度体系，规范单位财务行为。在费用报账支付时，按照预算规定的费用项目和用途进行资金使用审核、列报支付、财务工作核算，杜绝超支现象的发生。</w:t>
      </w:r>
    </w:p>
    <w:p w14:paraId="047C883B"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lang w:val="zh-CN" w:eastAsia="zh-CN"/>
        </w:rPr>
      </w:pPr>
      <w:r>
        <w:rPr>
          <w:rFonts w:hint="eastAsia" w:ascii="仿宋_GB2312" w:hAnsi="仿宋_GB2312" w:cs="仿宋_GB2312"/>
          <w:lang w:val="en-US" w:eastAsia="zh-CN"/>
        </w:rPr>
        <w:t>3.</w:t>
      </w:r>
      <w:r>
        <w:rPr>
          <w:rFonts w:hint="eastAsia" w:ascii="仿宋_GB2312" w:hAnsi="仿宋_GB2312" w:cs="仿宋_GB2312"/>
          <w:lang w:val="zh-CN" w:eastAsia="zh-CN"/>
        </w:rPr>
        <w:t>加强财务管理，严格财务审核。加强单位财务管理，健全单位财务管理制度体系，规范单位财务行为。在费用报账支付时，按照预算规定的费用项目和用途进行资金使用审核、列报支付、财务工作核算，杜绝超支现象的发生。</w:t>
      </w:r>
    </w:p>
    <w:p w14:paraId="27B4B5B8"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560" w:lineRule="exact"/>
        <w:ind w:firstLine="643" w:firstLineChars="200"/>
        <w:rPr>
          <w:rFonts w:ascii="楷体_GB2312" w:hAnsi="宋体" w:eastAsia="楷体_GB2312"/>
          <w:b/>
          <w:lang w:val="zh-CN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406F20"/>
    <w:multiLevelType w:val="singleLevel"/>
    <w:tmpl w:val="B5406F2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A80DCFB"/>
    <w:multiLevelType w:val="singleLevel"/>
    <w:tmpl w:val="2A80DCF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7AC3694"/>
    <w:multiLevelType w:val="singleLevel"/>
    <w:tmpl w:val="47AC36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771D4D51"/>
    <w:rsid w:val="04637E8C"/>
    <w:rsid w:val="04777F8C"/>
    <w:rsid w:val="05EB45B9"/>
    <w:rsid w:val="08B71ADA"/>
    <w:rsid w:val="0D7421F4"/>
    <w:rsid w:val="0FC14BAE"/>
    <w:rsid w:val="0FDA1240"/>
    <w:rsid w:val="106F2678"/>
    <w:rsid w:val="166A3A8D"/>
    <w:rsid w:val="17377504"/>
    <w:rsid w:val="17AD20CD"/>
    <w:rsid w:val="18C1468F"/>
    <w:rsid w:val="1AAD5356"/>
    <w:rsid w:val="1B132036"/>
    <w:rsid w:val="1CA74E1F"/>
    <w:rsid w:val="1D444728"/>
    <w:rsid w:val="1E287D17"/>
    <w:rsid w:val="1E530268"/>
    <w:rsid w:val="1EB97C6B"/>
    <w:rsid w:val="22FF15E7"/>
    <w:rsid w:val="259049AF"/>
    <w:rsid w:val="27BE3283"/>
    <w:rsid w:val="27FC4F26"/>
    <w:rsid w:val="287D1F4F"/>
    <w:rsid w:val="28CB5DA8"/>
    <w:rsid w:val="2AF86ED7"/>
    <w:rsid w:val="2C361D0A"/>
    <w:rsid w:val="2CC02F7B"/>
    <w:rsid w:val="2DED5E24"/>
    <w:rsid w:val="2EB0459D"/>
    <w:rsid w:val="30DD2267"/>
    <w:rsid w:val="32B0512D"/>
    <w:rsid w:val="383B019C"/>
    <w:rsid w:val="39DA7866"/>
    <w:rsid w:val="3D893068"/>
    <w:rsid w:val="41F8267D"/>
    <w:rsid w:val="46D22C21"/>
    <w:rsid w:val="48D10546"/>
    <w:rsid w:val="4A2D4025"/>
    <w:rsid w:val="4B346060"/>
    <w:rsid w:val="4B6B333C"/>
    <w:rsid w:val="4CF24CCA"/>
    <w:rsid w:val="528172AA"/>
    <w:rsid w:val="54E92359"/>
    <w:rsid w:val="5548314B"/>
    <w:rsid w:val="59551ADB"/>
    <w:rsid w:val="5AE002BF"/>
    <w:rsid w:val="5AFF0188"/>
    <w:rsid w:val="5C723EA4"/>
    <w:rsid w:val="5C85148E"/>
    <w:rsid w:val="5CFA3680"/>
    <w:rsid w:val="5FA11C9B"/>
    <w:rsid w:val="61675870"/>
    <w:rsid w:val="61D83A85"/>
    <w:rsid w:val="672F0B13"/>
    <w:rsid w:val="67812633"/>
    <w:rsid w:val="68E249DE"/>
    <w:rsid w:val="69046F01"/>
    <w:rsid w:val="69F54403"/>
    <w:rsid w:val="6A83533A"/>
    <w:rsid w:val="6CA125CA"/>
    <w:rsid w:val="700245E7"/>
    <w:rsid w:val="713279DA"/>
    <w:rsid w:val="73B54BAD"/>
    <w:rsid w:val="74D54C0E"/>
    <w:rsid w:val="76D40BC6"/>
    <w:rsid w:val="771D4D51"/>
    <w:rsid w:val="772605C7"/>
    <w:rsid w:val="7F1B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customStyle="1" w:styleId="7">
    <w:name w:val="四号正文"/>
    <w:basedOn w:val="1"/>
    <w:autoRedefine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1639</Words>
  <Characters>1699</Characters>
  <Lines>0</Lines>
  <Paragraphs>0</Paragraphs>
  <TotalTime>0</TotalTime>
  <ScaleCrop>false</ScaleCrop>
  <LinksUpToDate>false</LinksUpToDate>
  <CharactersWithSpaces>1701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2020-06-30T08:13:00Z</dcterms:created>
  <dc:creator>Administrator</dc:creator>
  <cp:lastModifiedBy>碧云天</cp:lastModifiedBy>
  <cp:lastPrinted>2020-07-07T07:49:00Z</cp:lastPrinted>
  <dcterms:modified xsi:type="dcterms:W3CDTF">2024-10-17T09:53:56Z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5428192D068F4987903595C8CC9D8F69_12</vt:lpwstr>
  </property>
</Properties>
</file>