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DC4B3">
      <w:pPr>
        <w:pStyle w:val="3"/>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32"/>
          <w:szCs w:val="32"/>
        </w:rPr>
      </w:pPr>
      <w:bookmarkStart w:id="0" w:name="_Toc24724725"/>
      <w:r>
        <w:rPr>
          <w:rFonts w:hint="eastAsia" w:ascii="方正小标宋简体" w:hAnsi="方正小标宋简体" w:eastAsia="方正小标宋简体" w:cs="方正小标宋简体"/>
          <w:b w:val="0"/>
          <w:bCs w:val="0"/>
          <w:sz w:val="32"/>
          <w:szCs w:val="32"/>
          <w:lang w:eastAsia="zh-CN"/>
        </w:rPr>
        <w:t>峨边彝族自治县应急管理局</w:t>
      </w:r>
      <w:r>
        <w:rPr>
          <w:rFonts w:hint="eastAsia" w:ascii="方正小标宋简体" w:hAnsi="方正小标宋简体" w:eastAsia="方正小标宋简体" w:cs="方正小标宋简体"/>
          <w:b w:val="0"/>
          <w:bCs w:val="0"/>
          <w:sz w:val="32"/>
          <w:szCs w:val="32"/>
        </w:rPr>
        <w:t>基层政务公开标准目录</w:t>
      </w:r>
      <w:bookmarkEnd w:id="0"/>
    </w:p>
    <w:p w14:paraId="6195DF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b w:val="0"/>
          <w:bCs w:val="0"/>
          <w:sz w:val="32"/>
          <w:szCs w:val="32"/>
        </w:rPr>
        <w:t>安全生产领域</w:t>
      </w:r>
    </w:p>
    <w:tbl>
      <w:tblPr>
        <w:tblStyle w:val="5"/>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0E7E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noWrap w:val="0"/>
            <w:vAlign w:val="center"/>
          </w:tcPr>
          <w:p w14:paraId="50244B4C">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noWrap w:val="0"/>
            <w:vAlign w:val="center"/>
          </w:tcPr>
          <w:p w14:paraId="31C1B9F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0"/>
            <w:vAlign w:val="center"/>
          </w:tcPr>
          <w:p w14:paraId="4E8BBCD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14:paraId="5B13FF5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14:paraId="31D1B70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14:paraId="52CE280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14:paraId="6364ECC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主体</w:t>
            </w:r>
          </w:p>
        </w:tc>
        <w:tc>
          <w:tcPr>
            <w:tcW w:w="1496" w:type="dxa"/>
            <w:vMerge w:val="restart"/>
            <w:noWrap w:val="0"/>
            <w:vAlign w:val="center"/>
          </w:tcPr>
          <w:p w14:paraId="68552E8B">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noWrap w:val="0"/>
            <w:vAlign w:val="center"/>
          </w:tcPr>
          <w:p w14:paraId="0E876FC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noWrap w:val="0"/>
            <w:vAlign w:val="center"/>
          </w:tcPr>
          <w:p w14:paraId="07DD77B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noWrap w:val="0"/>
            <w:vAlign w:val="center"/>
          </w:tcPr>
          <w:p w14:paraId="69A5756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14:paraId="4F2F0A0D">
            <w:pPr>
              <w:widowControl/>
              <w:jc w:val="center"/>
              <w:rPr>
                <w:rFonts w:hint="eastAsia" w:ascii="黑体" w:hAnsi="宋体" w:eastAsia="黑体" w:cs="宋体"/>
                <w:color w:val="000000"/>
                <w:kern w:val="0"/>
                <w:sz w:val="22"/>
              </w:rPr>
            </w:pPr>
            <w:bookmarkStart w:id="1" w:name="_GoBack"/>
            <w:bookmarkEnd w:id="1"/>
            <w:r>
              <w:rPr>
                <w:rFonts w:hint="eastAsia" w:ascii="黑体" w:hAnsi="宋体" w:eastAsia="黑体" w:cs="宋体"/>
                <w:color w:val="000000"/>
                <w:kern w:val="0"/>
                <w:sz w:val="22"/>
              </w:rPr>
              <w:t>层级</w:t>
            </w:r>
          </w:p>
        </w:tc>
      </w:tr>
      <w:tr w14:paraId="0ACC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noWrap w:val="0"/>
            <w:vAlign w:val="center"/>
          </w:tcPr>
          <w:p w14:paraId="1BF420BF">
            <w:pPr>
              <w:widowControl/>
              <w:jc w:val="center"/>
              <w:rPr>
                <w:rFonts w:hint="eastAsia" w:ascii="仿宋_GB2312" w:hAnsi="Times New Roman" w:eastAsia="仿宋_GB2312"/>
                <w:color w:val="000000"/>
                <w:kern w:val="0"/>
                <w:sz w:val="18"/>
                <w:szCs w:val="18"/>
              </w:rPr>
            </w:pPr>
          </w:p>
        </w:tc>
        <w:tc>
          <w:tcPr>
            <w:tcW w:w="900" w:type="dxa"/>
            <w:noWrap w:val="0"/>
            <w:vAlign w:val="center"/>
          </w:tcPr>
          <w:p w14:paraId="0A5D95D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w:t>
            </w:r>
          </w:p>
          <w:p w14:paraId="7342E55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事项</w:t>
            </w:r>
          </w:p>
        </w:tc>
        <w:tc>
          <w:tcPr>
            <w:tcW w:w="1080" w:type="dxa"/>
            <w:noWrap w:val="0"/>
            <w:vAlign w:val="center"/>
          </w:tcPr>
          <w:p w14:paraId="5B59AA2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14:paraId="22DC486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事项</w:t>
            </w:r>
          </w:p>
        </w:tc>
        <w:tc>
          <w:tcPr>
            <w:tcW w:w="2520" w:type="dxa"/>
            <w:vMerge w:val="continue"/>
            <w:noWrap w:val="0"/>
            <w:vAlign w:val="center"/>
          </w:tcPr>
          <w:p w14:paraId="58CDE385">
            <w:pPr>
              <w:widowControl/>
              <w:jc w:val="left"/>
              <w:rPr>
                <w:rFonts w:hint="eastAsia" w:ascii="黑体" w:hAnsi="宋体" w:eastAsia="黑体" w:cs="宋体"/>
                <w:color w:val="000000"/>
                <w:kern w:val="0"/>
                <w:sz w:val="22"/>
              </w:rPr>
            </w:pPr>
          </w:p>
        </w:tc>
        <w:tc>
          <w:tcPr>
            <w:tcW w:w="2520" w:type="dxa"/>
            <w:vMerge w:val="continue"/>
            <w:noWrap w:val="0"/>
            <w:vAlign w:val="center"/>
          </w:tcPr>
          <w:p w14:paraId="660327FD">
            <w:pPr>
              <w:widowControl/>
              <w:jc w:val="left"/>
              <w:rPr>
                <w:rFonts w:hint="eastAsia" w:ascii="黑体" w:hAnsi="宋体" w:eastAsia="黑体" w:cs="宋体"/>
                <w:color w:val="000000"/>
                <w:kern w:val="0"/>
                <w:sz w:val="22"/>
              </w:rPr>
            </w:pPr>
          </w:p>
        </w:tc>
        <w:tc>
          <w:tcPr>
            <w:tcW w:w="1800" w:type="dxa"/>
            <w:vMerge w:val="continue"/>
            <w:noWrap w:val="0"/>
            <w:vAlign w:val="center"/>
          </w:tcPr>
          <w:p w14:paraId="1CDDA1FD">
            <w:pPr>
              <w:widowControl/>
              <w:jc w:val="left"/>
              <w:rPr>
                <w:rFonts w:hint="eastAsia" w:ascii="黑体" w:hAnsi="宋体" w:eastAsia="黑体" w:cs="宋体"/>
                <w:color w:val="000000"/>
                <w:kern w:val="0"/>
                <w:sz w:val="22"/>
              </w:rPr>
            </w:pPr>
          </w:p>
        </w:tc>
        <w:tc>
          <w:tcPr>
            <w:tcW w:w="900" w:type="dxa"/>
            <w:vMerge w:val="continue"/>
            <w:noWrap w:val="0"/>
            <w:vAlign w:val="center"/>
          </w:tcPr>
          <w:p w14:paraId="46F18E81">
            <w:pPr>
              <w:widowControl/>
              <w:jc w:val="center"/>
              <w:rPr>
                <w:rFonts w:hint="eastAsia" w:ascii="黑体" w:hAnsi="宋体" w:eastAsia="黑体" w:cs="宋体"/>
                <w:color w:val="000000"/>
                <w:kern w:val="0"/>
                <w:sz w:val="22"/>
              </w:rPr>
            </w:pPr>
          </w:p>
        </w:tc>
        <w:tc>
          <w:tcPr>
            <w:tcW w:w="1496" w:type="dxa"/>
            <w:vMerge w:val="continue"/>
            <w:noWrap w:val="0"/>
            <w:vAlign w:val="center"/>
          </w:tcPr>
          <w:p w14:paraId="16462AAF">
            <w:pPr>
              <w:widowControl/>
              <w:jc w:val="left"/>
              <w:rPr>
                <w:rFonts w:hint="eastAsia" w:ascii="黑体" w:hAnsi="宋体" w:eastAsia="黑体" w:cs="宋体"/>
                <w:kern w:val="0"/>
                <w:sz w:val="22"/>
              </w:rPr>
            </w:pPr>
          </w:p>
        </w:tc>
        <w:tc>
          <w:tcPr>
            <w:tcW w:w="664" w:type="dxa"/>
            <w:noWrap w:val="0"/>
            <w:vAlign w:val="center"/>
          </w:tcPr>
          <w:p w14:paraId="05A521B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0CEBAD6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noWrap w:val="0"/>
            <w:vAlign w:val="center"/>
          </w:tcPr>
          <w:p w14:paraId="3D790D3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629084A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14:paraId="4253A07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noWrap w:val="0"/>
            <w:vAlign w:val="center"/>
          </w:tcPr>
          <w:p w14:paraId="026305A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5B88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noWrap w:val="0"/>
            <w:vAlign w:val="center"/>
          </w:tcPr>
          <w:p w14:paraId="7694837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noWrap w:val="0"/>
            <w:vAlign w:val="center"/>
          </w:tcPr>
          <w:p w14:paraId="3FBC699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CD2155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noWrap w:val="0"/>
            <w:vAlign w:val="center"/>
          </w:tcPr>
          <w:p w14:paraId="16F2F23E">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noWrap w:val="0"/>
            <w:vAlign w:val="center"/>
          </w:tcPr>
          <w:p w14:paraId="470ECC6D">
            <w:pPr>
              <w:jc w:val="both"/>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w:t>
            </w:r>
            <w:r>
              <w:rPr>
                <w:rFonts w:hint="eastAsia" w:ascii="仿宋_GB2312" w:eastAsia="仿宋_GB2312"/>
                <w:bCs/>
                <w:color w:val="000000"/>
                <w:sz w:val="18"/>
                <w:szCs w:val="18"/>
                <w:lang w:eastAsia="zh-CN"/>
              </w:rPr>
              <w:t>法律法规</w:t>
            </w:r>
          </w:p>
        </w:tc>
        <w:tc>
          <w:tcPr>
            <w:tcW w:w="2520" w:type="dxa"/>
            <w:noWrap w:val="0"/>
            <w:vAlign w:val="center"/>
          </w:tcPr>
          <w:p w14:paraId="087A55A1">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noWrap w:val="0"/>
            <w:vAlign w:val="center"/>
          </w:tcPr>
          <w:p w14:paraId="24526614">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0F4E8D5B">
            <w:pPr>
              <w:jc w:val="center"/>
              <w:rPr>
                <w:rFonts w:hint="eastAsia"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峨边彝族自治县应急管理局</w:t>
            </w:r>
          </w:p>
        </w:tc>
        <w:tc>
          <w:tcPr>
            <w:tcW w:w="1496" w:type="dxa"/>
            <w:vMerge w:val="restart"/>
            <w:noWrap w:val="0"/>
            <w:vAlign w:val="center"/>
          </w:tcPr>
          <w:p w14:paraId="40B41325">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sym w:font="Wingdings" w:char="00A8"/>
            </w:r>
            <w:r>
              <w:rPr>
                <w:rFonts w:hint="eastAsia" w:ascii="仿宋_GB2312" w:eastAsia="仿宋_GB2312"/>
                <w:sz w:val="18"/>
                <w:szCs w:val="18"/>
              </w:rPr>
              <w:t xml:space="preserve">两微一端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07F332D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108920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6F18943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28644F2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3095EBA0">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63FC4DC1">
            <w:pPr>
              <w:rPr>
                <w:rFonts w:hint="eastAsia" w:ascii="仿宋_GB2312" w:hAnsi="宋体" w:eastAsia="仿宋_GB2312" w:cs="宋体"/>
                <w:bCs/>
                <w:sz w:val="18"/>
                <w:szCs w:val="18"/>
              </w:rPr>
            </w:pPr>
            <w:r>
              <w:rPr>
                <w:rFonts w:hint="eastAsia" w:ascii="仿宋_GB2312" w:eastAsia="仿宋_GB2312"/>
                <w:bCs/>
                <w:sz w:val="18"/>
                <w:szCs w:val="18"/>
              </w:rPr>
              <w:t>√</w:t>
            </w:r>
          </w:p>
        </w:tc>
      </w:tr>
      <w:tr w14:paraId="7006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noWrap w:val="0"/>
            <w:vAlign w:val="center"/>
          </w:tcPr>
          <w:p w14:paraId="073DA31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noWrap w:val="0"/>
            <w:vAlign w:val="center"/>
          </w:tcPr>
          <w:p w14:paraId="3B38506F">
            <w:pPr>
              <w:jc w:val="center"/>
              <w:rPr>
                <w:rFonts w:hint="eastAsia" w:ascii="仿宋_GB2312" w:hAnsi="宋体" w:eastAsia="仿宋_GB2312" w:cs="宋体"/>
                <w:color w:val="000000"/>
                <w:sz w:val="18"/>
                <w:szCs w:val="18"/>
              </w:rPr>
            </w:pPr>
          </w:p>
        </w:tc>
        <w:tc>
          <w:tcPr>
            <w:tcW w:w="1080" w:type="dxa"/>
            <w:noWrap w:val="0"/>
            <w:vAlign w:val="center"/>
          </w:tcPr>
          <w:p w14:paraId="784C90CC">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noWrap w:val="0"/>
            <w:vAlign w:val="center"/>
          </w:tcPr>
          <w:p w14:paraId="7EE38276">
            <w:pPr>
              <w:jc w:val="both"/>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noWrap w:val="0"/>
            <w:vAlign w:val="center"/>
          </w:tcPr>
          <w:p w14:paraId="35E7B3D7">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noWrap w:val="0"/>
            <w:vAlign w:val="center"/>
          </w:tcPr>
          <w:p w14:paraId="15D91596">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1412588A">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vMerge w:val="continue"/>
            <w:noWrap w:val="0"/>
            <w:vAlign w:val="center"/>
          </w:tcPr>
          <w:p w14:paraId="7FEABADA">
            <w:pPr>
              <w:spacing w:line="240" w:lineRule="exact"/>
              <w:jc w:val="left"/>
              <w:rPr>
                <w:rFonts w:hint="eastAsia" w:ascii="仿宋_GB2312" w:eastAsia="仿宋_GB2312"/>
                <w:sz w:val="18"/>
                <w:szCs w:val="18"/>
              </w:rPr>
            </w:pPr>
          </w:p>
        </w:tc>
        <w:tc>
          <w:tcPr>
            <w:tcW w:w="664" w:type="dxa"/>
            <w:noWrap w:val="0"/>
            <w:vAlign w:val="center"/>
          </w:tcPr>
          <w:p w14:paraId="22F9683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D4BC0E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1A79083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0293A16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16256F80">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30E12D97">
            <w:pPr>
              <w:rPr>
                <w:rFonts w:hint="eastAsia" w:ascii="仿宋_GB2312" w:hAnsi="宋体" w:eastAsia="仿宋_GB2312" w:cs="宋体"/>
                <w:bCs/>
                <w:sz w:val="18"/>
                <w:szCs w:val="18"/>
              </w:rPr>
            </w:pPr>
            <w:r>
              <w:rPr>
                <w:rFonts w:hint="eastAsia" w:ascii="仿宋_GB2312" w:eastAsia="仿宋_GB2312"/>
                <w:bCs/>
                <w:sz w:val="18"/>
                <w:szCs w:val="18"/>
              </w:rPr>
              <w:t>√</w:t>
            </w:r>
          </w:p>
        </w:tc>
      </w:tr>
      <w:tr w14:paraId="11BA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noWrap w:val="0"/>
            <w:vAlign w:val="center"/>
          </w:tcPr>
          <w:p w14:paraId="3C1406D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noWrap w:val="0"/>
            <w:vAlign w:val="center"/>
          </w:tcPr>
          <w:p w14:paraId="0895F3AA">
            <w:pPr>
              <w:jc w:val="center"/>
              <w:rPr>
                <w:rFonts w:hint="eastAsia" w:ascii="仿宋_GB2312" w:hAnsi="宋体" w:eastAsia="仿宋_GB2312" w:cs="宋体"/>
                <w:color w:val="000000"/>
                <w:sz w:val="18"/>
                <w:szCs w:val="18"/>
              </w:rPr>
            </w:pPr>
          </w:p>
        </w:tc>
        <w:tc>
          <w:tcPr>
            <w:tcW w:w="1080" w:type="dxa"/>
            <w:noWrap w:val="0"/>
            <w:vAlign w:val="center"/>
          </w:tcPr>
          <w:p w14:paraId="79E19CA2">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noWrap w:val="0"/>
            <w:vAlign w:val="center"/>
          </w:tcPr>
          <w:p w14:paraId="548F8ADD">
            <w:pPr>
              <w:jc w:val="both"/>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noWrap w:val="0"/>
            <w:vAlign w:val="center"/>
          </w:tcPr>
          <w:p w14:paraId="2B3DF6ED">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noWrap w:val="0"/>
            <w:vAlign w:val="center"/>
          </w:tcPr>
          <w:p w14:paraId="7D6A085E">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2960FD32">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vMerge w:val="continue"/>
            <w:noWrap w:val="0"/>
            <w:vAlign w:val="center"/>
          </w:tcPr>
          <w:p w14:paraId="44BED89F">
            <w:pPr>
              <w:spacing w:line="240" w:lineRule="exact"/>
              <w:jc w:val="left"/>
              <w:rPr>
                <w:rFonts w:hint="eastAsia" w:ascii="仿宋_GB2312" w:eastAsia="仿宋_GB2312"/>
                <w:sz w:val="18"/>
                <w:szCs w:val="18"/>
              </w:rPr>
            </w:pPr>
          </w:p>
        </w:tc>
        <w:tc>
          <w:tcPr>
            <w:tcW w:w="664" w:type="dxa"/>
            <w:noWrap w:val="0"/>
            <w:vAlign w:val="center"/>
          </w:tcPr>
          <w:p w14:paraId="707FED0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2034D6F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5B9517C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4D0EC66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6F48B2F3">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179ECC0C">
            <w:pPr>
              <w:rPr>
                <w:rFonts w:hint="eastAsia" w:ascii="仿宋_GB2312" w:hAnsi="宋体" w:eastAsia="仿宋_GB2312" w:cs="宋体"/>
                <w:bCs/>
                <w:sz w:val="18"/>
                <w:szCs w:val="18"/>
              </w:rPr>
            </w:pPr>
            <w:r>
              <w:rPr>
                <w:rFonts w:hint="eastAsia" w:ascii="仿宋_GB2312" w:eastAsia="仿宋_GB2312"/>
                <w:bCs/>
                <w:sz w:val="18"/>
                <w:szCs w:val="18"/>
              </w:rPr>
              <w:t>√</w:t>
            </w:r>
          </w:p>
        </w:tc>
      </w:tr>
      <w:tr w14:paraId="54F7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noWrap w:val="0"/>
            <w:vAlign w:val="center"/>
          </w:tcPr>
          <w:p w14:paraId="63802CF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noWrap w:val="0"/>
            <w:vAlign w:val="center"/>
          </w:tcPr>
          <w:p w14:paraId="63A39726">
            <w:pPr>
              <w:jc w:val="center"/>
              <w:rPr>
                <w:rFonts w:hint="eastAsia" w:ascii="仿宋_GB2312" w:hAnsi="宋体" w:eastAsia="仿宋_GB2312" w:cs="宋体"/>
                <w:color w:val="000000"/>
                <w:sz w:val="18"/>
                <w:szCs w:val="18"/>
              </w:rPr>
            </w:pPr>
          </w:p>
        </w:tc>
        <w:tc>
          <w:tcPr>
            <w:tcW w:w="1080" w:type="dxa"/>
            <w:noWrap w:val="0"/>
            <w:vAlign w:val="center"/>
          </w:tcPr>
          <w:p w14:paraId="369DF70D">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noWrap w:val="0"/>
            <w:vAlign w:val="center"/>
          </w:tcPr>
          <w:p w14:paraId="7000E8C7">
            <w:pPr>
              <w:jc w:val="both"/>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noWrap w:val="0"/>
            <w:vAlign w:val="center"/>
          </w:tcPr>
          <w:p w14:paraId="27B3D2D7">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noWrap w:val="0"/>
            <w:vAlign w:val="center"/>
          </w:tcPr>
          <w:p w14:paraId="04CA27FE">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6DE69389">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vMerge w:val="continue"/>
            <w:noWrap w:val="0"/>
            <w:vAlign w:val="center"/>
          </w:tcPr>
          <w:p w14:paraId="24C59E3B">
            <w:pPr>
              <w:spacing w:line="240" w:lineRule="exact"/>
              <w:jc w:val="left"/>
              <w:rPr>
                <w:rFonts w:hint="eastAsia" w:ascii="仿宋_GB2312" w:eastAsia="仿宋_GB2312"/>
                <w:sz w:val="18"/>
                <w:szCs w:val="18"/>
              </w:rPr>
            </w:pPr>
          </w:p>
        </w:tc>
        <w:tc>
          <w:tcPr>
            <w:tcW w:w="664" w:type="dxa"/>
            <w:noWrap w:val="0"/>
            <w:vAlign w:val="center"/>
          </w:tcPr>
          <w:p w14:paraId="56B214A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1D65716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312AD8C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CB1755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02C58D9B">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647E47D2">
            <w:pPr>
              <w:rPr>
                <w:rFonts w:hint="eastAsia" w:ascii="仿宋_GB2312" w:hAnsi="宋体" w:eastAsia="仿宋_GB2312" w:cs="宋体"/>
                <w:bCs/>
                <w:sz w:val="18"/>
                <w:szCs w:val="18"/>
              </w:rPr>
            </w:pPr>
            <w:r>
              <w:rPr>
                <w:rFonts w:hint="eastAsia" w:ascii="仿宋_GB2312" w:eastAsia="仿宋_GB2312"/>
                <w:bCs/>
                <w:sz w:val="18"/>
                <w:szCs w:val="18"/>
              </w:rPr>
              <w:t>　</w:t>
            </w:r>
          </w:p>
        </w:tc>
      </w:tr>
      <w:tr w14:paraId="0AF8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137E408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noWrap w:val="0"/>
            <w:vAlign w:val="center"/>
          </w:tcPr>
          <w:p w14:paraId="722E647F">
            <w:pPr>
              <w:rPr>
                <w:rFonts w:hint="eastAsia" w:ascii="仿宋_GB2312" w:hAnsi="宋体" w:eastAsia="仿宋_GB2312" w:cs="宋体"/>
                <w:color w:val="000000"/>
                <w:sz w:val="18"/>
                <w:szCs w:val="18"/>
              </w:rPr>
            </w:pPr>
          </w:p>
        </w:tc>
        <w:tc>
          <w:tcPr>
            <w:tcW w:w="1080" w:type="dxa"/>
            <w:noWrap w:val="0"/>
            <w:vAlign w:val="center"/>
          </w:tcPr>
          <w:p w14:paraId="64EE2DF1">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noWrap w:val="0"/>
            <w:vAlign w:val="center"/>
          </w:tcPr>
          <w:p w14:paraId="480EF1F8">
            <w:pPr>
              <w:jc w:val="both"/>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noWrap w:val="0"/>
            <w:vAlign w:val="center"/>
          </w:tcPr>
          <w:p w14:paraId="115F1D65">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noWrap w:val="0"/>
            <w:vAlign w:val="center"/>
          </w:tcPr>
          <w:p w14:paraId="1A31AD2B">
            <w:pPr>
              <w:jc w:val="center"/>
              <w:rPr>
                <w:rFonts w:hint="eastAsia" w:ascii="仿宋_GB2312" w:eastAsia="仿宋_GB2312"/>
                <w:bCs/>
                <w:color w:val="000000"/>
                <w:sz w:val="18"/>
                <w:szCs w:val="18"/>
              </w:rPr>
            </w:pPr>
            <w:r>
              <w:rPr>
                <w:rFonts w:hint="eastAsia" w:ascii="仿宋_GB2312" w:eastAsia="仿宋_GB2312"/>
                <w:bCs/>
                <w:color w:val="000000"/>
                <w:sz w:val="18"/>
                <w:szCs w:val="18"/>
              </w:rPr>
              <w:t>按进展情况及时</w:t>
            </w:r>
          </w:p>
          <w:p w14:paraId="66B7D70D">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公开</w:t>
            </w:r>
          </w:p>
        </w:tc>
        <w:tc>
          <w:tcPr>
            <w:tcW w:w="900" w:type="dxa"/>
            <w:noWrap w:val="0"/>
            <w:vAlign w:val="center"/>
          </w:tcPr>
          <w:p w14:paraId="24B9677A">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4A2334F8">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sym w:font="Wingdings" w:char="00A8"/>
            </w:r>
            <w:r>
              <w:rPr>
                <w:rFonts w:hint="eastAsia" w:ascii="仿宋_GB2312" w:eastAsia="仿宋_GB2312"/>
                <w:sz w:val="18"/>
                <w:szCs w:val="18"/>
              </w:rPr>
              <w:t xml:space="preserve">两微一端   ■公开查阅点 </w:t>
            </w:r>
          </w:p>
        </w:tc>
        <w:tc>
          <w:tcPr>
            <w:tcW w:w="664" w:type="dxa"/>
            <w:noWrap w:val="0"/>
            <w:vAlign w:val="center"/>
          </w:tcPr>
          <w:p w14:paraId="7A1D291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461E4C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4B1839F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D056FF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722F4717">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2F8B9F6C">
            <w:pPr>
              <w:rPr>
                <w:rFonts w:hint="eastAsia" w:ascii="仿宋_GB2312" w:hAnsi="宋体" w:eastAsia="仿宋_GB2312" w:cs="宋体"/>
                <w:bCs/>
                <w:sz w:val="18"/>
                <w:szCs w:val="18"/>
              </w:rPr>
            </w:pPr>
            <w:r>
              <w:rPr>
                <w:rFonts w:hint="eastAsia" w:ascii="仿宋_GB2312" w:eastAsia="仿宋_GB2312"/>
                <w:bCs/>
                <w:sz w:val="18"/>
                <w:szCs w:val="18"/>
              </w:rPr>
              <w:t>√</w:t>
            </w:r>
          </w:p>
        </w:tc>
      </w:tr>
      <w:tr w14:paraId="3ACC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noWrap w:val="0"/>
            <w:vAlign w:val="center"/>
          </w:tcPr>
          <w:p w14:paraId="4DA9AA9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noWrap w:val="0"/>
            <w:vAlign w:val="center"/>
          </w:tcPr>
          <w:p w14:paraId="40AA8AE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084092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noWrap w:val="0"/>
            <w:vAlign w:val="center"/>
          </w:tcPr>
          <w:p w14:paraId="26ECDDB5">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noWrap w:val="0"/>
            <w:vAlign w:val="center"/>
          </w:tcPr>
          <w:p w14:paraId="5A855289">
            <w:pPr>
              <w:jc w:val="both"/>
              <w:rPr>
                <w:rFonts w:hint="eastAsia"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noWrap w:val="0"/>
            <w:vAlign w:val="center"/>
          </w:tcPr>
          <w:p w14:paraId="754156B1">
            <w:pPr>
              <w:jc w:val="cente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noWrap w:val="0"/>
            <w:vAlign w:val="center"/>
          </w:tcPr>
          <w:p w14:paraId="52D0A762">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noWrap w:val="0"/>
            <w:vAlign w:val="center"/>
          </w:tcPr>
          <w:p w14:paraId="00776FE9">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156E13DD">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sym w:font="Wingdings" w:char="00A8"/>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sym w:font="Wingdings" w:char="00A8"/>
            </w:r>
            <w:r>
              <w:rPr>
                <w:rFonts w:hint="eastAsia" w:ascii="仿宋_GB2312" w:eastAsia="仿宋_GB2312"/>
                <w:sz w:val="18"/>
                <w:szCs w:val="18"/>
              </w:rPr>
              <w:t xml:space="preserve">广播电视   </w:t>
            </w:r>
          </w:p>
          <w:p w14:paraId="1C8DAD9C">
            <w:pPr>
              <w:spacing w:line="240" w:lineRule="exact"/>
              <w:jc w:val="left"/>
              <w:rPr>
                <w:rFonts w:hint="eastAsia" w:ascii="仿宋_GB2312" w:eastAsia="仿宋_GB2312"/>
                <w:sz w:val="18"/>
                <w:szCs w:val="18"/>
              </w:rPr>
            </w:pPr>
            <w:r>
              <w:rPr>
                <w:rFonts w:hint="eastAsia" w:ascii="仿宋_GB2312" w:eastAsia="仿宋_GB2312"/>
                <w:sz w:val="18"/>
                <w:szCs w:val="18"/>
              </w:rPr>
              <w:sym w:font="Wingdings" w:char="00A8"/>
            </w: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r>
              <w:rPr>
                <w:rFonts w:hint="eastAsia" w:ascii="仿宋_GB2312" w:eastAsia="仿宋_GB2312"/>
                <w:sz w:val="18"/>
                <w:szCs w:val="18"/>
              </w:rPr>
              <w:sym w:font="Wingdings" w:char="00A8"/>
            </w:r>
            <w:r>
              <w:rPr>
                <w:rFonts w:hint="eastAsia" w:ascii="仿宋_GB2312" w:eastAsia="仿宋_GB2312"/>
                <w:sz w:val="18"/>
                <w:szCs w:val="18"/>
              </w:rPr>
              <w:t>政务服务</w:t>
            </w:r>
            <w:r>
              <w:rPr>
                <w:rFonts w:hint="eastAsia" w:ascii="仿宋_GB2312" w:eastAsia="仿宋_GB2312"/>
                <w:sz w:val="18"/>
                <w:szCs w:val="18"/>
                <w:lang w:eastAsia="zh-CN"/>
              </w:rPr>
              <w:t>中心</w:t>
            </w:r>
          </w:p>
        </w:tc>
        <w:tc>
          <w:tcPr>
            <w:tcW w:w="664" w:type="dxa"/>
            <w:noWrap w:val="0"/>
            <w:vAlign w:val="center"/>
          </w:tcPr>
          <w:p w14:paraId="42EFEA8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C9ACF6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349D1DE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F675E7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1D3DC180">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27F11DA">
            <w:pPr>
              <w:rPr>
                <w:rFonts w:hint="eastAsia" w:ascii="仿宋_GB2312" w:hAnsi="宋体" w:eastAsia="仿宋_GB2312" w:cs="宋体"/>
                <w:bCs/>
                <w:sz w:val="18"/>
                <w:szCs w:val="18"/>
              </w:rPr>
            </w:pPr>
            <w:r>
              <w:rPr>
                <w:rFonts w:hint="eastAsia" w:ascii="仿宋_GB2312" w:eastAsia="仿宋_GB2312"/>
                <w:bCs/>
                <w:sz w:val="18"/>
                <w:szCs w:val="18"/>
              </w:rPr>
              <w:t>　</w:t>
            </w:r>
          </w:p>
        </w:tc>
      </w:tr>
      <w:tr w14:paraId="548D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noWrap w:val="0"/>
            <w:vAlign w:val="center"/>
          </w:tcPr>
          <w:p w14:paraId="7853EC2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noWrap w:val="0"/>
            <w:vAlign w:val="center"/>
          </w:tcPr>
          <w:p w14:paraId="774A5595">
            <w:pPr>
              <w:rPr>
                <w:rFonts w:hint="eastAsia" w:ascii="仿宋_GB2312" w:hAnsi="宋体" w:eastAsia="仿宋_GB2312" w:cs="宋体"/>
                <w:color w:val="000000"/>
                <w:sz w:val="18"/>
                <w:szCs w:val="18"/>
              </w:rPr>
            </w:pPr>
          </w:p>
        </w:tc>
        <w:tc>
          <w:tcPr>
            <w:tcW w:w="1080" w:type="dxa"/>
            <w:noWrap w:val="0"/>
            <w:vAlign w:val="center"/>
          </w:tcPr>
          <w:p w14:paraId="7D557B81">
            <w:pPr>
              <w:jc w:val="cente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noWrap w:val="0"/>
            <w:vAlign w:val="center"/>
          </w:tcPr>
          <w:p w14:paraId="3DE19358">
            <w:pPr>
              <w:jc w:val="both"/>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noWrap w:val="0"/>
            <w:vAlign w:val="center"/>
          </w:tcPr>
          <w:p w14:paraId="56C9B805">
            <w:pPr>
              <w:jc w:val="cente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noWrap w:val="0"/>
            <w:vAlign w:val="center"/>
          </w:tcPr>
          <w:p w14:paraId="77C94C76">
            <w:pPr>
              <w:jc w:val="center"/>
              <w:rPr>
                <w:rFonts w:hint="eastAsia" w:ascii="仿宋_GB2312" w:eastAsia="仿宋_GB2312"/>
                <w:bCs/>
                <w:sz w:val="18"/>
                <w:szCs w:val="18"/>
              </w:rPr>
            </w:pPr>
            <w:r>
              <w:rPr>
                <w:rFonts w:hint="eastAsia" w:ascii="仿宋_GB2312" w:eastAsia="仿宋_GB2312"/>
                <w:bCs/>
                <w:sz w:val="18"/>
                <w:szCs w:val="18"/>
              </w:rPr>
              <w:t>提前一周发通知</w:t>
            </w:r>
          </w:p>
          <w:p w14:paraId="47008389">
            <w:pPr>
              <w:jc w:val="center"/>
              <w:rPr>
                <w:rFonts w:hint="eastAsia" w:ascii="仿宋_GB2312" w:hAnsi="宋体" w:eastAsia="仿宋_GB2312" w:cs="宋体"/>
                <w:bCs/>
                <w:sz w:val="18"/>
                <w:szCs w:val="18"/>
              </w:rPr>
            </w:pPr>
            <w:r>
              <w:rPr>
                <w:rFonts w:hint="eastAsia" w:ascii="仿宋_GB2312" w:eastAsia="仿宋_GB2312"/>
                <w:bCs/>
                <w:sz w:val="18"/>
                <w:szCs w:val="18"/>
              </w:rPr>
              <w:t>邀请</w:t>
            </w:r>
          </w:p>
        </w:tc>
        <w:tc>
          <w:tcPr>
            <w:tcW w:w="900" w:type="dxa"/>
            <w:noWrap w:val="0"/>
            <w:vAlign w:val="center"/>
          </w:tcPr>
          <w:p w14:paraId="209EB3E8">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6747C1A5">
            <w:pPr>
              <w:spacing w:line="240" w:lineRule="exact"/>
              <w:jc w:val="left"/>
              <w:rPr>
                <w:rFonts w:hint="eastAsia" w:ascii="仿宋_GB2312" w:eastAsia="仿宋_GB2312"/>
                <w:sz w:val="18"/>
                <w:szCs w:val="18"/>
              </w:rPr>
            </w:pPr>
            <w:r>
              <w:rPr>
                <w:rFonts w:hint="eastAsia" w:ascii="仿宋_GB2312" w:eastAsia="仿宋_GB2312"/>
                <w:sz w:val="18"/>
                <w:szCs w:val="18"/>
              </w:rPr>
              <w:t>■政府网站   ■便民服务站</w:t>
            </w:r>
          </w:p>
        </w:tc>
        <w:tc>
          <w:tcPr>
            <w:tcW w:w="664" w:type="dxa"/>
            <w:noWrap w:val="0"/>
            <w:vAlign w:val="center"/>
          </w:tcPr>
          <w:p w14:paraId="13BB96C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67F6A55">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427F0F77">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D48184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2A82D8E6">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2AE5E95A">
            <w:pPr>
              <w:rPr>
                <w:rFonts w:hint="eastAsia" w:ascii="仿宋_GB2312" w:hAnsi="宋体" w:eastAsia="仿宋_GB2312" w:cs="宋体"/>
                <w:bCs/>
                <w:sz w:val="18"/>
                <w:szCs w:val="18"/>
              </w:rPr>
            </w:pPr>
            <w:r>
              <w:rPr>
                <w:rFonts w:hint="eastAsia" w:ascii="仿宋_GB2312" w:eastAsia="仿宋_GB2312"/>
                <w:bCs/>
                <w:sz w:val="18"/>
                <w:szCs w:val="18"/>
              </w:rPr>
              <w:t>√</w:t>
            </w:r>
          </w:p>
        </w:tc>
      </w:tr>
      <w:tr w14:paraId="267C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noWrap w:val="0"/>
            <w:vAlign w:val="center"/>
          </w:tcPr>
          <w:p w14:paraId="33A476F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noWrap w:val="0"/>
            <w:vAlign w:val="center"/>
          </w:tcPr>
          <w:p w14:paraId="630C02A2">
            <w:pPr>
              <w:rPr>
                <w:rFonts w:hint="eastAsia" w:ascii="仿宋_GB2312" w:hAnsi="宋体" w:eastAsia="仿宋_GB2312" w:cs="宋体"/>
                <w:color w:val="000000"/>
                <w:sz w:val="18"/>
                <w:szCs w:val="18"/>
              </w:rPr>
            </w:pPr>
          </w:p>
        </w:tc>
        <w:tc>
          <w:tcPr>
            <w:tcW w:w="1080" w:type="dxa"/>
            <w:noWrap w:val="0"/>
            <w:vAlign w:val="center"/>
          </w:tcPr>
          <w:p w14:paraId="34CB9D62">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noWrap w:val="0"/>
            <w:vAlign w:val="center"/>
          </w:tcPr>
          <w:p w14:paraId="05EA9D74">
            <w:pPr>
              <w:jc w:val="both"/>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noWrap w:val="0"/>
            <w:vAlign w:val="center"/>
          </w:tcPr>
          <w:p w14:paraId="78B6172D">
            <w:pPr>
              <w:jc w:val="cente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noWrap w:val="0"/>
            <w:vAlign w:val="center"/>
          </w:tcPr>
          <w:p w14:paraId="5EF79107">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noWrap w:val="0"/>
            <w:vAlign w:val="center"/>
          </w:tcPr>
          <w:p w14:paraId="130C7A86">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4D916EB3">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sym w:font="Wingdings" w:char="00A8"/>
            </w:r>
            <w:r>
              <w:rPr>
                <w:rFonts w:hint="eastAsia" w:ascii="仿宋_GB2312" w:eastAsia="仿宋_GB2312"/>
                <w:sz w:val="18"/>
                <w:szCs w:val="18"/>
              </w:rPr>
              <w:t xml:space="preserve">两微一端   ■公开查阅点 </w:t>
            </w:r>
          </w:p>
        </w:tc>
        <w:tc>
          <w:tcPr>
            <w:tcW w:w="664" w:type="dxa"/>
            <w:noWrap w:val="0"/>
            <w:vAlign w:val="center"/>
          </w:tcPr>
          <w:p w14:paraId="1EAFBF2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458CE74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7660D2D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F19FE3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6F390167">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619B18EF">
            <w:pPr>
              <w:rPr>
                <w:rFonts w:hint="eastAsia" w:ascii="仿宋_GB2312" w:hAnsi="宋体" w:eastAsia="仿宋_GB2312" w:cs="宋体"/>
                <w:bCs/>
                <w:sz w:val="18"/>
                <w:szCs w:val="18"/>
              </w:rPr>
            </w:pPr>
            <w:r>
              <w:rPr>
                <w:rFonts w:hint="eastAsia" w:ascii="仿宋_GB2312" w:eastAsia="仿宋_GB2312"/>
                <w:bCs/>
                <w:sz w:val="18"/>
                <w:szCs w:val="18"/>
              </w:rPr>
              <w:t>√</w:t>
            </w:r>
          </w:p>
        </w:tc>
      </w:tr>
      <w:tr w14:paraId="3121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540" w:type="dxa"/>
            <w:noWrap w:val="0"/>
            <w:vAlign w:val="center"/>
          </w:tcPr>
          <w:p w14:paraId="75BC223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noWrap w:val="0"/>
            <w:vAlign w:val="center"/>
          </w:tcPr>
          <w:p w14:paraId="1BABDFD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14:paraId="6059C59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noWrap w:val="0"/>
            <w:vAlign w:val="center"/>
          </w:tcPr>
          <w:p w14:paraId="40340BE1">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行政许可</w:t>
            </w:r>
          </w:p>
        </w:tc>
        <w:tc>
          <w:tcPr>
            <w:tcW w:w="2520" w:type="dxa"/>
            <w:noWrap w:val="0"/>
            <w:vAlign w:val="center"/>
          </w:tcPr>
          <w:p w14:paraId="2783202A">
            <w:pPr>
              <w:jc w:val="both"/>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2520" w:type="dxa"/>
            <w:noWrap w:val="0"/>
            <w:vAlign w:val="center"/>
          </w:tcPr>
          <w:p w14:paraId="7601763F">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关于推进安全生产领域改革发展的意见》</w:t>
            </w:r>
          </w:p>
        </w:tc>
        <w:tc>
          <w:tcPr>
            <w:tcW w:w="1800" w:type="dxa"/>
            <w:noWrap w:val="0"/>
            <w:vAlign w:val="center"/>
          </w:tcPr>
          <w:p w14:paraId="54DB3CF2">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7DFE9398">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7FB27EE0">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sym w:font="Wingdings" w:char="00A8"/>
            </w:r>
            <w:r>
              <w:rPr>
                <w:rFonts w:hint="eastAsia" w:ascii="仿宋_GB2312" w:eastAsia="仿宋_GB2312"/>
                <w:sz w:val="18"/>
                <w:szCs w:val="18"/>
              </w:rPr>
              <w:t xml:space="preserve">两微一端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7DFA6805">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1A00DFD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4285721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83061C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1A9A2C55">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69C49B1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7224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7471590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restart"/>
            <w:noWrap w:val="0"/>
            <w:vAlign w:val="center"/>
          </w:tcPr>
          <w:p w14:paraId="29C5674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14:paraId="3368798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noWrap w:val="0"/>
            <w:vAlign w:val="center"/>
          </w:tcPr>
          <w:p w14:paraId="072284CE">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2520" w:type="dxa"/>
            <w:noWrap w:val="0"/>
            <w:vAlign w:val="center"/>
          </w:tcPr>
          <w:p w14:paraId="30ED37EE">
            <w:pPr>
              <w:jc w:val="both"/>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2520" w:type="dxa"/>
            <w:noWrap w:val="0"/>
            <w:vAlign w:val="center"/>
          </w:tcPr>
          <w:p w14:paraId="1CEB568F">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关于推进安全生产领域改革发展的意见》</w:t>
            </w:r>
          </w:p>
        </w:tc>
        <w:tc>
          <w:tcPr>
            <w:tcW w:w="1800" w:type="dxa"/>
            <w:noWrap w:val="0"/>
            <w:vAlign w:val="center"/>
          </w:tcPr>
          <w:p w14:paraId="1FF4D386">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134EF74D">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1F78814E">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sym w:font="Wingdings" w:char="00A8"/>
            </w:r>
            <w:r>
              <w:rPr>
                <w:rFonts w:hint="eastAsia" w:ascii="仿宋_GB2312" w:eastAsia="仿宋_GB2312"/>
                <w:sz w:val="18"/>
                <w:szCs w:val="18"/>
              </w:rPr>
              <w:t xml:space="preserve">两微一端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20F1A17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134C1BA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1AECAA7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45A6B93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038FA47C">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4D5A6A6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650B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noWrap w:val="0"/>
            <w:vAlign w:val="center"/>
          </w:tcPr>
          <w:p w14:paraId="2BC7923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noWrap w:val="0"/>
            <w:vAlign w:val="center"/>
          </w:tcPr>
          <w:p w14:paraId="55DDC37E">
            <w:pPr>
              <w:jc w:val="center"/>
              <w:rPr>
                <w:rFonts w:hint="eastAsia" w:ascii="仿宋_GB2312" w:hAnsi="宋体" w:eastAsia="仿宋_GB2312" w:cs="宋体"/>
                <w:color w:val="000000"/>
                <w:sz w:val="18"/>
                <w:szCs w:val="18"/>
              </w:rPr>
            </w:pPr>
          </w:p>
        </w:tc>
        <w:tc>
          <w:tcPr>
            <w:tcW w:w="1080" w:type="dxa"/>
            <w:noWrap w:val="0"/>
            <w:vAlign w:val="center"/>
          </w:tcPr>
          <w:p w14:paraId="6FB10BC4">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2520" w:type="dxa"/>
            <w:noWrap w:val="0"/>
            <w:vAlign w:val="center"/>
          </w:tcPr>
          <w:p w14:paraId="6B7B4E2B">
            <w:pPr>
              <w:jc w:val="both"/>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2520" w:type="dxa"/>
            <w:noWrap w:val="0"/>
            <w:vAlign w:val="center"/>
          </w:tcPr>
          <w:p w14:paraId="6413FFE3">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突发事件应对法</w:t>
            </w:r>
            <w:r>
              <w:rPr>
                <w:rFonts w:hint="eastAsia" w:ascii="仿宋_GB2312" w:eastAsia="仿宋_GB2312"/>
                <w:bCs/>
                <w:color w:val="000000"/>
                <w:sz w:val="18"/>
                <w:szCs w:val="18"/>
                <w:lang w:eastAsia="zh-CN"/>
              </w:rPr>
              <w:t>》《</w:t>
            </w:r>
            <w:r>
              <w:rPr>
                <w:rFonts w:hint="eastAsia" w:ascii="仿宋_GB2312" w:eastAsia="仿宋_GB2312"/>
                <w:bCs/>
                <w:color w:val="000000"/>
                <w:sz w:val="18"/>
                <w:szCs w:val="18"/>
              </w:rPr>
              <w:t>突发事件应急预案管理办法</w:t>
            </w:r>
            <w:r>
              <w:rPr>
                <w:rFonts w:hint="eastAsia" w:ascii="仿宋_GB2312" w:eastAsia="仿宋_GB2312"/>
                <w:bCs/>
                <w:color w:val="000000"/>
                <w:sz w:val="18"/>
                <w:szCs w:val="18"/>
                <w:lang w:eastAsia="zh-CN"/>
              </w:rPr>
              <w:t>》《</w:t>
            </w:r>
            <w:r>
              <w:rPr>
                <w:rFonts w:hint="eastAsia" w:ascii="仿宋_GB2312" w:eastAsia="仿宋_GB2312"/>
                <w:bCs/>
                <w:color w:val="000000"/>
                <w:sz w:val="18"/>
                <w:szCs w:val="18"/>
              </w:rPr>
              <w:t>中共中央 国务院关于推进安全生产领域改革发展的意见》</w:t>
            </w:r>
          </w:p>
        </w:tc>
        <w:tc>
          <w:tcPr>
            <w:tcW w:w="1800" w:type="dxa"/>
            <w:noWrap w:val="0"/>
            <w:vAlign w:val="center"/>
          </w:tcPr>
          <w:p w14:paraId="53E7C747">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7D20E5C4">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7172D55C">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sym w:font="Wingdings" w:char="00A8"/>
            </w:r>
            <w:r>
              <w:rPr>
                <w:rFonts w:hint="eastAsia" w:ascii="仿宋_GB2312" w:eastAsia="仿宋_GB2312"/>
                <w:sz w:val="18"/>
                <w:szCs w:val="18"/>
              </w:rPr>
              <w:t xml:space="preserve">两微一端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532B06C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0ACE5D0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6F4D072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D4F911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6FD917E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053A825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36DA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noWrap w:val="0"/>
            <w:vAlign w:val="center"/>
          </w:tcPr>
          <w:p w14:paraId="4270A39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noWrap w:val="0"/>
            <w:vAlign w:val="center"/>
          </w:tcPr>
          <w:p w14:paraId="7491801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19CF9A3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0"/>
            <w:vAlign w:val="center"/>
          </w:tcPr>
          <w:p w14:paraId="4D163377">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noWrap w:val="0"/>
            <w:vAlign w:val="center"/>
          </w:tcPr>
          <w:p w14:paraId="16DF93A8">
            <w:pPr>
              <w:jc w:val="both"/>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noWrap w:val="0"/>
            <w:vAlign w:val="center"/>
          </w:tcPr>
          <w:p w14:paraId="577288D8">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中华人民共和国安全生产法》《中华人民共和国政府信息公开条例》《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noWrap w:val="0"/>
            <w:vAlign w:val="center"/>
          </w:tcPr>
          <w:p w14:paraId="4702584E">
            <w:pPr>
              <w:jc w:val="center"/>
              <w:rPr>
                <w:rFonts w:hint="eastAsia" w:ascii="仿宋_GB2312" w:eastAsia="仿宋_GB2312"/>
                <w:bCs/>
                <w:color w:val="000000"/>
                <w:sz w:val="18"/>
                <w:szCs w:val="18"/>
              </w:rPr>
            </w:pPr>
            <w:r>
              <w:rPr>
                <w:rFonts w:hint="eastAsia" w:ascii="仿宋_GB2312" w:eastAsia="仿宋_GB2312"/>
                <w:bCs/>
                <w:color w:val="000000"/>
                <w:sz w:val="18"/>
                <w:szCs w:val="18"/>
              </w:rPr>
              <w:t>按进展情况及时</w:t>
            </w:r>
          </w:p>
          <w:p w14:paraId="60D52E39">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公开</w:t>
            </w:r>
          </w:p>
        </w:tc>
        <w:tc>
          <w:tcPr>
            <w:tcW w:w="900" w:type="dxa"/>
            <w:noWrap w:val="0"/>
            <w:vAlign w:val="center"/>
          </w:tcPr>
          <w:p w14:paraId="51C9FB6C">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2D265B29">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sym w:font="Wingdings" w:char="00A8"/>
            </w:r>
            <w:r>
              <w:rPr>
                <w:rFonts w:hint="eastAsia" w:ascii="仿宋_GB2312" w:eastAsia="仿宋_GB2312"/>
                <w:sz w:val="18"/>
                <w:szCs w:val="18"/>
              </w:rPr>
              <w:t xml:space="preserve">两微一端   </w:t>
            </w:r>
            <w:r>
              <w:rPr>
                <w:rFonts w:hint="eastAsia" w:ascii="仿宋_GB2312" w:eastAsia="仿宋_GB2312"/>
                <w:sz w:val="18"/>
                <w:szCs w:val="18"/>
              </w:rPr>
              <w:sym w:font="Wingdings" w:char="00A8"/>
            </w:r>
            <w:r>
              <w:rPr>
                <w:rFonts w:hint="eastAsia" w:ascii="仿宋_GB2312" w:eastAsia="仿宋_GB2312"/>
                <w:sz w:val="18"/>
                <w:szCs w:val="18"/>
              </w:rPr>
              <w:t>广播电视   ■公开查阅点</w:t>
            </w:r>
          </w:p>
          <w:p w14:paraId="27A01EF7">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noWrap w:val="0"/>
            <w:vAlign w:val="center"/>
          </w:tcPr>
          <w:p w14:paraId="250CD58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EF84718">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6E1FEB9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3496AF9">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6845217A">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2B0A7CAF">
            <w:pPr>
              <w:rPr>
                <w:rFonts w:hint="eastAsia" w:ascii="仿宋_GB2312" w:hAnsi="宋体" w:eastAsia="仿宋_GB2312" w:cs="宋体"/>
                <w:bCs/>
                <w:sz w:val="18"/>
                <w:szCs w:val="18"/>
              </w:rPr>
            </w:pPr>
            <w:r>
              <w:rPr>
                <w:rFonts w:hint="eastAsia" w:ascii="仿宋_GB2312" w:eastAsia="仿宋_GB2312"/>
                <w:bCs/>
                <w:sz w:val="18"/>
                <w:szCs w:val="18"/>
              </w:rPr>
              <w:t>√</w:t>
            </w:r>
          </w:p>
        </w:tc>
      </w:tr>
      <w:tr w14:paraId="08ED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noWrap w:val="0"/>
            <w:vAlign w:val="center"/>
          </w:tcPr>
          <w:p w14:paraId="267B928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noWrap w:val="0"/>
            <w:vAlign w:val="center"/>
          </w:tcPr>
          <w:p w14:paraId="4D69A1F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0A29F9C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0"/>
            <w:vAlign w:val="center"/>
          </w:tcPr>
          <w:p w14:paraId="0341212D">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noWrap w:val="0"/>
            <w:vAlign w:val="center"/>
          </w:tcPr>
          <w:p w14:paraId="44755FFF">
            <w:pPr>
              <w:jc w:val="both"/>
              <w:rPr>
                <w:rFonts w:hint="eastAsia" w:ascii="仿宋_GB2312" w:hAnsi="宋体" w:eastAsia="仿宋_GB2312" w:cs="宋体"/>
                <w:bCs/>
                <w:sz w:val="18"/>
                <w:szCs w:val="18"/>
              </w:rPr>
            </w:pPr>
            <w:r>
              <w:rPr>
                <w:rFonts w:hint="eastAsia" w:ascii="仿宋_GB2312" w:eastAsia="仿宋_GB2312"/>
                <w:bCs/>
                <w:sz w:val="18"/>
                <w:szCs w:val="18"/>
              </w:rPr>
              <w:t>承担处置主责、非敏感的应急信息，包括事故灾害类预警信息、事故信息、事故后采取的应急处置措施和应对结果等</w:t>
            </w:r>
          </w:p>
        </w:tc>
        <w:tc>
          <w:tcPr>
            <w:tcW w:w="2520" w:type="dxa"/>
            <w:noWrap w:val="0"/>
            <w:vAlign w:val="center"/>
          </w:tcPr>
          <w:p w14:paraId="12B0C62C">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突发事件应对法</w:t>
            </w:r>
            <w:r>
              <w:rPr>
                <w:rFonts w:hint="eastAsia" w:ascii="仿宋_GB2312" w:eastAsia="仿宋_GB2312"/>
                <w:bCs/>
                <w:color w:val="000000"/>
                <w:sz w:val="18"/>
                <w:szCs w:val="18"/>
                <w:lang w:eastAsia="zh-CN"/>
              </w:rPr>
              <w:t>》《</w:t>
            </w:r>
            <w:r>
              <w:rPr>
                <w:rFonts w:hint="eastAsia" w:ascii="仿宋_GB2312" w:eastAsia="仿宋_GB2312"/>
                <w:bCs/>
                <w:color w:val="000000"/>
                <w:sz w:val="18"/>
                <w:szCs w:val="18"/>
              </w:rPr>
              <w:t>关于全面加强政务公开工作的意见》</w:t>
            </w:r>
          </w:p>
        </w:tc>
        <w:tc>
          <w:tcPr>
            <w:tcW w:w="1800" w:type="dxa"/>
            <w:noWrap w:val="0"/>
            <w:vAlign w:val="center"/>
          </w:tcPr>
          <w:p w14:paraId="43F5564A">
            <w:pPr>
              <w:jc w:val="center"/>
              <w:rPr>
                <w:rFonts w:hint="eastAsia" w:ascii="仿宋_GB2312" w:eastAsia="仿宋_GB2312"/>
                <w:bCs/>
                <w:color w:val="000000"/>
                <w:sz w:val="18"/>
                <w:szCs w:val="18"/>
              </w:rPr>
            </w:pPr>
            <w:r>
              <w:rPr>
                <w:rFonts w:hint="eastAsia" w:ascii="仿宋_GB2312" w:eastAsia="仿宋_GB2312"/>
                <w:bCs/>
                <w:color w:val="000000"/>
                <w:sz w:val="18"/>
                <w:szCs w:val="18"/>
              </w:rPr>
              <w:t>按进展情况及时</w:t>
            </w:r>
          </w:p>
          <w:p w14:paraId="35289649">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公开</w:t>
            </w:r>
          </w:p>
        </w:tc>
        <w:tc>
          <w:tcPr>
            <w:tcW w:w="900" w:type="dxa"/>
            <w:noWrap w:val="0"/>
            <w:vAlign w:val="center"/>
          </w:tcPr>
          <w:p w14:paraId="2A25EF9F">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203A2B61">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sym w:font="Wingdings" w:char="00A8"/>
            </w:r>
            <w:r>
              <w:rPr>
                <w:rFonts w:hint="eastAsia" w:ascii="仿宋_GB2312" w:eastAsia="仿宋_GB2312"/>
                <w:sz w:val="18"/>
                <w:szCs w:val="18"/>
              </w:rPr>
              <w:t xml:space="preserve">两微一端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r>
              <w:rPr>
                <w:rFonts w:hint="eastAsia" w:ascii="仿宋_GB2312" w:eastAsia="仿宋_GB2312"/>
                <w:sz w:val="18"/>
                <w:szCs w:val="18"/>
              </w:rPr>
              <w:br w:type="textWrapping"/>
            </w:r>
            <w:r>
              <w:rPr>
                <w:rFonts w:hint="eastAsia" w:ascii="仿宋_GB2312" w:eastAsia="仿宋_GB2312"/>
                <w:sz w:val="18"/>
                <w:szCs w:val="18"/>
              </w:rPr>
              <w:sym w:font="Wingdings" w:char="00A8"/>
            </w:r>
            <w:r>
              <w:rPr>
                <w:rFonts w:hint="eastAsia" w:ascii="仿宋_GB2312" w:eastAsia="仿宋_GB2312"/>
                <w:sz w:val="18"/>
                <w:szCs w:val="18"/>
              </w:rPr>
              <w:t>便民服务站</w:t>
            </w:r>
          </w:p>
          <w:p w14:paraId="0C441CA7">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noWrap w:val="0"/>
            <w:vAlign w:val="center"/>
          </w:tcPr>
          <w:p w14:paraId="7AA3508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F40F94E">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37AE574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1F1AE567">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6AE68014">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46720CE1">
            <w:pPr>
              <w:rPr>
                <w:rFonts w:hint="eastAsia" w:ascii="仿宋_GB2312" w:hAnsi="宋体" w:eastAsia="仿宋_GB2312" w:cs="宋体"/>
                <w:bCs/>
                <w:sz w:val="18"/>
                <w:szCs w:val="18"/>
              </w:rPr>
            </w:pPr>
            <w:r>
              <w:rPr>
                <w:rFonts w:hint="eastAsia" w:ascii="仿宋_GB2312" w:eastAsia="仿宋_GB2312"/>
                <w:bCs/>
                <w:sz w:val="18"/>
                <w:szCs w:val="18"/>
              </w:rPr>
              <w:t>√</w:t>
            </w:r>
          </w:p>
        </w:tc>
      </w:tr>
      <w:tr w14:paraId="46E4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noWrap w:val="0"/>
            <w:vAlign w:val="center"/>
          </w:tcPr>
          <w:p w14:paraId="228EBC7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continue"/>
            <w:noWrap w:val="0"/>
            <w:vAlign w:val="center"/>
          </w:tcPr>
          <w:p w14:paraId="2370D77D">
            <w:pPr>
              <w:jc w:val="center"/>
              <w:rPr>
                <w:rFonts w:hint="eastAsia" w:ascii="仿宋_GB2312" w:hAnsi="宋体" w:eastAsia="仿宋_GB2312" w:cs="宋体"/>
                <w:color w:val="000000"/>
                <w:sz w:val="18"/>
                <w:szCs w:val="18"/>
              </w:rPr>
            </w:pPr>
          </w:p>
        </w:tc>
        <w:tc>
          <w:tcPr>
            <w:tcW w:w="1080" w:type="dxa"/>
            <w:noWrap w:val="0"/>
            <w:vAlign w:val="center"/>
          </w:tcPr>
          <w:p w14:paraId="2020DE7E">
            <w:pPr>
              <w:jc w:val="center"/>
              <w:rPr>
                <w:rFonts w:hint="eastAsia" w:ascii="仿宋_GB2312" w:eastAsia="仿宋_GB2312"/>
                <w:bCs/>
                <w:color w:val="000000"/>
                <w:sz w:val="18"/>
                <w:szCs w:val="18"/>
              </w:rPr>
            </w:pPr>
            <w:r>
              <w:rPr>
                <w:rFonts w:hint="eastAsia" w:ascii="仿宋_GB2312" w:eastAsia="仿宋_GB2312"/>
                <w:bCs/>
                <w:color w:val="000000"/>
                <w:sz w:val="18"/>
                <w:szCs w:val="18"/>
              </w:rPr>
              <w:t>黑名单</w:t>
            </w:r>
          </w:p>
          <w:p w14:paraId="78DC918A">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管理</w:t>
            </w:r>
          </w:p>
        </w:tc>
        <w:tc>
          <w:tcPr>
            <w:tcW w:w="2520" w:type="dxa"/>
            <w:noWrap w:val="0"/>
            <w:vAlign w:val="center"/>
          </w:tcPr>
          <w:p w14:paraId="2D09DE40">
            <w:pPr>
              <w:jc w:val="both"/>
              <w:rPr>
                <w:rFonts w:hint="eastAsia"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2520" w:type="dxa"/>
            <w:noWrap w:val="0"/>
            <w:vAlign w:val="center"/>
          </w:tcPr>
          <w:p w14:paraId="2760B265">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社会信用体系建设规划纲要（2014</w:t>
            </w:r>
            <w:r>
              <w:rPr>
                <w:rFonts w:hint="eastAsia" w:ascii="仿宋_GB2312" w:eastAsia="仿宋_GB2312"/>
                <w:bCs/>
                <w:color w:val="000000"/>
                <w:sz w:val="18"/>
                <w:szCs w:val="18"/>
                <w:lang w:eastAsia="zh-CN"/>
              </w:rPr>
              <w:t>—</w:t>
            </w:r>
            <w:r>
              <w:rPr>
                <w:rFonts w:hint="eastAsia" w:ascii="仿宋_GB2312" w:eastAsia="仿宋_GB2312"/>
                <w:bCs/>
                <w:color w:val="000000"/>
                <w:sz w:val="18"/>
                <w:szCs w:val="18"/>
              </w:rPr>
              <w:t>2020年）》</w:t>
            </w:r>
          </w:p>
        </w:tc>
        <w:tc>
          <w:tcPr>
            <w:tcW w:w="1800" w:type="dxa"/>
            <w:noWrap w:val="0"/>
            <w:vAlign w:val="center"/>
          </w:tcPr>
          <w:p w14:paraId="29E9FC2C">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7A420455">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77462895">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sym w:font="Wingdings" w:char="00A8"/>
            </w:r>
            <w:r>
              <w:rPr>
                <w:rFonts w:hint="eastAsia" w:ascii="仿宋_GB2312" w:eastAsia="仿宋_GB2312"/>
                <w:sz w:val="18"/>
                <w:szCs w:val="18"/>
              </w:rPr>
              <w:t xml:space="preserve">两微一端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r>
              <w:rPr>
                <w:rFonts w:hint="eastAsia" w:ascii="仿宋_GB2312" w:eastAsia="仿宋_GB2312"/>
                <w:sz w:val="18"/>
                <w:szCs w:val="18"/>
              </w:rPr>
              <w:br w:type="textWrapping"/>
            </w:r>
          </w:p>
        </w:tc>
        <w:tc>
          <w:tcPr>
            <w:tcW w:w="664" w:type="dxa"/>
            <w:noWrap w:val="0"/>
            <w:vAlign w:val="center"/>
          </w:tcPr>
          <w:p w14:paraId="7DBBA59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CCBC31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1F26FD7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45C783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37E61515">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2194657">
            <w:pPr>
              <w:rPr>
                <w:rFonts w:hint="eastAsia" w:ascii="仿宋_GB2312" w:hAnsi="宋体" w:eastAsia="仿宋_GB2312" w:cs="宋体"/>
                <w:bCs/>
                <w:sz w:val="18"/>
                <w:szCs w:val="18"/>
              </w:rPr>
            </w:pPr>
            <w:r>
              <w:rPr>
                <w:rFonts w:hint="eastAsia" w:ascii="仿宋_GB2312" w:eastAsia="仿宋_GB2312"/>
                <w:bCs/>
                <w:sz w:val="18"/>
                <w:szCs w:val="18"/>
              </w:rPr>
              <w:t>　</w:t>
            </w:r>
          </w:p>
        </w:tc>
      </w:tr>
      <w:tr w14:paraId="1B76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5E4542A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restart"/>
            <w:noWrap w:val="0"/>
            <w:vAlign w:val="center"/>
          </w:tcPr>
          <w:p w14:paraId="47A9610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75EC6C4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0"/>
            <w:vAlign w:val="center"/>
          </w:tcPr>
          <w:p w14:paraId="51C7F312">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2520" w:type="dxa"/>
            <w:noWrap w:val="0"/>
            <w:vAlign w:val="center"/>
          </w:tcPr>
          <w:p w14:paraId="12484A43">
            <w:pPr>
              <w:jc w:val="both"/>
              <w:rPr>
                <w:rFonts w:hint="eastAsia" w:ascii="仿宋_GB2312" w:hAnsi="宋体" w:eastAsia="仿宋_GB2312" w:cs="宋体"/>
                <w:bCs/>
                <w:sz w:val="18"/>
                <w:szCs w:val="18"/>
              </w:rPr>
            </w:pPr>
            <w:r>
              <w:rPr>
                <w:rFonts w:hint="eastAsia" w:ascii="仿宋_GB2312" w:eastAsia="仿宋_GB2312"/>
                <w:bCs/>
                <w:sz w:val="18"/>
                <w:szCs w:val="18"/>
              </w:rPr>
              <w:t>1</w:t>
            </w:r>
            <w:r>
              <w:rPr>
                <w:rFonts w:hint="eastAsia" w:ascii="仿宋_GB2312" w:eastAsia="仿宋_GB2312"/>
                <w:bCs/>
                <w:sz w:val="18"/>
                <w:szCs w:val="18"/>
                <w:lang w:val="en-US" w:eastAsia="zh-CN"/>
              </w:rPr>
              <w:t>.</w:t>
            </w:r>
            <w:r>
              <w:rPr>
                <w:rFonts w:hint="eastAsia" w:ascii="仿宋_GB2312" w:eastAsia="仿宋_GB2312"/>
                <w:bCs/>
                <w:sz w:val="18"/>
                <w:szCs w:val="18"/>
              </w:rPr>
              <w:t>事故信息</w:t>
            </w:r>
            <w:r>
              <w:rPr>
                <w:rFonts w:hint="eastAsia" w:ascii="仿宋_GB2312" w:eastAsia="仿宋_GB2312"/>
                <w:bCs/>
                <w:sz w:val="18"/>
                <w:szCs w:val="18"/>
                <w:lang w:eastAsia="zh-CN"/>
              </w:rPr>
              <w:t>：</w:t>
            </w:r>
            <w:r>
              <w:rPr>
                <w:rFonts w:hint="eastAsia" w:ascii="仿宋_GB2312" w:eastAsia="仿宋_GB2312"/>
                <w:bCs/>
                <w:sz w:val="18"/>
                <w:szCs w:val="18"/>
              </w:rPr>
              <w:t>本部门接报查实的各类生产安全事故情况（事故发生时间、地点、伤亡情况、简要经过）                         2</w:t>
            </w:r>
            <w:r>
              <w:rPr>
                <w:rFonts w:hint="eastAsia" w:ascii="仿宋_GB2312" w:eastAsia="仿宋_GB2312"/>
                <w:bCs/>
                <w:sz w:val="18"/>
                <w:szCs w:val="18"/>
                <w:lang w:val="en-US" w:eastAsia="zh-CN"/>
              </w:rPr>
              <w:t>.</w:t>
            </w:r>
            <w:r>
              <w:rPr>
                <w:rFonts w:hint="eastAsia" w:ascii="仿宋_GB2312" w:eastAsia="仿宋_GB2312"/>
                <w:bCs/>
                <w:sz w:val="18"/>
                <w:szCs w:val="18"/>
              </w:rPr>
              <w:t>典型事故通报</w:t>
            </w:r>
            <w:r>
              <w:rPr>
                <w:rFonts w:hint="eastAsia" w:ascii="仿宋_GB2312" w:eastAsia="仿宋_GB2312"/>
                <w:bCs/>
                <w:sz w:val="18"/>
                <w:szCs w:val="18"/>
                <w:lang w:eastAsia="zh-CN"/>
              </w:rPr>
              <w:t>：</w:t>
            </w:r>
            <w:r>
              <w:rPr>
                <w:rFonts w:hint="eastAsia" w:ascii="仿宋_GB2312" w:eastAsia="仿宋_GB2312"/>
                <w:bCs/>
                <w:sz w:val="18"/>
                <w:szCs w:val="18"/>
              </w:rPr>
              <w:t>各类典型安全生产事故情况通报，主要包括发生时间、地点、起因、经过、结果、相关领导批示情况、预防性措施建议等内容                       3</w:t>
            </w:r>
            <w:r>
              <w:rPr>
                <w:rFonts w:hint="eastAsia" w:ascii="仿宋_GB2312" w:eastAsia="仿宋_GB2312"/>
                <w:bCs/>
                <w:sz w:val="18"/>
                <w:szCs w:val="18"/>
                <w:lang w:val="en-US" w:eastAsia="zh-CN"/>
              </w:rPr>
              <w:t>.</w:t>
            </w:r>
            <w:r>
              <w:rPr>
                <w:rFonts w:hint="eastAsia" w:ascii="仿宋_GB2312" w:eastAsia="仿宋_GB2312"/>
                <w:bCs/>
                <w:sz w:val="18"/>
                <w:szCs w:val="18"/>
              </w:rPr>
              <w:t>事故调查报告：依照事故调查处理权限，经批复的生产安全事故调查报告，依法应当保密的除外</w:t>
            </w:r>
          </w:p>
        </w:tc>
        <w:tc>
          <w:tcPr>
            <w:tcW w:w="2520" w:type="dxa"/>
            <w:noWrap w:val="0"/>
            <w:vAlign w:val="center"/>
          </w:tcPr>
          <w:p w14:paraId="454A055A">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中华人民共和国安全生产法》《中华人民共和国政府信息公开条例》《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noWrap w:val="0"/>
            <w:vAlign w:val="center"/>
          </w:tcPr>
          <w:p w14:paraId="6FFB9E8C">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noWrap w:val="0"/>
            <w:vAlign w:val="center"/>
          </w:tcPr>
          <w:p w14:paraId="36AAA593">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4FD01922">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sym w:font="Wingdings" w:char="00A8"/>
            </w:r>
            <w:r>
              <w:rPr>
                <w:rFonts w:hint="eastAsia" w:ascii="仿宋_GB2312" w:eastAsia="仿宋_GB2312"/>
                <w:sz w:val="18"/>
                <w:szCs w:val="18"/>
              </w:rPr>
              <w:t xml:space="preserve">两微一端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146899A7">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6F9C47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68D6275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21ACD4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5C68E3A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0FCF66A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18EF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noWrap w:val="0"/>
            <w:vAlign w:val="center"/>
          </w:tcPr>
          <w:p w14:paraId="5BA9F72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noWrap w:val="0"/>
            <w:vAlign w:val="center"/>
          </w:tcPr>
          <w:p w14:paraId="70690BC3">
            <w:pPr>
              <w:jc w:val="center"/>
              <w:rPr>
                <w:rFonts w:hint="eastAsia" w:ascii="仿宋_GB2312" w:hAnsi="宋体" w:eastAsia="仿宋_GB2312" w:cs="宋体"/>
                <w:color w:val="000000"/>
                <w:sz w:val="18"/>
                <w:szCs w:val="18"/>
              </w:rPr>
            </w:pPr>
          </w:p>
        </w:tc>
        <w:tc>
          <w:tcPr>
            <w:tcW w:w="1080" w:type="dxa"/>
            <w:noWrap w:val="0"/>
            <w:vAlign w:val="center"/>
          </w:tcPr>
          <w:p w14:paraId="7E09CADC">
            <w:pPr>
              <w:jc w:val="cente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noWrap w:val="0"/>
            <w:vAlign w:val="center"/>
          </w:tcPr>
          <w:p w14:paraId="49AA4D10">
            <w:pPr>
              <w:jc w:val="both"/>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noWrap w:val="0"/>
            <w:vAlign w:val="center"/>
          </w:tcPr>
          <w:p w14:paraId="345C9576">
            <w:pPr>
              <w:jc w:val="cente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noWrap w:val="0"/>
            <w:vAlign w:val="center"/>
          </w:tcPr>
          <w:p w14:paraId="2794C934">
            <w:pPr>
              <w:jc w:val="center"/>
              <w:rPr>
                <w:rFonts w:hint="eastAsia" w:ascii="仿宋_GB2312" w:eastAsia="仿宋_GB2312"/>
                <w:bCs/>
                <w:sz w:val="18"/>
                <w:szCs w:val="18"/>
              </w:rPr>
            </w:pPr>
            <w:r>
              <w:rPr>
                <w:rFonts w:hint="eastAsia" w:ascii="仿宋_GB2312" w:eastAsia="仿宋_GB2312"/>
                <w:bCs/>
                <w:sz w:val="18"/>
                <w:szCs w:val="18"/>
              </w:rPr>
              <w:t>按进展情况及时</w:t>
            </w:r>
          </w:p>
          <w:p w14:paraId="2249C8B2">
            <w:pPr>
              <w:jc w:val="center"/>
              <w:rPr>
                <w:rFonts w:hint="eastAsia" w:ascii="仿宋_GB2312" w:hAnsi="宋体" w:eastAsia="仿宋_GB2312" w:cs="宋体"/>
                <w:bCs/>
                <w:sz w:val="18"/>
                <w:szCs w:val="18"/>
              </w:rPr>
            </w:pPr>
            <w:r>
              <w:rPr>
                <w:rFonts w:hint="eastAsia" w:ascii="仿宋_GB2312" w:eastAsia="仿宋_GB2312"/>
                <w:bCs/>
                <w:sz w:val="18"/>
                <w:szCs w:val="18"/>
              </w:rPr>
              <w:t>公开</w:t>
            </w:r>
          </w:p>
        </w:tc>
        <w:tc>
          <w:tcPr>
            <w:tcW w:w="900" w:type="dxa"/>
            <w:noWrap w:val="0"/>
            <w:vAlign w:val="center"/>
          </w:tcPr>
          <w:p w14:paraId="5A84EB5F">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06A4E5DD">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sym w:font="Wingdings" w:char="00A8"/>
            </w:r>
            <w:r>
              <w:rPr>
                <w:rFonts w:hint="eastAsia" w:ascii="仿宋_GB2312" w:eastAsia="仿宋_GB2312"/>
                <w:sz w:val="18"/>
                <w:szCs w:val="18"/>
              </w:rPr>
              <w:t>两微一端   ■发布会</w:t>
            </w:r>
            <w:r>
              <w:rPr>
                <w:rFonts w:hint="eastAsia" w:ascii="仿宋_GB2312" w:eastAsia="仿宋_GB2312"/>
                <w:sz w:val="18"/>
                <w:szCs w:val="18"/>
              </w:rPr>
              <w:br w:type="textWrapping"/>
            </w:r>
            <w:r>
              <w:rPr>
                <w:rFonts w:hint="eastAsia" w:ascii="仿宋_GB2312" w:eastAsia="仿宋_GB2312"/>
                <w:sz w:val="18"/>
                <w:szCs w:val="18"/>
              </w:rPr>
              <w:sym w:font="Wingdings" w:char="00A8"/>
            </w:r>
            <w:r>
              <w:rPr>
                <w:rFonts w:hint="eastAsia" w:ascii="仿宋_GB2312" w:eastAsia="仿宋_GB2312"/>
                <w:sz w:val="18"/>
                <w:szCs w:val="18"/>
              </w:rPr>
              <w:t xml:space="preserve">广播电视   </w:t>
            </w:r>
            <w:r>
              <w:rPr>
                <w:rFonts w:hint="eastAsia" w:ascii="仿宋_GB2312" w:eastAsia="仿宋_GB2312"/>
                <w:sz w:val="18"/>
                <w:szCs w:val="18"/>
              </w:rPr>
              <w:sym w:font="Wingdings" w:char="00A8"/>
            </w: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■其他</w:t>
            </w:r>
          </w:p>
        </w:tc>
        <w:tc>
          <w:tcPr>
            <w:tcW w:w="664" w:type="dxa"/>
            <w:noWrap w:val="0"/>
            <w:vAlign w:val="center"/>
          </w:tcPr>
          <w:p w14:paraId="3AA47CA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F6FCF9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39518B7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80AA91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114FACDE">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7412A515">
            <w:pPr>
              <w:rPr>
                <w:rFonts w:hint="eastAsia" w:ascii="仿宋_GB2312" w:hAnsi="宋体" w:eastAsia="仿宋_GB2312" w:cs="宋体"/>
                <w:bCs/>
                <w:sz w:val="18"/>
                <w:szCs w:val="18"/>
              </w:rPr>
            </w:pPr>
            <w:r>
              <w:rPr>
                <w:rFonts w:hint="eastAsia" w:ascii="仿宋_GB2312" w:eastAsia="仿宋_GB2312"/>
                <w:bCs/>
                <w:sz w:val="18"/>
                <w:szCs w:val="18"/>
              </w:rPr>
              <w:t>√</w:t>
            </w:r>
          </w:p>
        </w:tc>
      </w:tr>
      <w:tr w14:paraId="3311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540" w:type="dxa"/>
            <w:noWrap w:val="0"/>
            <w:vAlign w:val="center"/>
          </w:tcPr>
          <w:p w14:paraId="59277AE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noWrap w:val="0"/>
            <w:vAlign w:val="center"/>
          </w:tcPr>
          <w:p w14:paraId="79227E9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0895DF5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0"/>
            <w:vAlign w:val="center"/>
          </w:tcPr>
          <w:p w14:paraId="3E1C3490">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noWrap w:val="0"/>
            <w:vAlign w:val="center"/>
          </w:tcPr>
          <w:p w14:paraId="4A6BBFF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noWrap w:val="0"/>
            <w:vAlign w:val="center"/>
          </w:tcPr>
          <w:p w14:paraId="4F7535BD">
            <w:pPr>
              <w:jc w:val="cente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noWrap w:val="0"/>
            <w:vAlign w:val="center"/>
          </w:tcPr>
          <w:p w14:paraId="526DB0CB">
            <w:pPr>
              <w:jc w:val="center"/>
              <w:rPr>
                <w:rFonts w:hint="eastAsia" w:ascii="仿宋_GB2312" w:eastAsia="仿宋_GB2312"/>
                <w:bCs/>
                <w:color w:val="000000"/>
                <w:sz w:val="18"/>
                <w:szCs w:val="18"/>
              </w:rPr>
            </w:pPr>
            <w:r>
              <w:rPr>
                <w:rFonts w:hint="eastAsia" w:ascii="仿宋_GB2312" w:eastAsia="仿宋_GB2312"/>
                <w:bCs/>
                <w:color w:val="000000"/>
                <w:sz w:val="18"/>
                <w:szCs w:val="18"/>
              </w:rPr>
              <w:t>信息形成后及时</w:t>
            </w:r>
          </w:p>
          <w:p w14:paraId="1CE37A42">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公开</w:t>
            </w:r>
          </w:p>
        </w:tc>
        <w:tc>
          <w:tcPr>
            <w:tcW w:w="900" w:type="dxa"/>
            <w:noWrap w:val="0"/>
            <w:vAlign w:val="center"/>
          </w:tcPr>
          <w:p w14:paraId="6262E6E5">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191DBEC1">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type="textWrapping"/>
            </w:r>
            <w:r>
              <w:rPr>
                <w:rFonts w:hint="eastAsia" w:ascii="仿宋_GB2312" w:eastAsia="仿宋_GB2312"/>
                <w:sz w:val="18"/>
                <w:szCs w:val="18"/>
              </w:rPr>
              <w:t>■广播电视   ■纸质媒体</w:t>
            </w:r>
          </w:p>
          <w:p w14:paraId="42D52437">
            <w:pPr>
              <w:spacing w:line="240" w:lineRule="exact"/>
              <w:jc w:val="left"/>
              <w:rPr>
                <w:rFonts w:hint="eastAsia" w:ascii="仿宋_GB2312" w:eastAsia="仿宋_GB2312"/>
                <w:sz w:val="18"/>
                <w:szCs w:val="18"/>
              </w:rPr>
            </w:pPr>
            <w:r>
              <w:rPr>
                <w:rFonts w:hint="eastAsia" w:ascii="仿宋_GB2312" w:eastAsia="仿宋_GB2312"/>
                <w:sz w:val="18"/>
                <w:szCs w:val="18"/>
              </w:rPr>
              <w:t>■便民服务站 ■入户/现场</w:t>
            </w:r>
            <w:r>
              <w:rPr>
                <w:rFonts w:hint="eastAsia" w:ascii="仿宋_GB2312" w:eastAsia="仿宋_GB2312"/>
                <w:sz w:val="18"/>
                <w:szCs w:val="18"/>
              </w:rPr>
              <w:br w:type="textWrapping"/>
            </w:r>
            <w:r>
              <w:rPr>
                <w:rFonts w:hint="eastAsia" w:ascii="仿宋_GB2312" w:eastAsia="仿宋_GB2312"/>
                <w:sz w:val="18"/>
                <w:szCs w:val="18"/>
              </w:rPr>
              <w:t>■社区/企事业单位、村公示栏（电子屏）</w:t>
            </w:r>
            <w:r>
              <w:rPr>
                <w:rFonts w:hint="eastAsia" w:ascii="仿宋_GB2312" w:eastAsia="仿宋_GB2312"/>
                <w:sz w:val="18"/>
                <w:szCs w:val="18"/>
              </w:rPr>
              <w:br w:type="textWrapping"/>
            </w:r>
            <w:r>
              <w:rPr>
                <w:rFonts w:hint="eastAsia" w:ascii="仿宋_GB2312" w:eastAsia="仿宋_GB2312"/>
                <w:sz w:val="18"/>
                <w:szCs w:val="18"/>
              </w:rPr>
              <w:t>■精准推送   ■其他</w:t>
            </w:r>
          </w:p>
        </w:tc>
        <w:tc>
          <w:tcPr>
            <w:tcW w:w="664" w:type="dxa"/>
            <w:noWrap w:val="0"/>
            <w:vAlign w:val="center"/>
          </w:tcPr>
          <w:p w14:paraId="52911F4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1258C7BD">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7AF70B9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D842B6A">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77F99F6E">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7460C45">
            <w:pPr>
              <w:rPr>
                <w:rFonts w:hint="eastAsia" w:ascii="仿宋_GB2312" w:hAnsi="宋体" w:eastAsia="仿宋_GB2312" w:cs="宋体"/>
                <w:bCs/>
                <w:sz w:val="18"/>
                <w:szCs w:val="18"/>
              </w:rPr>
            </w:pPr>
            <w:r>
              <w:rPr>
                <w:rFonts w:hint="eastAsia" w:ascii="仿宋_GB2312" w:eastAsia="仿宋_GB2312"/>
                <w:bCs/>
                <w:sz w:val="18"/>
                <w:szCs w:val="18"/>
              </w:rPr>
              <w:t>√</w:t>
            </w:r>
          </w:p>
        </w:tc>
      </w:tr>
      <w:tr w14:paraId="3BA4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noWrap w:val="0"/>
            <w:vAlign w:val="center"/>
          </w:tcPr>
          <w:p w14:paraId="13F558D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restart"/>
            <w:noWrap w:val="0"/>
            <w:vAlign w:val="center"/>
          </w:tcPr>
          <w:p w14:paraId="445E801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14:paraId="35A6460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noWrap w:val="0"/>
            <w:vAlign w:val="center"/>
          </w:tcPr>
          <w:p w14:paraId="54BC2770">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2520" w:type="dxa"/>
            <w:noWrap w:val="0"/>
            <w:vAlign w:val="center"/>
          </w:tcPr>
          <w:p w14:paraId="757C2D7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2520" w:type="dxa"/>
            <w:noWrap w:val="0"/>
            <w:vAlign w:val="center"/>
          </w:tcPr>
          <w:p w14:paraId="59CCF591">
            <w:pPr>
              <w:jc w:val="cente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noWrap w:val="0"/>
            <w:vAlign w:val="center"/>
          </w:tcPr>
          <w:p w14:paraId="32CC5B6B">
            <w:pPr>
              <w:jc w:val="center"/>
              <w:rPr>
                <w:rFonts w:hint="eastAsia" w:ascii="仿宋_GB2312" w:eastAsia="仿宋_GB2312"/>
                <w:bCs/>
                <w:color w:val="000000"/>
                <w:sz w:val="18"/>
                <w:szCs w:val="18"/>
              </w:rPr>
            </w:pPr>
            <w:r>
              <w:rPr>
                <w:rFonts w:hint="eastAsia" w:ascii="仿宋_GB2312" w:eastAsia="仿宋_GB2312"/>
                <w:bCs/>
                <w:color w:val="000000"/>
                <w:sz w:val="18"/>
                <w:szCs w:val="18"/>
              </w:rPr>
              <w:t>按进展情况及时</w:t>
            </w:r>
          </w:p>
          <w:p w14:paraId="399C2253">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公开</w:t>
            </w:r>
          </w:p>
        </w:tc>
        <w:tc>
          <w:tcPr>
            <w:tcW w:w="900" w:type="dxa"/>
            <w:noWrap w:val="0"/>
            <w:vAlign w:val="center"/>
          </w:tcPr>
          <w:p w14:paraId="21A697AD">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107543FA">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54CF6F7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A2FC70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0057B0E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444E10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5C1ABF94">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666AEC6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7295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40" w:type="dxa"/>
            <w:noWrap w:val="0"/>
            <w:vAlign w:val="center"/>
          </w:tcPr>
          <w:p w14:paraId="59B2B8F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vMerge w:val="continue"/>
            <w:noWrap w:val="0"/>
            <w:vAlign w:val="center"/>
          </w:tcPr>
          <w:p w14:paraId="4DD8653D">
            <w:pPr>
              <w:rPr>
                <w:rFonts w:hint="eastAsia" w:ascii="仿宋_GB2312" w:hAnsi="宋体" w:eastAsia="仿宋_GB2312" w:cs="宋体"/>
                <w:color w:val="000000"/>
                <w:sz w:val="18"/>
                <w:szCs w:val="18"/>
              </w:rPr>
            </w:pPr>
          </w:p>
        </w:tc>
        <w:tc>
          <w:tcPr>
            <w:tcW w:w="1080" w:type="dxa"/>
            <w:noWrap w:val="0"/>
            <w:vAlign w:val="center"/>
          </w:tcPr>
          <w:p w14:paraId="7F2C691B">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2520" w:type="dxa"/>
            <w:noWrap w:val="0"/>
            <w:vAlign w:val="center"/>
          </w:tcPr>
          <w:p w14:paraId="51325B2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2520" w:type="dxa"/>
            <w:noWrap w:val="0"/>
            <w:vAlign w:val="center"/>
          </w:tcPr>
          <w:p w14:paraId="43F83567">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noWrap w:val="0"/>
            <w:vAlign w:val="center"/>
          </w:tcPr>
          <w:p w14:paraId="63990936">
            <w:pPr>
              <w:jc w:val="center"/>
              <w:rPr>
                <w:rFonts w:hint="eastAsia" w:ascii="仿宋_GB2312" w:eastAsia="仿宋_GB2312"/>
                <w:bCs/>
                <w:color w:val="000000"/>
                <w:sz w:val="18"/>
                <w:szCs w:val="18"/>
              </w:rPr>
            </w:pPr>
            <w:r>
              <w:rPr>
                <w:rFonts w:hint="eastAsia" w:ascii="仿宋_GB2312" w:eastAsia="仿宋_GB2312"/>
                <w:bCs/>
                <w:color w:val="000000"/>
                <w:sz w:val="18"/>
                <w:szCs w:val="18"/>
              </w:rPr>
              <w:t>按进展情况及时</w:t>
            </w:r>
          </w:p>
          <w:p w14:paraId="2383B7C4">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公开</w:t>
            </w:r>
          </w:p>
        </w:tc>
        <w:tc>
          <w:tcPr>
            <w:tcW w:w="900" w:type="dxa"/>
            <w:noWrap w:val="0"/>
            <w:vAlign w:val="center"/>
          </w:tcPr>
          <w:p w14:paraId="779CB716">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3E82353B">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noWrap w:val="0"/>
            <w:vAlign w:val="center"/>
          </w:tcPr>
          <w:p w14:paraId="24FE75B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01332B8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277FF46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FDE756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20125F2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1A4032E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1218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59A64CB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20</w:t>
            </w:r>
          </w:p>
        </w:tc>
        <w:tc>
          <w:tcPr>
            <w:tcW w:w="900" w:type="dxa"/>
            <w:vMerge w:val="restart"/>
            <w:noWrap w:val="0"/>
            <w:vAlign w:val="center"/>
          </w:tcPr>
          <w:p w14:paraId="2C7CC50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14:paraId="0D0E84F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noWrap w:val="0"/>
            <w:vAlign w:val="center"/>
          </w:tcPr>
          <w:p w14:paraId="17B371EB">
            <w:pPr>
              <w:jc w:val="center"/>
              <w:rPr>
                <w:rFonts w:hint="eastAsia" w:ascii="仿宋_GB2312" w:hAnsi="宋体" w:eastAsia="仿宋_GB2312" w:cs="宋体"/>
                <w:bCs/>
                <w:sz w:val="18"/>
                <w:szCs w:val="18"/>
              </w:rPr>
            </w:pPr>
            <w:r>
              <w:rPr>
                <w:rFonts w:hint="eastAsia" w:ascii="仿宋_GB2312" w:eastAsia="仿宋_GB2312"/>
                <w:bCs/>
                <w:sz w:val="18"/>
                <w:szCs w:val="18"/>
              </w:rPr>
              <w:t>权力清单及责任清单</w:t>
            </w:r>
          </w:p>
        </w:tc>
        <w:tc>
          <w:tcPr>
            <w:tcW w:w="2520" w:type="dxa"/>
            <w:noWrap w:val="0"/>
            <w:vAlign w:val="center"/>
          </w:tcPr>
          <w:p w14:paraId="2B16ACC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noWrap w:val="0"/>
            <w:vAlign w:val="center"/>
          </w:tcPr>
          <w:p w14:paraId="393DCEFA">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noWrap w:val="0"/>
            <w:vAlign w:val="center"/>
          </w:tcPr>
          <w:p w14:paraId="0B03C234">
            <w:pPr>
              <w:rPr>
                <w:rFonts w:hint="eastAsia"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900" w:type="dxa"/>
            <w:noWrap w:val="0"/>
            <w:vAlign w:val="center"/>
          </w:tcPr>
          <w:p w14:paraId="3107E5F8">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0685E010">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5531ADA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11B86639">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267274F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4F700208">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36512D0B">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1F6C5940">
            <w:pPr>
              <w:rPr>
                <w:rFonts w:hint="eastAsia" w:ascii="仿宋_GB2312" w:hAnsi="宋体" w:eastAsia="仿宋_GB2312" w:cs="宋体"/>
                <w:bCs/>
                <w:sz w:val="18"/>
                <w:szCs w:val="18"/>
              </w:rPr>
            </w:pPr>
            <w:r>
              <w:rPr>
                <w:rFonts w:hint="eastAsia" w:ascii="仿宋_GB2312" w:eastAsia="仿宋_GB2312"/>
                <w:bCs/>
                <w:sz w:val="18"/>
                <w:szCs w:val="18"/>
              </w:rPr>
              <w:t>　</w:t>
            </w:r>
          </w:p>
        </w:tc>
      </w:tr>
      <w:tr w14:paraId="0BDF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3C29AD0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21</w:t>
            </w:r>
          </w:p>
        </w:tc>
        <w:tc>
          <w:tcPr>
            <w:tcW w:w="900" w:type="dxa"/>
            <w:vMerge w:val="continue"/>
            <w:noWrap w:val="0"/>
            <w:vAlign w:val="center"/>
          </w:tcPr>
          <w:p w14:paraId="11DD3A9D">
            <w:pPr>
              <w:rPr>
                <w:rFonts w:hint="eastAsia" w:ascii="仿宋_GB2312" w:hAnsi="宋体" w:eastAsia="仿宋_GB2312" w:cs="宋体"/>
                <w:color w:val="000000"/>
                <w:sz w:val="18"/>
                <w:szCs w:val="18"/>
              </w:rPr>
            </w:pPr>
          </w:p>
        </w:tc>
        <w:tc>
          <w:tcPr>
            <w:tcW w:w="1080" w:type="dxa"/>
            <w:noWrap w:val="0"/>
            <w:vAlign w:val="center"/>
          </w:tcPr>
          <w:p w14:paraId="1FAC5693">
            <w:pPr>
              <w:jc w:val="center"/>
              <w:rPr>
                <w:rFonts w:hint="eastAsia" w:ascii="仿宋_GB2312" w:hAnsi="宋体" w:eastAsia="仿宋_GB2312" w:cs="宋体"/>
                <w:bCs/>
                <w:sz w:val="18"/>
                <w:szCs w:val="18"/>
              </w:rPr>
            </w:pPr>
            <w:r>
              <w:rPr>
                <w:rFonts w:hint="eastAsia" w:ascii="仿宋_GB2312" w:eastAsia="仿宋_GB2312"/>
                <w:bCs/>
                <w:sz w:val="18"/>
                <w:szCs w:val="18"/>
              </w:rPr>
              <w:t>主要业务办事指南</w:t>
            </w:r>
          </w:p>
        </w:tc>
        <w:tc>
          <w:tcPr>
            <w:tcW w:w="2520" w:type="dxa"/>
            <w:noWrap w:val="0"/>
            <w:vAlign w:val="center"/>
          </w:tcPr>
          <w:p w14:paraId="2420288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2520" w:type="dxa"/>
            <w:noWrap w:val="0"/>
            <w:vAlign w:val="center"/>
          </w:tcPr>
          <w:p w14:paraId="3F451FEA">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noWrap w:val="0"/>
            <w:vAlign w:val="center"/>
          </w:tcPr>
          <w:p w14:paraId="7B62D7C0">
            <w:pPr>
              <w:jc w:val="center"/>
              <w:rPr>
                <w:rFonts w:hint="eastAsia" w:ascii="仿宋_GB2312" w:hAnsi="宋体" w:eastAsia="仿宋_GB2312" w:cs="宋体"/>
                <w:bCs/>
                <w:sz w:val="18"/>
                <w:szCs w:val="18"/>
              </w:rPr>
            </w:pPr>
            <w:r>
              <w:rPr>
                <w:rFonts w:hint="eastAsia" w:ascii="仿宋_GB2312" w:eastAsia="仿宋_GB2312"/>
                <w:bCs/>
                <w:sz w:val="18"/>
                <w:szCs w:val="18"/>
              </w:rPr>
              <w:t>信息形成或者变更之日起20个工作日内</w:t>
            </w:r>
          </w:p>
        </w:tc>
        <w:tc>
          <w:tcPr>
            <w:tcW w:w="900" w:type="dxa"/>
            <w:noWrap w:val="0"/>
            <w:vAlign w:val="center"/>
          </w:tcPr>
          <w:p w14:paraId="44AF1224">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0CC608FE">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40B7C6E7">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52AEB05">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071EA73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0EC02A97">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1EC20AD1">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1C7BABA6">
            <w:pPr>
              <w:rPr>
                <w:rFonts w:hint="eastAsia" w:ascii="仿宋_GB2312" w:hAnsi="宋体" w:eastAsia="仿宋_GB2312" w:cs="宋体"/>
                <w:bCs/>
                <w:sz w:val="18"/>
                <w:szCs w:val="18"/>
              </w:rPr>
            </w:pPr>
            <w:r>
              <w:rPr>
                <w:rFonts w:hint="eastAsia" w:ascii="仿宋_GB2312" w:eastAsia="仿宋_GB2312"/>
                <w:bCs/>
                <w:sz w:val="18"/>
                <w:szCs w:val="18"/>
              </w:rPr>
              <w:t>　</w:t>
            </w:r>
          </w:p>
        </w:tc>
      </w:tr>
      <w:tr w14:paraId="6556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6E4DC14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22</w:t>
            </w:r>
          </w:p>
        </w:tc>
        <w:tc>
          <w:tcPr>
            <w:tcW w:w="900" w:type="dxa"/>
            <w:vMerge w:val="continue"/>
            <w:noWrap w:val="0"/>
            <w:vAlign w:val="center"/>
          </w:tcPr>
          <w:p w14:paraId="3486521E">
            <w:pPr>
              <w:rPr>
                <w:rFonts w:hint="eastAsia" w:ascii="仿宋_GB2312" w:hAnsi="宋体" w:eastAsia="仿宋_GB2312" w:cs="宋体"/>
                <w:color w:val="000000"/>
                <w:sz w:val="18"/>
                <w:szCs w:val="18"/>
              </w:rPr>
            </w:pPr>
          </w:p>
        </w:tc>
        <w:tc>
          <w:tcPr>
            <w:tcW w:w="1080" w:type="dxa"/>
            <w:noWrap w:val="0"/>
            <w:vAlign w:val="center"/>
          </w:tcPr>
          <w:p w14:paraId="67C7D6AC">
            <w:pPr>
              <w:jc w:val="center"/>
              <w:rPr>
                <w:rFonts w:hint="eastAsia" w:ascii="仿宋_GB2312" w:hAnsi="宋体" w:eastAsia="仿宋_GB2312" w:cs="宋体"/>
                <w:bCs/>
                <w:sz w:val="18"/>
                <w:szCs w:val="18"/>
              </w:rPr>
            </w:pPr>
            <w:r>
              <w:rPr>
                <w:rFonts w:hint="eastAsia" w:ascii="仿宋_GB2312" w:eastAsia="仿宋_GB2312"/>
                <w:bCs/>
                <w:sz w:val="18"/>
                <w:szCs w:val="18"/>
              </w:rPr>
              <w:t>年度报告</w:t>
            </w:r>
          </w:p>
        </w:tc>
        <w:tc>
          <w:tcPr>
            <w:tcW w:w="2520" w:type="dxa"/>
            <w:noWrap w:val="0"/>
            <w:vAlign w:val="center"/>
          </w:tcPr>
          <w:p w14:paraId="7A8A3243">
            <w:pPr>
              <w:rPr>
                <w:rFonts w:hint="eastAsia"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2520" w:type="dxa"/>
            <w:noWrap w:val="0"/>
            <w:vAlign w:val="center"/>
          </w:tcPr>
          <w:p w14:paraId="7EB76241">
            <w:pPr>
              <w:jc w:val="cente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w:t>
            </w:r>
          </w:p>
        </w:tc>
        <w:tc>
          <w:tcPr>
            <w:tcW w:w="1800" w:type="dxa"/>
            <w:noWrap w:val="0"/>
            <w:vAlign w:val="center"/>
          </w:tcPr>
          <w:p w14:paraId="3811FAAA">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900" w:type="dxa"/>
            <w:noWrap w:val="0"/>
            <w:vAlign w:val="center"/>
          </w:tcPr>
          <w:p w14:paraId="1FF07BAF">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72246E5D">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2BA036B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725F601">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5D00FDB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27A47562">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6C0CFEDA">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A2591F5">
            <w:pPr>
              <w:rPr>
                <w:rFonts w:hint="eastAsia" w:ascii="仿宋_GB2312" w:hAnsi="宋体" w:eastAsia="仿宋_GB2312" w:cs="宋体"/>
                <w:bCs/>
                <w:sz w:val="18"/>
                <w:szCs w:val="18"/>
              </w:rPr>
            </w:pPr>
            <w:r>
              <w:rPr>
                <w:rFonts w:hint="eastAsia" w:ascii="仿宋_GB2312" w:eastAsia="仿宋_GB2312"/>
                <w:bCs/>
                <w:sz w:val="18"/>
                <w:szCs w:val="18"/>
              </w:rPr>
              <w:t>　</w:t>
            </w:r>
          </w:p>
        </w:tc>
      </w:tr>
      <w:tr w14:paraId="0A84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3D03AFF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noWrap w:val="0"/>
            <w:vAlign w:val="center"/>
          </w:tcPr>
          <w:p w14:paraId="6B71D5C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3D29F3F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58E611C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181FC48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0"/>
            <w:vAlign w:val="center"/>
          </w:tcPr>
          <w:p w14:paraId="0B15FC94">
            <w:pPr>
              <w:jc w:val="cente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noWrap w:val="0"/>
            <w:vAlign w:val="center"/>
          </w:tcPr>
          <w:p w14:paraId="1C6C3EFF">
            <w:pPr>
              <w:rPr>
                <w:rFonts w:hint="eastAsia" w:ascii="仿宋_GB2312" w:eastAsia="仿宋_GB2312"/>
                <w:bCs/>
                <w:sz w:val="18"/>
                <w:szCs w:val="18"/>
              </w:rPr>
            </w:pPr>
            <w:r>
              <w:rPr>
                <w:rFonts w:hint="eastAsia" w:ascii="仿宋_GB2312" w:eastAsia="仿宋_GB2312"/>
                <w:bCs/>
                <w:sz w:val="18"/>
                <w:szCs w:val="18"/>
              </w:rPr>
              <w:t>预算、决算</w:t>
            </w:r>
          </w:p>
          <w:p w14:paraId="734C2318">
            <w:pPr>
              <w:rPr>
                <w:rFonts w:hint="eastAsia" w:ascii="仿宋_GB2312" w:eastAsia="仿宋_GB2312"/>
                <w:bCs/>
                <w:sz w:val="18"/>
                <w:szCs w:val="18"/>
              </w:rPr>
            </w:pPr>
            <w:r>
              <w:rPr>
                <w:rFonts w:hint="eastAsia" w:ascii="仿宋_GB2312" w:eastAsia="仿宋_GB2312"/>
                <w:bCs/>
                <w:sz w:val="18"/>
                <w:szCs w:val="18"/>
              </w:rPr>
              <w:t xml:space="preserve"> “三公”经费</w:t>
            </w:r>
          </w:p>
          <w:p w14:paraId="2ACB9D4D">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noWrap w:val="0"/>
            <w:vAlign w:val="center"/>
          </w:tcPr>
          <w:p w14:paraId="330CA273">
            <w:pPr>
              <w:jc w:val="cente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w:t>
            </w:r>
            <w:r>
              <w:rPr>
                <w:rFonts w:hint="eastAsia" w:ascii="仿宋_GB2312" w:eastAsia="仿宋_GB2312"/>
                <w:bCs/>
                <w:sz w:val="18"/>
                <w:szCs w:val="18"/>
                <w:lang w:eastAsia="zh-CN"/>
              </w:rPr>
              <w:t>》《</w:t>
            </w:r>
            <w:r>
              <w:rPr>
                <w:rFonts w:hint="eastAsia" w:ascii="仿宋_GB2312" w:eastAsia="仿宋_GB2312"/>
                <w:bCs/>
                <w:sz w:val="18"/>
                <w:szCs w:val="18"/>
              </w:rPr>
              <w:t>国务院办公厅关于进一步推进预算公开工作意见的通知》</w:t>
            </w:r>
          </w:p>
        </w:tc>
        <w:tc>
          <w:tcPr>
            <w:tcW w:w="1800" w:type="dxa"/>
            <w:noWrap w:val="0"/>
            <w:vAlign w:val="center"/>
          </w:tcPr>
          <w:p w14:paraId="12B4C3F6">
            <w:pPr>
              <w:jc w:val="cente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noWrap w:val="0"/>
            <w:vAlign w:val="center"/>
          </w:tcPr>
          <w:p w14:paraId="1E261BB9">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3963008D">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1FAB8E8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932728A">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0189AC0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2E2FF69F">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05821BAF">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29A104E">
            <w:pPr>
              <w:rPr>
                <w:rFonts w:hint="eastAsia" w:ascii="仿宋_GB2312" w:hAnsi="宋体" w:eastAsia="仿宋_GB2312" w:cs="宋体"/>
                <w:bCs/>
                <w:sz w:val="18"/>
                <w:szCs w:val="18"/>
              </w:rPr>
            </w:pPr>
            <w:r>
              <w:rPr>
                <w:rFonts w:hint="eastAsia" w:ascii="仿宋_GB2312" w:eastAsia="仿宋_GB2312"/>
                <w:bCs/>
                <w:sz w:val="18"/>
                <w:szCs w:val="18"/>
              </w:rPr>
              <w:t>√</w:t>
            </w:r>
          </w:p>
        </w:tc>
      </w:tr>
      <w:tr w14:paraId="1111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noWrap w:val="0"/>
            <w:vAlign w:val="center"/>
          </w:tcPr>
          <w:p w14:paraId="122CAAB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noWrap w:val="0"/>
            <w:vAlign w:val="center"/>
          </w:tcPr>
          <w:p w14:paraId="3822136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7429842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05C9E29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17AFABF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0"/>
            <w:vAlign w:val="center"/>
          </w:tcPr>
          <w:p w14:paraId="70064C74">
            <w:pPr>
              <w:jc w:val="cente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noWrap w:val="0"/>
            <w:vAlign w:val="center"/>
          </w:tcPr>
          <w:p w14:paraId="73A0452D">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noWrap w:val="0"/>
            <w:vAlign w:val="center"/>
          </w:tcPr>
          <w:p w14:paraId="717B6C5D">
            <w:pPr>
              <w:jc w:val="cente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国务院关于深化预算管理制度改革的决定》、中办、国办印发《关于进一步推进预算公开工作的意见》的通知</w:t>
            </w:r>
          </w:p>
        </w:tc>
        <w:tc>
          <w:tcPr>
            <w:tcW w:w="1800" w:type="dxa"/>
            <w:noWrap w:val="0"/>
            <w:vAlign w:val="center"/>
          </w:tcPr>
          <w:p w14:paraId="2ABE99F5">
            <w:pPr>
              <w:jc w:val="cente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14:paraId="071FE55D">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756A6794">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083FC17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75D5BC5">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14:paraId="5AE160E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C4A2537">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14:paraId="69E2409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92CB426">
            <w:pPr>
              <w:rPr>
                <w:rFonts w:hint="eastAsia" w:ascii="仿宋_GB2312" w:hAnsi="宋体" w:eastAsia="仿宋_GB2312" w:cs="宋体"/>
                <w:bCs/>
                <w:sz w:val="18"/>
                <w:szCs w:val="18"/>
              </w:rPr>
            </w:pPr>
            <w:r>
              <w:rPr>
                <w:rFonts w:hint="eastAsia" w:ascii="仿宋_GB2312" w:eastAsia="仿宋_GB2312"/>
                <w:bCs/>
                <w:sz w:val="18"/>
                <w:szCs w:val="18"/>
              </w:rPr>
              <w:t>√</w:t>
            </w:r>
          </w:p>
        </w:tc>
      </w:tr>
      <w:tr w14:paraId="639E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noWrap w:val="0"/>
            <w:vAlign w:val="center"/>
          </w:tcPr>
          <w:p w14:paraId="6334FB6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noWrap w:val="0"/>
            <w:vAlign w:val="center"/>
          </w:tcPr>
          <w:p w14:paraId="4E244488">
            <w:pPr>
              <w:rPr>
                <w:rFonts w:hint="eastAsia" w:ascii="仿宋_GB2312" w:hAnsi="宋体" w:eastAsia="仿宋_GB2312" w:cs="宋体"/>
                <w:color w:val="000000"/>
                <w:sz w:val="18"/>
                <w:szCs w:val="18"/>
              </w:rPr>
            </w:pPr>
          </w:p>
        </w:tc>
        <w:tc>
          <w:tcPr>
            <w:tcW w:w="1080" w:type="dxa"/>
            <w:noWrap w:val="0"/>
            <w:vAlign w:val="center"/>
          </w:tcPr>
          <w:p w14:paraId="5CE00C06">
            <w:pPr>
              <w:jc w:val="cente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noWrap w:val="0"/>
            <w:vAlign w:val="center"/>
          </w:tcPr>
          <w:p w14:paraId="016319FA">
            <w:pPr>
              <w:rPr>
                <w:rFonts w:hint="eastAsia" w:ascii="仿宋_GB2312" w:hAnsi="宋体" w:eastAsia="仿宋_GB2312" w:cs="宋体"/>
                <w:bCs/>
                <w:sz w:val="18"/>
                <w:szCs w:val="18"/>
              </w:rPr>
            </w:pPr>
            <w:r>
              <w:rPr>
                <w:rFonts w:hint="eastAsia" w:ascii="仿宋_GB2312" w:eastAsia="仿宋_GB2312"/>
                <w:bCs/>
                <w:sz w:val="18"/>
                <w:szCs w:val="18"/>
              </w:rPr>
              <w:t>本单位的办事纪律</w:t>
            </w:r>
            <w:r>
              <w:rPr>
                <w:rFonts w:hint="eastAsia" w:ascii="仿宋_GB2312" w:eastAsia="仿宋_GB2312"/>
                <w:bCs/>
                <w:sz w:val="18"/>
                <w:szCs w:val="18"/>
                <w:lang w:eastAsia="zh-CN"/>
              </w:rPr>
              <w:t>，</w:t>
            </w:r>
            <w:r>
              <w:rPr>
                <w:rFonts w:hint="eastAsia" w:ascii="仿宋_GB2312" w:eastAsia="仿宋_GB2312"/>
                <w:bCs/>
                <w:sz w:val="18"/>
                <w:szCs w:val="18"/>
              </w:rPr>
              <w:t>受理投诉、举报、信访的途径等内容</w:t>
            </w:r>
          </w:p>
        </w:tc>
        <w:tc>
          <w:tcPr>
            <w:tcW w:w="2520" w:type="dxa"/>
            <w:noWrap w:val="0"/>
            <w:vAlign w:val="center"/>
          </w:tcPr>
          <w:p w14:paraId="2B6F5D4F">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noWrap w:val="0"/>
            <w:vAlign w:val="center"/>
          </w:tcPr>
          <w:p w14:paraId="36B88B9B">
            <w:pPr>
              <w:jc w:val="cente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14:paraId="4491244C">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20330E25">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66A868F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49B3B99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37351B5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07D5F9B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0FC8A674">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39617AA6">
            <w:pPr>
              <w:rPr>
                <w:rFonts w:hint="eastAsia" w:ascii="仿宋_GB2312" w:hAnsi="宋体" w:eastAsia="仿宋_GB2312" w:cs="宋体"/>
                <w:bCs/>
                <w:sz w:val="18"/>
                <w:szCs w:val="18"/>
              </w:rPr>
            </w:pPr>
            <w:r>
              <w:rPr>
                <w:rFonts w:hint="eastAsia" w:ascii="仿宋_GB2312" w:eastAsia="仿宋_GB2312"/>
                <w:bCs/>
                <w:sz w:val="18"/>
                <w:szCs w:val="18"/>
              </w:rPr>
              <w:t>√</w:t>
            </w:r>
          </w:p>
        </w:tc>
      </w:tr>
      <w:tr w14:paraId="1B63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14ABE6B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26</w:t>
            </w:r>
          </w:p>
        </w:tc>
        <w:tc>
          <w:tcPr>
            <w:tcW w:w="900" w:type="dxa"/>
            <w:vMerge w:val="restart"/>
            <w:noWrap w:val="0"/>
            <w:vAlign w:val="center"/>
          </w:tcPr>
          <w:p w14:paraId="33A329A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0ABB616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60CFDB1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6CC15F1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0"/>
            <w:vAlign w:val="center"/>
          </w:tcPr>
          <w:p w14:paraId="3689DDBE">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重大工程项目信息</w:t>
            </w:r>
          </w:p>
        </w:tc>
        <w:tc>
          <w:tcPr>
            <w:tcW w:w="2520" w:type="dxa"/>
            <w:noWrap w:val="0"/>
            <w:vAlign w:val="center"/>
          </w:tcPr>
          <w:p w14:paraId="26C83A2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项目名称、执行措施、责任分工、取得成效、后续举措等</w:t>
            </w:r>
          </w:p>
        </w:tc>
        <w:tc>
          <w:tcPr>
            <w:tcW w:w="2520" w:type="dxa"/>
            <w:noWrap w:val="0"/>
            <w:vAlign w:val="center"/>
          </w:tcPr>
          <w:p w14:paraId="7B59EAC7">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国务院办公厅关于推进重大建设项目批准和实施领域政府信息公开的意见》</w:t>
            </w:r>
          </w:p>
        </w:tc>
        <w:tc>
          <w:tcPr>
            <w:tcW w:w="1800" w:type="dxa"/>
            <w:noWrap w:val="0"/>
            <w:vAlign w:val="center"/>
          </w:tcPr>
          <w:p w14:paraId="19FBAB89">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noWrap w:val="0"/>
            <w:vAlign w:val="center"/>
          </w:tcPr>
          <w:p w14:paraId="0EAD8DED">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1A6AE9ED">
            <w:pPr>
              <w:spacing w:line="240" w:lineRule="exact"/>
              <w:rPr>
                <w:rFonts w:hint="eastAsia" w:ascii="仿宋_GB2312" w:eastAsia="仿宋_GB2312"/>
                <w:sz w:val="18"/>
                <w:szCs w:val="18"/>
              </w:rPr>
            </w:pPr>
            <w:r>
              <w:rPr>
                <w:rFonts w:hint="eastAsia" w:ascii="仿宋_GB2312" w:eastAsia="仿宋_GB2312"/>
                <w:sz w:val="18"/>
                <w:szCs w:val="18"/>
              </w:rPr>
              <w:t>■政府网站</w:t>
            </w:r>
            <w:r>
              <w:rPr>
                <w:rFonts w:hint="eastAsia" w:ascii="仿宋_GB2312" w:eastAsia="仿宋_GB2312"/>
                <w:sz w:val="18"/>
                <w:szCs w:val="18"/>
              </w:rPr>
              <w:br w:type="textWrapping"/>
            </w:r>
            <w:r>
              <w:rPr>
                <w:rFonts w:hint="eastAsia" w:ascii="仿宋_GB2312" w:eastAsia="仿宋_GB2312"/>
                <w:sz w:val="18"/>
                <w:szCs w:val="18"/>
              </w:rPr>
              <w:t xml:space="preserve">■公开查阅点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5706F2A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2457B0D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45FDD19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4B1E002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046E1C63">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35708B4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7916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44F1C99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noWrap w:val="0"/>
            <w:vAlign w:val="center"/>
          </w:tcPr>
          <w:p w14:paraId="6351ED8E">
            <w:pPr>
              <w:rPr>
                <w:rFonts w:hint="eastAsia" w:ascii="仿宋_GB2312" w:hAnsi="宋体" w:eastAsia="仿宋_GB2312" w:cs="宋体"/>
                <w:color w:val="000000"/>
                <w:sz w:val="18"/>
                <w:szCs w:val="18"/>
              </w:rPr>
            </w:pPr>
          </w:p>
        </w:tc>
        <w:tc>
          <w:tcPr>
            <w:tcW w:w="1080" w:type="dxa"/>
            <w:noWrap w:val="0"/>
            <w:vAlign w:val="center"/>
          </w:tcPr>
          <w:p w14:paraId="251E6EAB">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noWrap w:val="0"/>
            <w:vAlign w:val="center"/>
          </w:tcPr>
          <w:p w14:paraId="6CC7CEE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noWrap w:val="0"/>
            <w:vAlign w:val="center"/>
          </w:tcPr>
          <w:p w14:paraId="294184B4">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noWrap w:val="0"/>
            <w:vAlign w:val="center"/>
          </w:tcPr>
          <w:p w14:paraId="3DECB22B">
            <w:pPr>
              <w:jc w:val="cente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14:paraId="4AC06BC4">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2E07F29E">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664" w:type="dxa"/>
            <w:noWrap w:val="0"/>
            <w:vAlign w:val="center"/>
          </w:tcPr>
          <w:p w14:paraId="2668CDA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B1F3C9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5A20F83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1400C9D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01DBF69F">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028A6DD">
            <w:pPr>
              <w:rPr>
                <w:rFonts w:hint="eastAsia" w:ascii="仿宋_GB2312" w:hAnsi="宋体" w:eastAsia="仿宋_GB2312" w:cs="宋体"/>
                <w:bCs/>
                <w:sz w:val="18"/>
                <w:szCs w:val="18"/>
              </w:rPr>
            </w:pPr>
            <w:r>
              <w:rPr>
                <w:rFonts w:hint="eastAsia" w:ascii="仿宋_GB2312" w:eastAsia="仿宋_GB2312"/>
                <w:bCs/>
                <w:sz w:val="18"/>
                <w:szCs w:val="18"/>
              </w:rPr>
              <w:t>√</w:t>
            </w:r>
          </w:p>
        </w:tc>
      </w:tr>
      <w:tr w14:paraId="0E22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noWrap w:val="0"/>
            <w:vAlign w:val="center"/>
          </w:tcPr>
          <w:p w14:paraId="5788FF1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28</w:t>
            </w:r>
          </w:p>
        </w:tc>
        <w:tc>
          <w:tcPr>
            <w:tcW w:w="900" w:type="dxa"/>
            <w:vMerge w:val="continue"/>
            <w:noWrap w:val="0"/>
            <w:vAlign w:val="center"/>
          </w:tcPr>
          <w:p w14:paraId="05FEB1E3">
            <w:pPr>
              <w:rPr>
                <w:rFonts w:hint="eastAsia" w:ascii="仿宋_GB2312" w:hAnsi="宋体" w:eastAsia="仿宋_GB2312" w:cs="宋体"/>
                <w:color w:val="000000"/>
                <w:sz w:val="18"/>
                <w:szCs w:val="18"/>
              </w:rPr>
            </w:pPr>
          </w:p>
        </w:tc>
        <w:tc>
          <w:tcPr>
            <w:tcW w:w="1080" w:type="dxa"/>
            <w:noWrap w:val="0"/>
            <w:vAlign w:val="center"/>
          </w:tcPr>
          <w:p w14:paraId="726CE3B1">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建议提案办理</w:t>
            </w:r>
          </w:p>
        </w:tc>
        <w:tc>
          <w:tcPr>
            <w:tcW w:w="2520" w:type="dxa"/>
            <w:noWrap w:val="0"/>
            <w:vAlign w:val="center"/>
          </w:tcPr>
          <w:p w14:paraId="2D030766">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14:paraId="45FC8C62">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14:paraId="59B6A94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政协委员提案办理</w:t>
            </w:r>
          </w:p>
        </w:tc>
        <w:tc>
          <w:tcPr>
            <w:tcW w:w="2520" w:type="dxa"/>
            <w:noWrap w:val="0"/>
            <w:vAlign w:val="center"/>
          </w:tcPr>
          <w:p w14:paraId="6F330D9A">
            <w:pPr>
              <w:jc w:val="cente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国务院办公厅关于做好全国人大代表建议和全国政协委员提案办理结果公开工作的通知》</w:t>
            </w:r>
          </w:p>
        </w:tc>
        <w:tc>
          <w:tcPr>
            <w:tcW w:w="1800" w:type="dxa"/>
            <w:noWrap w:val="0"/>
            <w:vAlign w:val="center"/>
          </w:tcPr>
          <w:p w14:paraId="3AAEDA2F">
            <w:pPr>
              <w:jc w:val="center"/>
              <w:rPr>
                <w:rFonts w:hint="eastAsia" w:ascii="仿宋_GB2312" w:hAnsi="宋体" w:eastAsia="仿宋_GB2312" w:cs="宋体"/>
                <w:bCs/>
                <w:sz w:val="18"/>
                <w:szCs w:val="18"/>
              </w:rPr>
            </w:pPr>
            <w:r>
              <w:rPr>
                <w:rFonts w:hint="eastAsia" w:ascii="仿宋_GB2312" w:eastAsia="仿宋_GB2312"/>
                <w:bCs/>
                <w:sz w:val="18"/>
                <w:szCs w:val="18"/>
              </w:rPr>
              <w:t>按照中央有关要求公开</w:t>
            </w:r>
          </w:p>
        </w:tc>
        <w:tc>
          <w:tcPr>
            <w:tcW w:w="900" w:type="dxa"/>
            <w:noWrap w:val="0"/>
            <w:vAlign w:val="center"/>
          </w:tcPr>
          <w:p w14:paraId="5FEB69EA">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峨边彝族自治县应急管理局</w:t>
            </w:r>
          </w:p>
        </w:tc>
        <w:tc>
          <w:tcPr>
            <w:tcW w:w="1496" w:type="dxa"/>
            <w:noWrap w:val="0"/>
            <w:vAlign w:val="center"/>
          </w:tcPr>
          <w:p w14:paraId="486E0DE6">
            <w:pPr>
              <w:spacing w:line="240" w:lineRule="exact"/>
              <w:jc w:val="left"/>
              <w:rPr>
                <w:rFonts w:hint="eastAsia" w:ascii="仿宋_GB2312" w:hAnsi="宋体" w:eastAsia="仿宋_GB2312" w:cs="宋体"/>
                <w:bCs/>
                <w:sz w:val="18"/>
                <w:szCs w:val="18"/>
              </w:rPr>
            </w:pPr>
            <w:r>
              <w:rPr>
                <w:rFonts w:hint="eastAsia" w:ascii="仿宋_GB2312" w:eastAsia="仿宋_GB2312"/>
                <w:sz w:val="18"/>
                <w:szCs w:val="18"/>
              </w:rPr>
              <w:t xml:space="preserve">■政府网站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r>
              <w:rPr>
                <w:rFonts w:hint="eastAsia" w:ascii="仿宋_GB2312" w:eastAsia="仿宋_GB2312"/>
                <w:sz w:val="18"/>
                <w:szCs w:val="18"/>
              </w:rPr>
              <w:br w:type="textWrapping"/>
            </w:r>
            <w:r>
              <w:rPr>
                <w:rFonts w:hint="eastAsia" w:ascii="仿宋_GB2312" w:eastAsia="仿宋_GB2312"/>
                <w:sz w:val="18"/>
                <w:szCs w:val="18"/>
              </w:rPr>
              <w:sym w:font="Wingdings" w:char="00A8"/>
            </w:r>
            <w:r>
              <w:rPr>
                <w:rFonts w:hint="eastAsia" w:ascii="仿宋_GB2312" w:eastAsia="仿宋_GB2312"/>
                <w:sz w:val="18"/>
                <w:szCs w:val="18"/>
              </w:rPr>
              <w:t>便民服务站</w:t>
            </w:r>
          </w:p>
        </w:tc>
        <w:tc>
          <w:tcPr>
            <w:tcW w:w="664" w:type="dxa"/>
            <w:noWrap w:val="0"/>
            <w:vAlign w:val="center"/>
          </w:tcPr>
          <w:p w14:paraId="6E46631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0089070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3ADD5C3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7027B6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6EFB7AF7">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6BEF599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bl>
    <w:p w14:paraId="3AFD9087">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pPr>
    </w:p>
    <w:p w14:paraId="57473FCB">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pPr>
    </w:p>
    <w:p w14:paraId="64190734">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pPr>
    </w:p>
    <w:p w14:paraId="3A2F600B">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pPr>
    </w:p>
    <w:p w14:paraId="06ECBC01">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bidi="ar-SA"/>
        </w:rPr>
      </w:pPr>
      <w: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t>（二）行政许可事项清单</w:t>
      </w:r>
    </w:p>
    <w:tbl>
      <w:tblPr>
        <w:tblStyle w:val="5"/>
        <w:tblW w:w="14140" w:type="dxa"/>
        <w:jc w:val="center"/>
        <w:shd w:val="clear" w:color="auto" w:fill="auto"/>
        <w:tblLayout w:type="autofit"/>
        <w:tblCellMar>
          <w:top w:w="0" w:type="dxa"/>
          <w:left w:w="0" w:type="dxa"/>
          <w:bottom w:w="0" w:type="dxa"/>
          <w:right w:w="0" w:type="dxa"/>
        </w:tblCellMar>
      </w:tblPr>
      <w:tblGrid>
        <w:gridCol w:w="478"/>
        <w:gridCol w:w="1943"/>
        <w:gridCol w:w="1702"/>
        <w:gridCol w:w="1376"/>
        <w:gridCol w:w="1984"/>
        <w:gridCol w:w="5042"/>
        <w:gridCol w:w="1615"/>
      </w:tblGrid>
      <w:tr w14:paraId="0CA66959">
        <w:tblPrEx>
          <w:shd w:val="clear" w:color="auto" w:fill="auto"/>
          <w:tblCellMar>
            <w:top w:w="0" w:type="dxa"/>
            <w:left w:w="0" w:type="dxa"/>
            <w:bottom w:w="0" w:type="dxa"/>
            <w:right w:w="0" w:type="dxa"/>
          </w:tblCellMar>
        </w:tblPrEx>
        <w:trPr>
          <w:trHeight w:val="199" w:hRule="atLeast"/>
          <w:jc w:val="center"/>
        </w:trPr>
        <w:tc>
          <w:tcPr>
            <w:tcW w:w="47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F9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序号</w:t>
            </w:r>
          </w:p>
        </w:tc>
        <w:tc>
          <w:tcPr>
            <w:tcW w:w="194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AF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事项名称</w:t>
            </w:r>
          </w:p>
        </w:tc>
        <w:tc>
          <w:tcPr>
            <w:tcW w:w="170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E1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主管部门</w:t>
            </w:r>
          </w:p>
        </w:tc>
        <w:tc>
          <w:tcPr>
            <w:tcW w:w="137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0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实施机关</w:t>
            </w:r>
          </w:p>
        </w:tc>
        <w:tc>
          <w:tcPr>
            <w:tcW w:w="198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3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设定依据</w:t>
            </w:r>
          </w:p>
        </w:tc>
        <w:tc>
          <w:tcPr>
            <w:tcW w:w="504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9D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实施依据</w:t>
            </w:r>
          </w:p>
        </w:tc>
        <w:tc>
          <w:tcPr>
            <w:tcW w:w="161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0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备注</w:t>
            </w:r>
          </w:p>
        </w:tc>
      </w:tr>
      <w:tr w14:paraId="30DCC235">
        <w:tblPrEx>
          <w:tblCellMar>
            <w:top w:w="0" w:type="dxa"/>
            <w:left w:w="0" w:type="dxa"/>
            <w:bottom w:w="0" w:type="dxa"/>
            <w:right w:w="0" w:type="dxa"/>
          </w:tblCellMar>
        </w:tblPrEx>
        <w:trPr>
          <w:trHeight w:val="541"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565B6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722F6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C7EF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703A7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F476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《国家职业资格目录（2021年版）》</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7C27E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《国务院关于取消和下放一批行政许可事项的决定》（国发〔2019〕6号）</w:t>
            </w:r>
          </w:p>
        </w:tc>
        <w:tc>
          <w:tcPr>
            <w:tcW w:w="1615" w:type="dxa"/>
            <w:tcBorders>
              <w:left w:val="single" w:color="auto" w:sz="4" w:space="0"/>
              <w:bottom w:val="single" w:color="auto" w:sz="4" w:space="0"/>
              <w:right w:val="single" w:color="auto" w:sz="4" w:space="0"/>
            </w:tcBorders>
            <w:shd w:val="clear" w:color="auto" w:fill="auto"/>
            <w:vAlign w:val="center"/>
          </w:tcPr>
          <w:p w14:paraId="3A044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43A13497">
        <w:tblPrEx>
          <w:tblCellMar>
            <w:top w:w="0" w:type="dxa"/>
            <w:left w:w="0" w:type="dxa"/>
            <w:bottom w:w="0" w:type="dxa"/>
            <w:right w:w="0" w:type="dxa"/>
          </w:tblCellMar>
        </w:tblPrEx>
        <w:trPr>
          <w:trHeight w:val="716" w:hRule="atLeast"/>
          <w:jc w:val="center"/>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A4EFC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rPr>
                <w:rFonts w:hint="default" w:ascii="仿宋_GB2312" w:hAnsi="仿宋_GB2312" w:eastAsia="仿宋_GB2312" w:cs="仿宋_GB2312"/>
                <w:color w:val="000000" w:themeColor="text1"/>
                <w:kern w:val="2"/>
                <w:sz w:val="32"/>
                <w:szCs w:val="32"/>
                <w:lang w:val="en-US" w:eastAsia="zh-CN" w:bidi="zh-CN"/>
                <w14:textFill>
                  <w14:solidFill>
                    <w14:schemeClr w14:val="tx1"/>
                  </w14:solidFill>
                </w14:textFill>
              </w:rPr>
            </w:pPr>
            <w:r>
              <w:rPr>
                <w:rFonts w:hint="eastAsia" w:cs="仿宋_GB2312"/>
                <w:color w:val="000000" w:themeColor="text1"/>
                <w:kern w:val="2"/>
                <w:sz w:val="32"/>
                <w:szCs w:val="32"/>
                <w:lang w:val="en-US" w:eastAsia="zh-CN" w:bidi="zh-CN"/>
                <w14:textFill>
                  <w14:solidFill>
                    <w14:schemeClr w14:val="tx1"/>
                  </w14:solidFill>
                </w14:textFill>
              </w:rPr>
              <w:t>1</w:t>
            </w: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F3F7A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石油天然气建设项目安全设施设</w:t>
            </w:r>
            <w:r>
              <w:rPr>
                <w:rFonts w:hint="eastAsia" w:ascii="仿宋_GB2312" w:hAnsi="仿宋_GB2312" w:eastAsia="仿宋_GB2312" w:cs="仿宋_GB2312"/>
                <w:color w:val="000000" w:themeColor="text1"/>
                <w:spacing w:val="-21"/>
                <w:sz w:val="20"/>
                <w:szCs w:val="20"/>
                <w14:textFill>
                  <w14:solidFill>
                    <w14:schemeClr w14:val="tx1"/>
                  </w14:solidFill>
                </w14:textFill>
              </w:rPr>
              <w:t>计审查</w:t>
            </w:r>
            <w:r>
              <w:rPr>
                <w:rFonts w:hint="eastAsia" w:ascii="仿宋_GB2312" w:hAnsi="仿宋_GB2312" w:eastAsia="仿宋_GB2312" w:cs="仿宋_GB2312"/>
                <w:color w:val="000000" w:themeColor="text1"/>
                <w:sz w:val="20"/>
                <w:szCs w:val="20"/>
                <w14:textFill>
                  <w14:solidFill>
                    <w14:schemeClr w14:val="tx1"/>
                  </w14:solidFill>
                </w14:textFill>
              </w:rPr>
              <w:t>（</w:t>
            </w:r>
            <w:r>
              <w:rPr>
                <w:rFonts w:hint="eastAsia" w:ascii="仿宋_GB2312" w:hAnsi="仿宋_GB2312" w:eastAsia="仿宋_GB2312" w:cs="仿宋_GB2312"/>
                <w:color w:val="000000" w:themeColor="text1"/>
                <w:spacing w:val="-4"/>
                <w:sz w:val="20"/>
                <w:szCs w:val="20"/>
                <w:lang w:eastAsia="zh-CN"/>
                <w14:textFill>
                  <w14:solidFill>
                    <w14:schemeClr w14:val="tx1"/>
                  </w14:solidFill>
                </w14:textFill>
              </w:rPr>
              <w:t>省清单</w:t>
            </w:r>
            <w:r>
              <w:rPr>
                <w:rFonts w:hint="eastAsia" w:ascii="仿宋_GB2312" w:hAnsi="仿宋_GB2312" w:eastAsia="仿宋_GB2312" w:cs="仿宋_GB2312"/>
                <w:color w:val="000000" w:themeColor="text1"/>
                <w:sz w:val="20"/>
                <w:szCs w:val="20"/>
                <w14:textFill>
                  <w14:solidFill>
                    <w14:schemeClr w14:val="tx1"/>
                  </w14:solidFill>
                </w14:textFill>
              </w:rPr>
              <w:t xml:space="preserve">第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365</w:t>
            </w:r>
            <w:r>
              <w:rPr>
                <w:rFonts w:hint="eastAsia" w:ascii="仿宋_GB2312" w:hAnsi="仿宋_GB2312" w:eastAsia="仿宋_GB2312" w:cs="仿宋_GB2312"/>
                <w:color w:val="000000" w:themeColor="text1"/>
                <w:sz w:val="20"/>
                <w:szCs w:val="20"/>
                <w14:textFill>
                  <w14:solidFill>
                    <w14:schemeClr w14:val="tx1"/>
                  </w14:solidFill>
                </w14:textFill>
              </w:rPr>
              <w:t>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10204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县应急管理局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4A5BD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ightChars="0"/>
              <w:jc w:val="center"/>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县应急管理局</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93281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ightChars="0"/>
              <w:jc w:val="center"/>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《中华人民共和国安全生产法》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20C92DA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《建设项目安全设施“三同时”监督管理办法》（安全</w:t>
            </w:r>
            <w:r>
              <w:rPr>
                <w:rFonts w:hint="eastAsia" w:ascii="仿宋_GB2312" w:hAnsi="仿宋_GB2312" w:eastAsia="仿宋_GB2312" w:cs="仿宋_GB2312"/>
                <w:color w:val="000000" w:themeColor="text1"/>
                <w:spacing w:val="-8"/>
                <w:sz w:val="20"/>
                <w:szCs w:val="20"/>
                <w14:textFill>
                  <w14:solidFill>
                    <w14:schemeClr w14:val="tx1"/>
                  </w14:solidFill>
                </w14:textFill>
              </w:rPr>
              <w:t xml:space="preserve">监管总局令第 </w:t>
            </w:r>
            <w:r>
              <w:rPr>
                <w:rFonts w:hint="eastAsia" w:cs="仿宋_GB2312"/>
                <w:color w:val="000000" w:themeColor="text1"/>
                <w:sz w:val="20"/>
                <w:szCs w:val="20"/>
                <w:lang w:val="en-US" w:eastAsia="zh-CN"/>
                <w14:textFill>
                  <w14:solidFill>
                    <w14:schemeClr w14:val="tx1"/>
                  </w14:solidFill>
                </w14:textFill>
              </w:rPr>
              <w:t>36</w:t>
            </w:r>
            <w:r>
              <w:rPr>
                <w:rFonts w:hint="eastAsia" w:ascii="仿宋_GB2312" w:hAnsi="仿宋_GB2312" w:eastAsia="仿宋_GB2312" w:cs="仿宋_GB2312"/>
                <w:color w:val="000000" w:themeColor="text1"/>
                <w:spacing w:val="-4"/>
                <w:sz w:val="20"/>
                <w:szCs w:val="20"/>
                <w14:textFill>
                  <w14:solidFill>
                    <w14:schemeClr w14:val="tx1"/>
                  </w14:solidFill>
                </w14:textFill>
              </w:rPr>
              <w:t xml:space="preserve">号公布，安全监管总局令第 </w:t>
            </w:r>
            <w:r>
              <w:rPr>
                <w:rFonts w:hint="eastAsia" w:cs="仿宋_GB2312"/>
                <w:color w:val="000000" w:themeColor="text1"/>
                <w:sz w:val="20"/>
                <w:szCs w:val="20"/>
                <w:lang w:val="en-US" w:eastAsia="zh-CN"/>
                <w14:textFill>
                  <w14:solidFill>
                    <w14:schemeClr w14:val="tx1"/>
                  </w14:solidFill>
                </w14:textFill>
              </w:rPr>
              <w:t>77</w:t>
            </w:r>
            <w:r>
              <w:rPr>
                <w:rFonts w:hint="eastAsia" w:ascii="仿宋_GB2312" w:hAnsi="仿宋_GB2312" w:eastAsia="仿宋_GB2312" w:cs="仿宋_GB2312"/>
                <w:color w:val="000000" w:themeColor="text1"/>
                <w:sz w:val="20"/>
                <w:szCs w:val="20"/>
                <w14:textFill>
                  <w14:solidFill>
                    <w14:schemeClr w14:val="tx1"/>
                  </w14:solidFill>
                </w14:textFill>
              </w:rPr>
              <w:t>号修正）《国家安全监管总局办公厅关于明确非煤矿山建设项</w:t>
            </w:r>
            <w:r>
              <w:rPr>
                <w:rFonts w:hint="eastAsia" w:ascii="仿宋_GB2312" w:hAnsi="仿宋_GB2312" w:eastAsia="仿宋_GB2312" w:cs="仿宋_GB2312"/>
                <w:color w:val="000000" w:themeColor="text1"/>
                <w:spacing w:val="-1"/>
                <w:sz w:val="20"/>
                <w:szCs w:val="20"/>
                <w14:textFill>
                  <w14:solidFill>
                    <w14:schemeClr w14:val="tx1"/>
                  </w14:solidFill>
                </w14:textFill>
              </w:rPr>
              <w:t>目安全监管职责等事项的通知</w:t>
            </w:r>
            <w:r>
              <w:rPr>
                <w:rFonts w:hint="eastAsia" w:ascii="仿宋_GB2312" w:hAnsi="仿宋_GB2312" w:eastAsia="仿宋_GB2312" w:cs="仿宋_GB2312"/>
                <w:color w:val="000000" w:themeColor="text1"/>
                <w:sz w:val="20"/>
                <w:szCs w:val="20"/>
                <w14:textFill>
                  <w14:solidFill>
                    <w14:schemeClr w14:val="tx1"/>
                  </w14:solidFill>
                </w14:textFill>
              </w:rPr>
              <w:t>》</w:t>
            </w:r>
            <w:r>
              <w:rPr>
                <w:rFonts w:hint="eastAsia" w:ascii="仿宋_GB2312" w:hAnsi="仿宋_GB2312" w:eastAsia="仿宋_GB2312" w:cs="仿宋_GB2312"/>
                <w:color w:val="000000" w:themeColor="text1"/>
                <w:spacing w:val="-1"/>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安监总</w:t>
            </w:r>
            <w:r>
              <w:rPr>
                <w:rFonts w:hint="eastAsia" w:ascii="仿宋_GB2312" w:hAnsi="仿宋_GB2312" w:eastAsia="仿宋_GB2312" w:cs="仿宋_GB2312"/>
                <w:color w:val="000000" w:themeColor="text1"/>
                <w:spacing w:val="-13"/>
                <w:sz w:val="20"/>
                <w:szCs w:val="20"/>
                <w14:textFill>
                  <w14:solidFill>
                    <w14:schemeClr w14:val="tx1"/>
                  </w14:solidFill>
                </w14:textFill>
              </w:rPr>
              <w:t>厅管一</w:t>
            </w: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〔2013〕</w:t>
            </w:r>
            <w:r>
              <w:rPr>
                <w:rFonts w:hint="eastAsia" w:ascii="仿宋_GB2312" w:hAnsi="仿宋_GB2312" w:eastAsia="仿宋_GB2312" w:cs="仿宋_GB2312"/>
                <w:color w:val="000000" w:themeColor="text1"/>
                <w:sz w:val="20"/>
                <w:szCs w:val="20"/>
                <w14:textFill>
                  <w14:solidFill>
                    <w14:schemeClr w14:val="tx1"/>
                  </w14:solidFill>
                </w14:textFill>
              </w:rPr>
              <w:t>143 号）</w:t>
            </w:r>
          </w:p>
        </w:tc>
        <w:tc>
          <w:tcPr>
            <w:tcW w:w="1615" w:type="dxa"/>
            <w:vMerge w:val="restart"/>
            <w:tcBorders>
              <w:top w:val="single" w:color="auto" w:sz="4" w:space="0"/>
              <w:left w:val="single" w:color="auto" w:sz="4" w:space="0"/>
              <w:right w:val="single" w:color="auto" w:sz="4" w:space="0"/>
            </w:tcBorders>
            <w:shd w:val="clear" w:color="auto" w:fill="auto"/>
            <w:vAlign w:val="center"/>
          </w:tcPr>
          <w:p w14:paraId="62731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3EA7920D">
        <w:tblPrEx>
          <w:tblCellMar>
            <w:top w:w="0" w:type="dxa"/>
            <w:left w:w="0" w:type="dxa"/>
            <w:bottom w:w="0" w:type="dxa"/>
            <w:right w:w="0" w:type="dxa"/>
          </w:tblCellMar>
        </w:tblPrEx>
        <w:trPr>
          <w:trHeight w:val="1194" w:hRule="atLeast"/>
          <w:jc w:val="center"/>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A84A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jc w:val="center"/>
              <w:textAlignment w:val="center"/>
              <w:rPr>
                <w:rFonts w:hint="default"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t>2</w:t>
            </w: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253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金属冶炼建设项目安全设施设计审查（省清单第367项）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865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县应急管理局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3F7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县应急管理局</w:t>
            </w:r>
          </w:p>
        </w:tc>
        <w:tc>
          <w:tcPr>
            <w:tcW w:w="1984" w:type="dxa"/>
            <w:vMerge w:val="restart"/>
            <w:tcBorders>
              <w:top w:val="single" w:color="auto" w:sz="4" w:space="0"/>
              <w:left w:val="single" w:color="auto" w:sz="4" w:space="0"/>
              <w:right w:val="single" w:color="auto" w:sz="4" w:space="0"/>
            </w:tcBorders>
            <w:shd w:val="clear" w:color="auto" w:fill="auto"/>
            <w:vAlign w:val="center"/>
          </w:tcPr>
          <w:p w14:paraId="5E4CB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《中华人民共和国安全生产法》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4A2A5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《建设项目安全设施“三同时”监督管理办法》（安全监管总局令第36号公布，安全监管总局令第77号修正）</w:t>
            </w:r>
          </w:p>
          <w:p w14:paraId="374D4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《冶金企业和有色金属企业安全生产规定》（安全监管总局令第91号）</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437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242C09C2">
        <w:tblPrEx>
          <w:tblCellMar>
            <w:top w:w="0" w:type="dxa"/>
            <w:left w:w="0" w:type="dxa"/>
            <w:bottom w:w="0" w:type="dxa"/>
            <w:right w:w="0" w:type="dxa"/>
          </w:tblCellMar>
        </w:tblPrEx>
        <w:trPr>
          <w:trHeight w:val="1424"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499F229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t>3</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5CCB3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危险化学品经营许可（省清单第372项）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B06A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县应急管理局</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71A02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县应急管理局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F8D0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《危险化学品安全管理条例》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430F5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《危险化学品安全管理条例》《危险化学品经营许可证管理办法》（安全监管总局令第55号公布，安全监管总局令第79号修正）</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14:paraId="00345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58932E10">
        <w:tblPrEx>
          <w:tblCellMar>
            <w:top w:w="0" w:type="dxa"/>
            <w:left w:w="0" w:type="dxa"/>
            <w:bottom w:w="0" w:type="dxa"/>
            <w:right w:w="0" w:type="dxa"/>
          </w:tblCellMar>
        </w:tblPrEx>
        <w:trPr>
          <w:trHeight w:val="1348"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7F95E3C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rPr>
                <w:rFonts w:hint="eastAsia" w:ascii="仿宋_GB2312" w:hAnsi="仿宋_GB2312" w:eastAsia="仿宋_GB2312" w:cs="仿宋_GB2312"/>
                <w:color w:val="000000" w:themeColor="text1"/>
                <w:kern w:val="2"/>
                <w:sz w:val="32"/>
                <w:szCs w:val="32"/>
                <w:lang w:val="en-US" w:eastAsia="zh-CN" w:bidi="zh-CN"/>
                <w14:textFill>
                  <w14:solidFill>
                    <w14:schemeClr w14:val="tx1"/>
                  </w14:solidFill>
                </w14:textFill>
              </w:rPr>
            </w:pPr>
            <w:r>
              <w:rPr>
                <w:rFonts w:hint="eastAsia" w:cs="仿宋_GB2312"/>
                <w:color w:val="000000" w:themeColor="text1"/>
                <w:kern w:val="2"/>
                <w:sz w:val="32"/>
                <w:szCs w:val="32"/>
                <w:lang w:val="en-US" w:eastAsia="zh-CN" w:bidi="zh-CN"/>
                <w14:textFill>
                  <w14:solidFill>
                    <w14:schemeClr w14:val="tx1"/>
                  </w14:solidFill>
                </w14:textFill>
              </w:rPr>
              <w:t>4</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7509BDD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color w:val="000000" w:themeColor="text1"/>
                <w:spacing w:val="-12"/>
                <w:sz w:val="20"/>
                <w:szCs w:val="20"/>
                <w14:textFill>
                  <w14:solidFill>
                    <w14:schemeClr w14:val="tx1"/>
                  </w14:solidFill>
                </w14:textFill>
              </w:rPr>
              <w:t>生产、储存烟花爆</w:t>
            </w:r>
            <w:r>
              <w:rPr>
                <w:rFonts w:hint="eastAsia" w:ascii="仿宋_GB2312" w:hAnsi="仿宋_GB2312" w:eastAsia="仿宋_GB2312" w:cs="仿宋_GB2312"/>
                <w:color w:val="000000" w:themeColor="text1"/>
                <w:sz w:val="20"/>
                <w:szCs w:val="20"/>
                <w14:textFill>
                  <w14:solidFill>
                    <w14:schemeClr w14:val="tx1"/>
                  </w14:solidFill>
                </w14:textFill>
              </w:rPr>
              <w:t>竹建设项目安全</w:t>
            </w:r>
            <w:r>
              <w:rPr>
                <w:rFonts w:hint="eastAsia" w:ascii="仿宋_GB2312" w:hAnsi="仿宋_GB2312" w:eastAsia="仿宋_GB2312" w:cs="仿宋_GB2312"/>
                <w:color w:val="000000" w:themeColor="text1"/>
                <w:spacing w:val="-11"/>
                <w:sz w:val="20"/>
                <w:szCs w:val="20"/>
                <w14:textFill>
                  <w14:solidFill>
                    <w14:schemeClr w14:val="tx1"/>
                  </w14:solidFill>
                </w14:textFill>
              </w:rPr>
              <w:t>设施设计审查</w:t>
            </w:r>
            <w:r>
              <w:rPr>
                <w:rFonts w:hint="eastAsia" w:ascii="仿宋_GB2312" w:hAnsi="仿宋_GB2312" w:eastAsia="仿宋_GB2312" w:cs="仿宋_GB2312"/>
                <w:color w:val="000000" w:themeColor="text1"/>
                <w:spacing w:val="-11"/>
                <w:sz w:val="20"/>
                <w:szCs w:val="20"/>
                <w:lang w:eastAsia="zh-CN"/>
                <w14:textFill>
                  <w14:solidFill>
                    <w14:schemeClr w14:val="tx1"/>
                  </w14:solidFill>
                </w14:textFill>
              </w:rPr>
              <w:t>（</w:t>
            </w:r>
            <w:r>
              <w:rPr>
                <w:rFonts w:hint="eastAsia" w:ascii="仿宋_GB2312" w:hAnsi="仿宋_GB2312" w:eastAsia="仿宋_GB2312" w:cs="仿宋_GB2312"/>
                <w:color w:val="000000" w:themeColor="text1"/>
                <w:spacing w:val="-15"/>
                <w:sz w:val="20"/>
                <w:szCs w:val="20"/>
                <w:lang w:eastAsia="zh-CN"/>
                <w14:textFill>
                  <w14:solidFill>
                    <w14:schemeClr w14:val="tx1"/>
                  </w14:solidFill>
                </w14:textFill>
              </w:rPr>
              <w:t>省清单</w:t>
            </w:r>
            <w:r>
              <w:rPr>
                <w:rFonts w:hint="eastAsia" w:ascii="仿宋_GB2312" w:hAnsi="仿宋_GB2312" w:eastAsia="仿宋_GB2312" w:cs="仿宋_GB2312"/>
                <w:color w:val="000000" w:themeColor="text1"/>
                <w:spacing w:val="-11"/>
                <w:sz w:val="20"/>
                <w:szCs w:val="20"/>
                <w14:textFill>
                  <w14:solidFill>
                    <w14:schemeClr w14:val="tx1"/>
                  </w14:solidFill>
                </w14:textFill>
              </w:rPr>
              <w:t xml:space="preserve">第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373</w:t>
            </w:r>
            <w:r>
              <w:rPr>
                <w:rFonts w:hint="eastAsia" w:ascii="仿宋_GB2312" w:hAnsi="仿宋_GB2312" w:eastAsia="仿宋_GB2312" w:cs="仿宋_GB2312"/>
                <w:color w:val="000000" w:themeColor="text1"/>
                <w:sz w:val="20"/>
                <w:szCs w:val="20"/>
                <w14:textFill>
                  <w14:solidFill>
                    <w14:schemeClr w14:val="tx1"/>
                  </w14:solidFill>
                </w14:textFill>
              </w:rPr>
              <w:t xml:space="preserve"> 项</w:t>
            </w:r>
            <w:r>
              <w:rPr>
                <w:rFonts w:hint="eastAsia" w:ascii="仿宋_GB2312" w:hAnsi="仿宋_GB2312" w:eastAsia="仿宋_GB2312" w:cs="仿宋_GB2312"/>
                <w:color w:val="000000" w:themeColor="text1"/>
                <w:sz w:val="20"/>
                <w:szCs w:val="20"/>
                <w:lang w:eastAsia="zh-CN"/>
                <w14:textFill>
                  <w14:solidFill>
                    <w14:schemeClr w14:val="tx1"/>
                  </w14:solidFill>
                </w14:textFill>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CB0083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县应急管理局</w:t>
            </w:r>
          </w:p>
          <w:p w14:paraId="0264973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400" w:firstLineChars="200"/>
              <w:jc w:val="center"/>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2B56D6B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ightChars="0"/>
              <w:jc w:val="center"/>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县应急管理局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4EC069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《中华人民共和国安全生产法》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2A29D17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《烟花爆竹生产企业安全生产许可证实施办法》（安全监管总局令第</w:t>
            </w:r>
            <w:r>
              <w:rPr>
                <w:rFonts w:hint="eastAsia" w:cs="仿宋_GB2312"/>
                <w:color w:val="000000" w:themeColor="text1"/>
                <w:sz w:val="20"/>
                <w:szCs w:val="20"/>
                <w:lang w:val="en-US" w:eastAsia="zh-CN"/>
                <w14:textFill>
                  <w14:solidFill>
                    <w14:schemeClr w14:val="tx1"/>
                  </w14:solidFill>
                </w14:textFill>
              </w:rPr>
              <w:t>54</w:t>
            </w:r>
            <w:r>
              <w:rPr>
                <w:rFonts w:hint="eastAsia" w:ascii="仿宋_GB2312" w:hAnsi="仿宋_GB2312" w:eastAsia="仿宋_GB2312" w:cs="仿宋_GB2312"/>
                <w:color w:val="000000" w:themeColor="text1"/>
                <w:sz w:val="20"/>
                <w:szCs w:val="20"/>
                <w14:textFill>
                  <w14:solidFill>
                    <w14:schemeClr w14:val="tx1"/>
                  </w14:solidFill>
                </w14:textFill>
              </w:rPr>
              <w:t>号）《建设项目安全设施“三同时”监督管理办法》（安全</w:t>
            </w:r>
            <w:r>
              <w:rPr>
                <w:rFonts w:hint="eastAsia" w:ascii="仿宋_GB2312" w:hAnsi="仿宋_GB2312" w:eastAsia="仿宋_GB2312" w:cs="仿宋_GB2312"/>
                <w:color w:val="000000" w:themeColor="text1"/>
                <w:spacing w:val="-8"/>
                <w:sz w:val="20"/>
                <w:szCs w:val="20"/>
                <w14:textFill>
                  <w14:solidFill>
                    <w14:schemeClr w14:val="tx1"/>
                  </w14:solidFill>
                </w14:textFill>
              </w:rPr>
              <w:t xml:space="preserve">监管总局令第 </w:t>
            </w:r>
            <w:r>
              <w:rPr>
                <w:rFonts w:hint="eastAsia" w:ascii="仿宋_GB2312" w:hAnsi="仿宋_GB2312" w:eastAsia="仿宋_GB2312" w:cs="仿宋_GB2312"/>
                <w:color w:val="000000" w:themeColor="text1"/>
                <w:sz w:val="20"/>
                <w:szCs w:val="20"/>
                <w14:textFill>
                  <w14:solidFill>
                    <w14:schemeClr w14:val="tx1"/>
                  </w14:solidFill>
                </w14:textFill>
              </w:rPr>
              <w:t xml:space="preserve">36 </w:t>
            </w:r>
            <w:r>
              <w:rPr>
                <w:rFonts w:hint="eastAsia" w:ascii="仿宋_GB2312" w:hAnsi="仿宋_GB2312" w:eastAsia="仿宋_GB2312" w:cs="仿宋_GB2312"/>
                <w:color w:val="000000" w:themeColor="text1"/>
                <w:spacing w:val="-4"/>
                <w:sz w:val="20"/>
                <w:szCs w:val="20"/>
                <w14:textFill>
                  <w14:solidFill>
                    <w14:schemeClr w14:val="tx1"/>
                  </w14:solidFill>
                </w14:textFill>
              </w:rPr>
              <w:t xml:space="preserve">号公布，安全监管总局令第 </w:t>
            </w:r>
            <w:r>
              <w:rPr>
                <w:rFonts w:hint="eastAsia" w:ascii="仿宋_GB2312" w:hAnsi="仿宋_GB2312" w:eastAsia="仿宋_GB2312" w:cs="仿宋_GB2312"/>
                <w:color w:val="000000" w:themeColor="text1"/>
                <w:sz w:val="20"/>
                <w:szCs w:val="20"/>
                <w14:textFill>
                  <w14:solidFill>
                    <w14:schemeClr w14:val="tx1"/>
                  </w14:solidFill>
                </w14:textFill>
              </w:rPr>
              <w:t>77 号修正）</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14:paraId="2F721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69AE7EBA">
        <w:tblPrEx>
          <w:tblCellMar>
            <w:top w:w="0" w:type="dxa"/>
            <w:left w:w="0" w:type="dxa"/>
            <w:bottom w:w="0" w:type="dxa"/>
            <w:right w:w="0" w:type="dxa"/>
          </w:tblCellMar>
        </w:tblPrEx>
        <w:trPr>
          <w:trHeight w:val="844"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5A5115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center"/>
              <w:rPr>
                <w:rFonts w:hint="default"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5</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C365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烟花爆竹经营许可（省清单第375项）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A0BB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县应急管理局</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64DB1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县应急管理局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AC0A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《烟花爆竹安全管理条例》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5159B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《烟花爆竹经营许可实施办法》（安全监管总局令第65号）</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14:paraId="4215A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bl>
    <w:p w14:paraId="660F969C"/>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4EA952C-2E40-4BB3-A189-EEF427BFD10E}"/>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C849B7B-B716-449E-B223-5B7C04E35D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EFD0B9C-8D12-4256-8044-A0B7C996BF96}"/>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E7399228-D85A-4B2A-8C60-CA59E6A17F45}"/>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E0000" w:usb2="00000000" w:usb3="00000000" w:csb0="00040000" w:csb1="00000000"/>
    <w:embedRegular r:id="rId5" w:fontKey="{C52EB7A3-70FC-4CA7-BAE2-BC98A95B20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000000"/>
    <w:rsid w:val="00C77226"/>
    <w:rsid w:val="13A54260"/>
    <w:rsid w:val="29A92740"/>
    <w:rsid w:val="2A7B189B"/>
    <w:rsid w:val="2C2F7887"/>
    <w:rsid w:val="37934A3B"/>
    <w:rsid w:val="40AB67B6"/>
    <w:rsid w:val="4D6129FE"/>
    <w:rsid w:val="59103629"/>
    <w:rsid w:val="6DF06A5F"/>
    <w:rsid w:val="70247674"/>
    <w:rsid w:val="703C34E5"/>
    <w:rsid w:val="73F66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00" w:leftChars="400"/>
    </w:pPr>
    <w:rPr>
      <w:szCs w:val="24"/>
    </w:rPr>
  </w:style>
  <w:style w:type="paragraph" w:styleId="4">
    <w:name w:val="annotation text"/>
    <w:basedOn w:val="1"/>
    <w:qFormat/>
    <w:uiPriority w:val="0"/>
    <w:pPr>
      <w:jc w:val="left"/>
    </w:pPr>
  </w:style>
  <w:style w:type="paragraph" w:customStyle="1" w:styleId="7">
    <w:name w:val="Table Paragraph"/>
    <w:basedOn w:val="1"/>
    <w:qFormat/>
    <w:uiPriority w:val="1"/>
    <w:rPr>
      <w:rFonts w:ascii="仿宋_GB2312" w:hAnsi="仿宋_GB2312" w:eastAsia="仿宋_GB2312" w:cs="仿宋_GB2312"/>
      <w:lang w:val="zh-CN" w:eastAsia="zh-CN" w:bidi="zh-CN"/>
    </w:rPr>
  </w:style>
  <w:style w:type="character" w:customStyle="1" w:styleId="8">
    <w:name w:val="font51"/>
    <w:basedOn w:val="6"/>
    <w:qFormat/>
    <w:uiPriority w:val="0"/>
    <w:rPr>
      <w:rFonts w:hint="default" w:ascii="方正仿宋_GB2312" w:hAnsi="方正仿宋_GB2312" w:eastAsia="方正仿宋_GB2312" w:cs="方正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4431</Words>
  <Characters>4502</Characters>
  <Lines>0</Lines>
  <Paragraphs>0</Paragraphs>
  <TotalTime>22</TotalTime>
  <ScaleCrop>false</ScaleCrop>
  <LinksUpToDate>false</LinksUpToDate>
  <CharactersWithSpaces>4824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2023-07-03T05:48:00Z</dcterms:created>
  <dc:creator>Administrator</dc:creator>
  <cp:lastModifiedBy>碧云天</cp:lastModifiedBy>
  <dcterms:modified xsi:type="dcterms:W3CDTF">2024-09-03T08:39:11Z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AD0BDDA17B2F4857B4DC0D5770DF5CF6</vt:lpwstr>
  </property>
</Properties>
</file>