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4E65E">
      <w:pPr>
        <w:pStyle w:val="2"/>
        <w:jc w:val="center"/>
        <w:rPr>
          <w:rFonts w:ascii="方正小标宋_GBK" w:hAnsi="方正小标宋_GBK" w:eastAsia="方正小标宋_GBK"/>
          <w:b w:val="0"/>
          <w:bCs w:val="0"/>
          <w:sz w:val="30"/>
        </w:rPr>
      </w:pPr>
      <w:bookmarkStart w:id="1" w:name="_GoBack"/>
      <w:bookmarkStart w:id="0" w:name="_Toc24724706"/>
      <w:r>
        <w:rPr>
          <w:rFonts w:hint="eastAsia" w:ascii="方正小标宋_GBK" w:hAnsi="方正小标宋_GBK" w:eastAsia="方正小标宋_GBK"/>
          <w:b w:val="0"/>
          <w:bCs w:val="0"/>
          <w:sz w:val="30"/>
          <w:lang w:eastAsia="zh-CN"/>
        </w:rPr>
        <w:t>峨边彝族自治县</w:t>
      </w:r>
      <w:r>
        <w:rPr>
          <w:rFonts w:hint="eastAsia" w:ascii="方正小标宋_GBK" w:hAnsi="方正小标宋_GBK" w:eastAsia="方正小标宋_GBK"/>
          <w:b w:val="0"/>
          <w:bCs w:val="0"/>
          <w:sz w:val="30"/>
        </w:rPr>
        <w:t>义务教育领域基层政务公开标准目录</w:t>
      </w:r>
      <w:bookmarkEnd w:id="0"/>
    </w:p>
    <w:bookmarkEnd w:id="1"/>
    <w:tbl>
      <w:tblPr>
        <w:tblStyle w:val="6"/>
        <w:tblW w:w="15686"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1001"/>
        <w:gridCol w:w="2655"/>
        <w:gridCol w:w="2730"/>
        <w:gridCol w:w="1875"/>
        <w:gridCol w:w="1545"/>
        <w:gridCol w:w="1860"/>
        <w:gridCol w:w="465"/>
        <w:gridCol w:w="495"/>
        <w:gridCol w:w="525"/>
        <w:gridCol w:w="450"/>
        <w:gridCol w:w="510"/>
        <w:gridCol w:w="495"/>
      </w:tblGrid>
      <w:tr w14:paraId="60D3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540" w:type="dxa"/>
            <w:vMerge w:val="restart"/>
            <w:noWrap w:val="0"/>
            <w:vAlign w:val="center"/>
          </w:tcPr>
          <w:p w14:paraId="597442F0">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541" w:type="dxa"/>
            <w:gridSpan w:val="2"/>
            <w:noWrap w:val="0"/>
            <w:vAlign w:val="center"/>
          </w:tcPr>
          <w:p w14:paraId="1E78671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655" w:type="dxa"/>
            <w:vMerge w:val="restart"/>
            <w:noWrap w:val="0"/>
            <w:vAlign w:val="center"/>
          </w:tcPr>
          <w:p w14:paraId="78476AC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30" w:type="dxa"/>
            <w:vMerge w:val="restart"/>
            <w:noWrap w:val="0"/>
            <w:vAlign w:val="center"/>
          </w:tcPr>
          <w:p w14:paraId="31DFCC5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875" w:type="dxa"/>
            <w:vMerge w:val="restart"/>
            <w:noWrap w:val="0"/>
            <w:vAlign w:val="center"/>
          </w:tcPr>
          <w:p w14:paraId="2573810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545" w:type="dxa"/>
            <w:vMerge w:val="restart"/>
            <w:noWrap w:val="0"/>
            <w:vAlign w:val="center"/>
          </w:tcPr>
          <w:p w14:paraId="679DDC8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860" w:type="dxa"/>
            <w:vMerge w:val="restart"/>
            <w:noWrap w:val="0"/>
            <w:vAlign w:val="center"/>
          </w:tcPr>
          <w:p w14:paraId="19438817">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960" w:type="dxa"/>
            <w:gridSpan w:val="2"/>
            <w:noWrap w:val="0"/>
            <w:vAlign w:val="center"/>
          </w:tcPr>
          <w:p w14:paraId="1A8AB56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r>
              <w:rPr>
                <w:rFonts w:hint="eastAsia" w:ascii="黑体" w:hAnsi="宋体" w:eastAsia="黑体" w:cs="宋体"/>
                <w:color w:val="000000"/>
                <w:kern w:val="0"/>
                <w:sz w:val="22"/>
                <w:lang w:val="en-US" w:eastAsia="zh-CN"/>
              </w:rPr>
              <w:t xml:space="preserve"> </w:t>
            </w:r>
            <w:r>
              <w:rPr>
                <w:rFonts w:hint="eastAsia" w:ascii="黑体" w:hAnsi="宋体" w:eastAsia="黑体" w:cs="宋体"/>
                <w:color w:val="000000"/>
                <w:kern w:val="0"/>
                <w:sz w:val="22"/>
              </w:rPr>
              <w:t>对象</w:t>
            </w:r>
          </w:p>
        </w:tc>
        <w:tc>
          <w:tcPr>
            <w:tcW w:w="975" w:type="dxa"/>
            <w:gridSpan w:val="2"/>
            <w:noWrap w:val="0"/>
            <w:vAlign w:val="center"/>
          </w:tcPr>
          <w:p w14:paraId="0CACF35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r>
              <w:rPr>
                <w:rFonts w:hint="eastAsia" w:ascii="黑体" w:hAnsi="宋体" w:eastAsia="黑体" w:cs="宋体"/>
                <w:color w:val="000000"/>
                <w:kern w:val="0"/>
                <w:sz w:val="22"/>
                <w:lang w:val="en-US" w:eastAsia="zh-CN"/>
              </w:rPr>
              <w:t xml:space="preserve"> </w:t>
            </w:r>
            <w:r>
              <w:rPr>
                <w:rFonts w:hint="eastAsia" w:ascii="黑体" w:hAnsi="宋体" w:eastAsia="黑体" w:cs="宋体"/>
                <w:color w:val="000000"/>
                <w:kern w:val="0"/>
                <w:sz w:val="22"/>
              </w:rPr>
              <w:t>方式</w:t>
            </w:r>
          </w:p>
        </w:tc>
        <w:tc>
          <w:tcPr>
            <w:tcW w:w="1005" w:type="dxa"/>
            <w:gridSpan w:val="2"/>
            <w:noWrap w:val="0"/>
            <w:vAlign w:val="center"/>
          </w:tcPr>
          <w:p w14:paraId="3D445D9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r>
              <w:rPr>
                <w:rFonts w:hint="eastAsia" w:ascii="黑体" w:hAnsi="宋体" w:eastAsia="黑体" w:cs="宋体"/>
                <w:color w:val="000000"/>
                <w:kern w:val="0"/>
                <w:sz w:val="22"/>
                <w:lang w:val="en-US" w:eastAsia="zh-CN"/>
              </w:rPr>
              <w:t xml:space="preserve">  </w:t>
            </w:r>
            <w:r>
              <w:rPr>
                <w:rFonts w:hint="eastAsia" w:ascii="黑体" w:hAnsi="宋体" w:eastAsia="黑体" w:cs="宋体"/>
                <w:color w:val="000000"/>
                <w:kern w:val="0"/>
                <w:sz w:val="22"/>
              </w:rPr>
              <w:t>层级</w:t>
            </w:r>
          </w:p>
        </w:tc>
      </w:tr>
      <w:tr w14:paraId="46BF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vMerge w:val="continue"/>
            <w:noWrap w:val="0"/>
            <w:vAlign w:val="center"/>
          </w:tcPr>
          <w:p w14:paraId="38DE718A">
            <w:pPr>
              <w:widowControl/>
              <w:jc w:val="left"/>
              <w:rPr>
                <w:rFonts w:hint="eastAsia" w:ascii="黑体" w:hAnsi="Times New Roman" w:eastAsia="黑体"/>
                <w:color w:val="000000"/>
                <w:kern w:val="0"/>
                <w:sz w:val="22"/>
              </w:rPr>
            </w:pPr>
          </w:p>
        </w:tc>
        <w:tc>
          <w:tcPr>
            <w:tcW w:w="540" w:type="dxa"/>
            <w:noWrap w:val="0"/>
            <w:vAlign w:val="center"/>
          </w:tcPr>
          <w:p w14:paraId="4C4D6FC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01" w:type="dxa"/>
            <w:noWrap w:val="0"/>
            <w:vAlign w:val="center"/>
          </w:tcPr>
          <w:p w14:paraId="7FC9D7F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w:t>
            </w:r>
          </w:p>
          <w:p w14:paraId="68AA2E5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事项</w:t>
            </w:r>
          </w:p>
        </w:tc>
        <w:tc>
          <w:tcPr>
            <w:tcW w:w="2655" w:type="dxa"/>
            <w:vMerge w:val="continue"/>
            <w:noWrap w:val="0"/>
            <w:vAlign w:val="center"/>
          </w:tcPr>
          <w:p w14:paraId="492F78EE">
            <w:pPr>
              <w:widowControl/>
              <w:jc w:val="left"/>
              <w:rPr>
                <w:rFonts w:hint="eastAsia" w:ascii="黑体" w:hAnsi="宋体" w:eastAsia="黑体" w:cs="宋体"/>
                <w:color w:val="000000"/>
                <w:kern w:val="0"/>
                <w:sz w:val="22"/>
              </w:rPr>
            </w:pPr>
          </w:p>
        </w:tc>
        <w:tc>
          <w:tcPr>
            <w:tcW w:w="2730" w:type="dxa"/>
            <w:vMerge w:val="continue"/>
            <w:noWrap w:val="0"/>
            <w:vAlign w:val="center"/>
          </w:tcPr>
          <w:p w14:paraId="4A96129C">
            <w:pPr>
              <w:widowControl/>
              <w:jc w:val="left"/>
              <w:rPr>
                <w:rFonts w:hint="eastAsia" w:ascii="黑体" w:hAnsi="宋体" w:eastAsia="黑体" w:cs="宋体"/>
                <w:color w:val="000000"/>
                <w:kern w:val="0"/>
                <w:sz w:val="22"/>
              </w:rPr>
            </w:pPr>
          </w:p>
        </w:tc>
        <w:tc>
          <w:tcPr>
            <w:tcW w:w="1875" w:type="dxa"/>
            <w:vMerge w:val="continue"/>
            <w:noWrap w:val="0"/>
            <w:vAlign w:val="center"/>
          </w:tcPr>
          <w:p w14:paraId="53654F0D">
            <w:pPr>
              <w:widowControl/>
              <w:jc w:val="left"/>
              <w:rPr>
                <w:rFonts w:hint="eastAsia" w:ascii="黑体" w:hAnsi="宋体" w:eastAsia="黑体" w:cs="宋体"/>
                <w:color w:val="000000"/>
                <w:kern w:val="0"/>
                <w:sz w:val="22"/>
              </w:rPr>
            </w:pPr>
          </w:p>
        </w:tc>
        <w:tc>
          <w:tcPr>
            <w:tcW w:w="1545" w:type="dxa"/>
            <w:vMerge w:val="continue"/>
            <w:noWrap w:val="0"/>
            <w:vAlign w:val="center"/>
          </w:tcPr>
          <w:p w14:paraId="4A5667F1">
            <w:pPr>
              <w:widowControl/>
              <w:jc w:val="left"/>
              <w:rPr>
                <w:rFonts w:hint="eastAsia" w:ascii="黑体" w:hAnsi="宋体" w:eastAsia="黑体" w:cs="宋体"/>
                <w:color w:val="000000"/>
                <w:kern w:val="0"/>
                <w:sz w:val="22"/>
              </w:rPr>
            </w:pPr>
          </w:p>
        </w:tc>
        <w:tc>
          <w:tcPr>
            <w:tcW w:w="1860" w:type="dxa"/>
            <w:vMerge w:val="continue"/>
            <w:noWrap w:val="0"/>
            <w:vAlign w:val="center"/>
          </w:tcPr>
          <w:p w14:paraId="038E18BB">
            <w:pPr>
              <w:widowControl/>
              <w:jc w:val="left"/>
              <w:rPr>
                <w:rFonts w:hint="eastAsia" w:ascii="黑体" w:hAnsi="宋体" w:eastAsia="黑体" w:cs="宋体"/>
                <w:kern w:val="0"/>
                <w:sz w:val="22"/>
              </w:rPr>
            </w:pPr>
          </w:p>
        </w:tc>
        <w:tc>
          <w:tcPr>
            <w:tcW w:w="465" w:type="dxa"/>
            <w:noWrap w:val="0"/>
            <w:vAlign w:val="center"/>
          </w:tcPr>
          <w:p w14:paraId="33C5A45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495" w:type="dxa"/>
            <w:noWrap w:val="0"/>
            <w:vAlign w:val="center"/>
          </w:tcPr>
          <w:p w14:paraId="23B566D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25" w:type="dxa"/>
            <w:noWrap w:val="0"/>
            <w:vAlign w:val="center"/>
          </w:tcPr>
          <w:p w14:paraId="2A935FD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450" w:type="dxa"/>
            <w:noWrap w:val="0"/>
            <w:vAlign w:val="center"/>
          </w:tcPr>
          <w:p w14:paraId="176CB32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10" w:type="dxa"/>
            <w:noWrap w:val="0"/>
            <w:vAlign w:val="center"/>
          </w:tcPr>
          <w:p w14:paraId="4CC4CF3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495" w:type="dxa"/>
            <w:noWrap w:val="0"/>
            <w:vAlign w:val="center"/>
          </w:tcPr>
          <w:p w14:paraId="2F5FFB8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14:paraId="3AF2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540" w:type="dxa"/>
            <w:vMerge w:val="restart"/>
            <w:noWrap/>
            <w:vAlign w:val="center"/>
          </w:tcPr>
          <w:p w14:paraId="422CCA09">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540" w:type="dxa"/>
            <w:vMerge w:val="restart"/>
            <w:noWrap w:val="0"/>
            <w:vAlign w:val="center"/>
          </w:tcPr>
          <w:p w14:paraId="714F327D">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21646FC0">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文件</w:t>
            </w:r>
          </w:p>
        </w:tc>
        <w:tc>
          <w:tcPr>
            <w:tcW w:w="1001" w:type="dxa"/>
            <w:noWrap w:val="0"/>
            <w:vAlign w:val="center"/>
          </w:tcPr>
          <w:p w14:paraId="7548D329">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中华人民共和国教育法</w:t>
            </w:r>
            <w:r>
              <w:rPr>
                <w:rFonts w:hint="eastAsia" w:ascii="仿宋_GB2312" w:hAnsi="宋体" w:eastAsia="仿宋_GB2312"/>
                <w:color w:val="000000"/>
                <w:sz w:val="18"/>
                <w:szCs w:val="18"/>
              </w:rPr>
              <w:t>律</w:t>
            </w:r>
          </w:p>
        </w:tc>
        <w:tc>
          <w:tcPr>
            <w:tcW w:w="2655" w:type="dxa"/>
            <w:noWrap w:val="0"/>
            <w:vAlign w:val="center"/>
          </w:tcPr>
          <w:p w14:paraId="62A14DF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中华人民共和国教育法》《中华人民共和国义务教育法》《中华人民共和国民办教育促进法》《中华人民共和国教师法》《</w:t>
            </w:r>
            <w:r>
              <w:rPr>
                <w:rFonts w:hint="eastAsia" w:ascii="仿宋_GB2312" w:hAnsi="宋体" w:eastAsia="仿宋_GB2312"/>
                <w:color w:val="000000"/>
                <w:sz w:val="18"/>
                <w:szCs w:val="18"/>
              </w:rPr>
              <w:t>国家通用语言文字法》</w:t>
            </w:r>
          </w:p>
        </w:tc>
        <w:tc>
          <w:tcPr>
            <w:tcW w:w="2730" w:type="dxa"/>
            <w:noWrap w:val="0"/>
            <w:vAlign w:val="center"/>
          </w:tcPr>
          <w:p w14:paraId="719D2229">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p>
        </w:tc>
        <w:tc>
          <w:tcPr>
            <w:tcW w:w="1875" w:type="dxa"/>
            <w:noWrap w:val="0"/>
            <w:vAlign w:val="center"/>
          </w:tcPr>
          <w:p w14:paraId="1B0D884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16FDC4E5">
            <w:pPr>
              <w:jc w:val="center"/>
              <w:rPr>
                <w:rFonts w:hint="eastAsia" w:ascii="仿宋_GB2312" w:hAnsi="仿宋" w:eastAsia="仿宋_GB2312" w:cs="宋体"/>
                <w:color w:val="000000"/>
                <w:sz w:val="18"/>
                <w:szCs w:val="18"/>
                <w:lang w:eastAsia="zh-CN"/>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4F97FB8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465" w:type="dxa"/>
            <w:noWrap/>
            <w:vAlign w:val="center"/>
          </w:tcPr>
          <w:p w14:paraId="4C9988B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15E4F16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4D7A2DF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29599ED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137D75F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3B918C0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35F2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rPr>
        <w:tc>
          <w:tcPr>
            <w:tcW w:w="540" w:type="dxa"/>
            <w:vMerge w:val="continue"/>
            <w:noWrap w:val="0"/>
            <w:vAlign w:val="center"/>
          </w:tcPr>
          <w:p w14:paraId="3A0E4535">
            <w:pPr>
              <w:rPr>
                <w:rFonts w:hint="eastAsia" w:ascii="仿宋_GB2312" w:hAnsi="宋体" w:eastAsia="仿宋_GB2312" w:cs="宋体"/>
                <w:color w:val="000000"/>
                <w:sz w:val="18"/>
                <w:szCs w:val="18"/>
              </w:rPr>
            </w:pPr>
          </w:p>
        </w:tc>
        <w:tc>
          <w:tcPr>
            <w:tcW w:w="540" w:type="dxa"/>
            <w:vMerge w:val="continue"/>
            <w:noWrap w:val="0"/>
            <w:vAlign w:val="center"/>
          </w:tcPr>
          <w:p w14:paraId="2BCD8FC2">
            <w:pPr>
              <w:rPr>
                <w:rFonts w:hint="eastAsia" w:ascii="仿宋_GB2312" w:hAnsi="宋体" w:eastAsia="仿宋_GB2312" w:cs="宋体"/>
                <w:color w:val="000000"/>
                <w:sz w:val="18"/>
                <w:szCs w:val="18"/>
              </w:rPr>
            </w:pPr>
          </w:p>
        </w:tc>
        <w:tc>
          <w:tcPr>
            <w:tcW w:w="1001" w:type="dxa"/>
            <w:noWrap w:val="0"/>
            <w:vAlign w:val="center"/>
          </w:tcPr>
          <w:p w14:paraId="3D7CA6F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规范性</w:t>
            </w:r>
          </w:p>
          <w:p w14:paraId="6CC54018">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文件</w:t>
            </w:r>
          </w:p>
        </w:tc>
        <w:tc>
          <w:tcPr>
            <w:tcW w:w="2655" w:type="dxa"/>
            <w:noWrap w:val="0"/>
            <w:vAlign w:val="center"/>
          </w:tcPr>
          <w:p w14:paraId="08302352">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部门和地方政府规章、各类教育政策文件</w:t>
            </w:r>
          </w:p>
        </w:tc>
        <w:tc>
          <w:tcPr>
            <w:tcW w:w="2730" w:type="dxa"/>
            <w:noWrap w:val="0"/>
            <w:vAlign w:val="center"/>
          </w:tcPr>
          <w:p w14:paraId="02329062">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p>
        </w:tc>
        <w:tc>
          <w:tcPr>
            <w:tcW w:w="1875" w:type="dxa"/>
            <w:noWrap w:val="0"/>
            <w:vAlign w:val="center"/>
          </w:tcPr>
          <w:p w14:paraId="1FD5C8A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13E3DC20">
            <w:pPr>
              <w:jc w:val="cente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11C1180D">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1F595058">
            <w:pPr>
              <w:jc w:val="left"/>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sym w:font="Wingdings 2" w:char="00A3"/>
            </w:r>
            <w:r>
              <w:rPr>
                <w:rFonts w:hint="eastAsia" w:ascii="仿宋_GB2312" w:hAnsi="仿宋" w:eastAsia="仿宋_GB2312"/>
                <w:color w:val="000000"/>
                <w:sz w:val="18"/>
                <w:szCs w:val="18"/>
              </w:rPr>
              <w:t>政府公报</w:t>
            </w:r>
          </w:p>
          <w:p w14:paraId="6837338E">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465" w:type="dxa"/>
            <w:noWrap/>
            <w:vAlign w:val="center"/>
          </w:tcPr>
          <w:p w14:paraId="757FC01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2DC0702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4F802C0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251661A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40057E8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037719B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FAA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540" w:type="dxa"/>
            <w:vMerge w:val="restart"/>
            <w:noWrap/>
            <w:vAlign w:val="center"/>
          </w:tcPr>
          <w:p w14:paraId="6BC75765">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540" w:type="dxa"/>
            <w:vMerge w:val="restart"/>
            <w:noWrap w:val="0"/>
            <w:vAlign w:val="center"/>
          </w:tcPr>
          <w:p w14:paraId="5A64ABD5">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教育概况</w:t>
            </w:r>
          </w:p>
        </w:tc>
        <w:tc>
          <w:tcPr>
            <w:tcW w:w="1001" w:type="dxa"/>
            <w:noWrap w:val="0"/>
            <w:vAlign w:val="center"/>
          </w:tcPr>
          <w:p w14:paraId="05514415">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655" w:type="dxa"/>
            <w:noWrap w:val="0"/>
            <w:vAlign w:val="center"/>
          </w:tcPr>
          <w:p w14:paraId="0B321734">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730" w:type="dxa"/>
            <w:vMerge w:val="restart"/>
            <w:noWrap w:val="0"/>
            <w:vAlign w:val="center"/>
          </w:tcPr>
          <w:p w14:paraId="2ED84FEA">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中华人民共和国统计法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》《教育统计管理规定》</w:t>
            </w:r>
          </w:p>
        </w:tc>
        <w:tc>
          <w:tcPr>
            <w:tcW w:w="1875" w:type="dxa"/>
            <w:noWrap w:val="0"/>
            <w:vAlign w:val="center"/>
          </w:tcPr>
          <w:p w14:paraId="79CC38D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3BAE2860">
            <w:pPr>
              <w:jc w:val="cente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4160FF8C">
            <w:pPr>
              <w:jc w:val="left"/>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 xml:space="preserve">■政府网站  </w:t>
            </w:r>
          </w:p>
          <w:p w14:paraId="2171E294">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14:paraId="2BC7A85A">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465" w:type="dxa"/>
            <w:noWrap/>
            <w:vAlign w:val="center"/>
          </w:tcPr>
          <w:p w14:paraId="22EF30D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19855C8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4F5C159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7F5731C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77182E3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0C1FB65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1C1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540" w:type="dxa"/>
            <w:vMerge w:val="continue"/>
            <w:noWrap w:val="0"/>
            <w:vAlign w:val="center"/>
          </w:tcPr>
          <w:p w14:paraId="77983849">
            <w:pPr>
              <w:rPr>
                <w:rFonts w:hint="eastAsia" w:ascii="仿宋_GB2312" w:hAnsi="宋体" w:eastAsia="仿宋_GB2312" w:cs="宋体"/>
                <w:color w:val="000000"/>
                <w:sz w:val="18"/>
                <w:szCs w:val="18"/>
              </w:rPr>
            </w:pPr>
          </w:p>
        </w:tc>
        <w:tc>
          <w:tcPr>
            <w:tcW w:w="540" w:type="dxa"/>
            <w:vMerge w:val="continue"/>
            <w:noWrap w:val="0"/>
            <w:vAlign w:val="center"/>
          </w:tcPr>
          <w:p w14:paraId="6141DBDC">
            <w:pPr>
              <w:rPr>
                <w:rFonts w:hint="eastAsia" w:ascii="仿宋_GB2312" w:hAnsi="宋体" w:eastAsia="仿宋_GB2312" w:cs="宋体"/>
                <w:color w:val="000000"/>
                <w:sz w:val="18"/>
                <w:szCs w:val="18"/>
              </w:rPr>
            </w:pPr>
          </w:p>
        </w:tc>
        <w:tc>
          <w:tcPr>
            <w:tcW w:w="1001" w:type="dxa"/>
            <w:noWrap w:val="0"/>
            <w:vAlign w:val="center"/>
          </w:tcPr>
          <w:p w14:paraId="571E9D0F">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教育统计数据</w:t>
            </w:r>
          </w:p>
        </w:tc>
        <w:tc>
          <w:tcPr>
            <w:tcW w:w="2655" w:type="dxa"/>
            <w:noWrap w:val="0"/>
            <w:vAlign w:val="center"/>
          </w:tcPr>
          <w:p w14:paraId="0F35529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学校数据、在校生数据、教师数据、办学条件数据、县级汇总数据</w:t>
            </w:r>
          </w:p>
        </w:tc>
        <w:tc>
          <w:tcPr>
            <w:tcW w:w="2730" w:type="dxa"/>
            <w:vMerge w:val="continue"/>
            <w:noWrap w:val="0"/>
            <w:vAlign w:val="center"/>
          </w:tcPr>
          <w:p w14:paraId="4447EF9E">
            <w:pPr>
              <w:jc w:val="center"/>
              <w:rPr>
                <w:rFonts w:hint="eastAsia" w:ascii="仿宋_GB2312" w:hAnsi="宋体" w:eastAsia="仿宋_GB2312" w:cs="宋体"/>
                <w:color w:val="000000"/>
                <w:sz w:val="18"/>
                <w:szCs w:val="18"/>
              </w:rPr>
            </w:pPr>
          </w:p>
        </w:tc>
        <w:tc>
          <w:tcPr>
            <w:tcW w:w="1875" w:type="dxa"/>
            <w:noWrap w:val="0"/>
            <w:vAlign w:val="center"/>
          </w:tcPr>
          <w:p w14:paraId="7386D63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567222DF">
            <w:pPr>
              <w:jc w:val="cente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35FFDF35">
            <w:pPr>
              <w:jc w:val="left"/>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 xml:space="preserve">■政府网站  </w:t>
            </w:r>
          </w:p>
          <w:p w14:paraId="0FE4653C">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14:paraId="2E3D7B58">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465" w:type="dxa"/>
            <w:noWrap/>
            <w:vAlign w:val="center"/>
          </w:tcPr>
          <w:p w14:paraId="2E2DF0E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20D67D6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2719E46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2A73AE1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6B54545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3ED26B6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DD5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540" w:type="dxa"/>
            <w:vMerge w:val="continue"/>
            <w:noWrap w:val="0"/>
            <w:vAlign w:val="center"/>
          </w:tcPr>
          <w:p w14:paraId="162480AC">
            <w:pPr>
              <w:rPr>
                <w:rFonts w:hint="eastAsia" w:ascii="仿宋_GB2312" w:hAnsi="宋体" w:eastAsia="仿宋_GB2312" w:cs="宋体"/>
                <w:color w:val="000000"/>
                <w:sz w:val="18"/>
                <w:szCs w:val="18"/>
              </w:rPr>
            </w:pPr>
          </w:p>
        </w:tc>
        <w:tc>
          <w:tcPr>
            <w:tcW w:w="540" w:type="dxa"/>
            <w:vMerge w:val="continue"/>
            <w:noWrap w:val="0"/>
            <w:vAlign w:val="center"/>
          </w:tcPr>
          <w:p w14:paraId="4C68A4FF">
            <w:pPr>
              <w:rPr>
                <w:rFonts w:hint="eastAsia" w:ascii="仿宋_GB2312" w:hAnsi="宋体" w:eastAsia="仿宋_GB2312" w:cs="宋体"/>
                <w:color w:val="000000"/>
                <w:sz w:val="18"/>
                <w:szCs w:val="18"/>
              </w:rPr>
            </w:pPr>
          </w:p>
        </w:tc>
        <w:tc>
          <w:tcPr>
            <w:tcW w:w="1001" w:type="dxa"/>
            <w:noWrap w:val="0"/>
            <w:vAlign w:val="center"/>
          </w:tcPr>
          <w:p w14:paraId="4733064A">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义务教育学校名录</w:t>
            </w:r>
          </w:p>
        </w:tc>
        <w:tc>
          <w:tcPr>
            <w:tcW w:w="2655" w:type="dxa"/>
            <w:noWrap w:val="0"/>
            <w:vAlign w:val="center"/>
          </w:tcPr>
          <w:p w14:paraId="3CB31282">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学校名称、学校地址、办学层次、办学类型、办公电话</w:t>
            </w:r>
          </w:p>
        </w:tc>
        <w:tc>
          <w:tcPr>
            <w:tcW w:w="2730" w:type="dxa"/>
            <w:noWrap w:val="0"/>
            <w:vAlign w:val="center"/>
          </w:tcPr>
          <w:p w14:paraId="24F22CE8">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p>
        </w:tc>
        <w:tc>
          <w:tcPr>
            <w:tcW w:w="1875" w:type="dxa"/>
            <w:noWrap w:val="0"/>
            <w:vAlign w:val="center"/>
          </w:tcPr>
          <w:p w14:paraId="2AC81EA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12DCE119">
            <w:pPr>
              <w:jc w:val="cente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7E69A8D5">
            <w:pPr>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 xml:space="preserve">■政府网站  </w:t>
            </w:r>
          </w:p>
          <w:p w14:paraId="716DAFC8">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14:paraId="0EF24F5A">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465" w:type="dxa"/>
            <w:noWrap/>
            <w:vAlign w:val="center"/>
          </w:tcPr>
          <w:p w14:paraId="5B0F9D9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19FFBDE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5D041B7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4D660CE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0BCFFCC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2ECA987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5E1D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540" w:type="dxa"/>
            <w:vMerge w:val="restart"/>
            <w:noWrap/>
            <w:vAlign w:val="center"/>
          </w:tcPr>
          <w:p w14:paraId="0FC13001">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w:t>
            </w:r>
          </w:p>
        </w:tc>
        <w:tc>
          <w:tcPr>
            <w:tcW w:w="540" w:type="dxa"/>
            <w:vMerge w:val="restart"/>
            <w:noWrap w:val="0"/>
            <w:vAlign w:val="center"/>
          </w:tcPr>
          <w:p w14:paraId="0307E8CC">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民办学校信息</w:t>
            </w:r>
          </w:p>
        </w:tc>
        <w:tc>
          <w:tcPr>
            <w:tcW w:w="1001" w:type="dxa"/>
            <w:noWrap w:val="0"/>
            <w:vAlign w:val="center"/>
          </w:tcPr>
          <w:p w14:paraId="17D5DB29">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民办学校办学基本信息</w:t>
            </w:r>
          </w:p>
        </w:tc>
        <w:tc>
          <w:tcPr>
            <w:tcW w:w="2655" w:type="dxa"/>
            <w:noWrap w:val="0"/>
            <w:vAlign w:val="center"/>
          </w:tcPr>
          <w:p w14:paraId="63E53845">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学校名称、办学许可证、办学规模、联系方式</w:t>
            </w:r>
          </w:p>
        </w:tc>
        <w:tc>
          <w:tcPr>
            <w:tcW w:w="2730" w:type="dxa"/>
            <w:vMerge w:val="restart"/>
            <w:noWrap w:val="0"/>
            <w:vAlign w:val="center"/>
          </w:tcPr>
          <w:p w14:paraId="65233070">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中华人民共和国民办教育促进法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》《国务院关于鼓励社会力量兴办教育 促进民办教育健康发展的若干意见》</w:t>
            </w:r>
          </w:p>
        </w:tc>
        <w:tc>
          <w:tcPr>
            <w:tcW w:w="1875" w:type="dxa"/>
            <w:noWrap w:val="0"/>
            <w:vAlign w:val="center"/>
          </w:tcPr>
          <w:p w14:paraId="5016E4F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4493C405">
            <w:pPr>
              <w:jc w:val="cente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45FDFF8A">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1FC9F5B7">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465" w:type="dxa"/>
            <w:noWrap/>
            <w:vAlign w:val="center"/>
          </w:tcPr>
          <w:p w14:paraId="6A27D4D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02884A0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372ED86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7D8C3CD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604E669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1663264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1BCE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4" w:hRule="atLeast"/>
        </w:trPr>
        <w:tc>
          <w:tcPr>
            <w:tcW w:w="540" w:type="dxa"/>
            <w:vMerge w:val="continue"/>
            <w:noWrap w:val="0"/>
            <w:vAlign w:val="center"/>
          </w:tcPr>
          <w:p w14:paraId="0D1012E1">
            <w:pPr>
              <w:rPr>
                <w:rFonts w:hint="eastAsia" w:ascii="仿宋_GB2312" w:hAnsi="宋体" w:eastAsia="仿宋_GB2312" w:cs="宋体"/>
                <w:color w:val="000000"/>
                <w:sz w:val="18"/>
                <w:szCs w:val="18"/>
              </w:rPr>
            </w:pPr>
          </w:p>
        </w:tc>
        <w:tc>
          <w:tcPr>
            <w:tcW w:w="540" w:type="dxa"/>
            <w:vMerge w:val="continue"/>
            <w:noWrap w:val="0"/>
            <w:vAlign w:val="center"/>
          </w:tcPr>
          <w:p w14:paraId="665B880A">
            <w:pPr>
              <w:rPr>
                <w:rFonts w:hint="eastAsia" w:ascii="仿宋_GB2312" w:hAnsi="宋体" w:eastAsia="仿宋_GB2312" w:cs="宋体"/>
                <w:color w:val="000000"/>
                <w:sz w:val="18"/>
                <w:szCs w:val="18"/>
              </w:rPr>
            </w:pPr>
          </w:p>
        </w:tc>
        <w:tc>
          <w:tcPr>
            <w:tcW w:w="1001" w:type="dxa"/>
            <w:noWrap w:val="0"/>
            <w:vAlign w:val="center"/>
          </w:tcPr>
          <w:p w14:paraId="75934D25">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民办学校设立、变更、终止等事项行政审批、备案信息</w:t>
            </w:r>
          </w:p>
        </w:tc>
        <w:tc>
          <w:tcPr>
            <w:tcW w:w="2655" w:type="dxa"/>
            <w:noWrap w:val="0"/>
            <w:vAlign w:val="center"/>
          </w:tcPr>
          <w:p w14:paraId="1F5C45B1">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法律依据、办理流程、审批结果</w:t>
            </w:r>
          </w:p>
        </w:tc>
        <w:tc>
          <w:tcPr>
            <w:tcW w:w="2730" w:type="dxa"/>
            <w:vMerge w:val="continue"/>
            <w:noWrap w:val="0"/>
            <w:vAlign w:val="center"/>
          </w:tcPr>
          <w:p w14:paraId="62867C60">
            <w:pPr>
              <w:jc w:val="center"/>
              <w:rPr>
                <w:rFonts w:hint="eastAsia" w:ascii="仿宋_GB2312" w:hAnsi="宋体" w:eastAsia="仿宋_GB2312" w:cs="宋体"/>
                <w:color w:val="000000"/>
                <w:sz w:val="18"/>
                <w:szCs w:val="18"/>
              </w:rPr>
            </w:pPr>
          </w:p>
        </w:tc>
        <w:tc>
          <w:tcPr>
            <w:tcW w:w="1875" w:type="dxa"/>
            <w:noWrap w:val="0"/>
            <w:vAlign w:val="center"/>
          </w:tcPr>
          <w:p w14:paraId="3C7B6E6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515720C9">
            <w:pPr>
              <w:jc w:val="center"/>
              <w:rPr>
                <w:rFonts w:hint="eastAsia" w:ascii="仿宋_GB2312" w:hAnsi="仿宋" w:eastAsia="仿宋_GB2312" w:cs="宋体"/>
                <w:color w:val="000000"/>
                <w:sz w:val="18"/>
                <w:szCs w:val="18"/>
                <w:lang w:eastAsia="zh-CN"/>
              </w:rPr>
            </w:pPr>
            <w:r>
              <w:rPr>
                <w:rFonts w:hint="eastAsia" w:ascii="仿宋_GB2312" w:hAnsi="仿宋" w:eastAsia="仿宋_GB2312" w:cs="宋体"/>
                <w:color w:val="000000"/>
                <w:sz w:val="18"/>
                <w:szCs w:val="18"/>
                <w:lang w:eastAsia="zh-CN"/>
              </w:rPr>
              <w:t>峨边彝族自治县行政审批局</w:t>
            </w:r>
          </w:p>
        </w:tc>
        <w:tc>
          <w:tcPr>
            <w:tcW w:w="1860" w:type="dxa"/>
            <w:noWrap w:val="0"/>
            <w:vAlign w:val="center"/>
          </w:tcPr>
          <w:p w14:paraId="725E7654">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■政府网站           ■公开查阅点</w:t>
            </w:r>
          </w:p>
        </w:tc>
        <w:tc>
          <w:tcPr>
            <w:tcW w:w="465" w:type="dxa"/>
            <w:noWrap/>
            <w:vAlign w:val="center"/>
          </w:tcPr>
          <w:p w14:paraId="077117A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3015C45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2353331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2D2DAF1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7034F98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0370B11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3053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540" w:type="dxa"/>
            <w:vMerge w:val="continue"/>
            <w:noWrap w:val="0"/>
            <w:vAlign w:val="center"/>
          </w:tcPr>
          <w:p w14:paraId="2EBD8FBF">
            <w:pPr>
              <w:rPr>
                <w:rFonts w:hint="eastAsia" w:ascii="仿宋_GB2312" w:hAnsi="宋体" w:eastAsia="仿宋_GB2312" w:cs="宋体"/>
                <w:color w:val="000000"/>
                <w:sz w:val="18"/>
                <w:szCs w:val="18"/>
              </w:rPr>
            </w:pPr>
          </w:p>
        </w:tc>
        <w:tc>
          <w:tcPr>
            <w:tcW w:w="540" w:type="dxa"/>
            <w:vMerge w:val="continue"/>
            <w:noWrap w:val="0"/>
            <w:vAlign w:val="center"/>
          </w:tcPr>
          <w:p w14:paraId="00133B02">
            <w:pPr>
              <w:rPr>
                <w:rFonts w:hint="eastAsia" w:ascii="仿宋_GB2312" w:hAnsi="宋体" w:eastAsia="仿宋_GB2312" w:cs="宋体"/>
                <w:color w:val="000000"/>
                <w:sz w:val="18"/>
                <w:szCs w:val="18"/>
              </w:rPr>
            </w:pPr>
          </w:p>
        </w:tc>
        <w:tc>
          <w:tcPr>
            <w:tcW w:w="1001" w:type="dxa"/>
            <w:noWrap w:val="0"/>
            <w:vAlign w:val="center"/>
          </w:tcPr>
          <w:p w14:paraId="675D6650">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日常监管信息</w:t>
            </w:r>
          </w:p>
        </w:tc>
        <w:tc>
          <w:tcPr>
            <w:tcW w:w="2655" w:type="dxa"/>
            <w:noWrap w:val="0"/>
            <w:vAlign w:val="center"/>
          </w:tcPr>
          <w:p w14:paraId="1B472031">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年检指标、年检程序、年检结果、行政处罚信息</w:t>
            </w:r>
          </w:p>
        </w:tc>
        <w:tc>
          <w:tcPr>
            <w:tcW w:w="2730" w:type="dxa"/>
            <w:vMerge w:val="continue"/>
            <w:noWrap w:val="0"/>
            <w:vAlign w:val="center"/>
          </w:tcPr>
          <w:p w14:paraId="07F92957">
            <w:pPr>
              <w:jc w:val="center"/>
              <w:rPr>
                <w:rFonts w:hint="eastAsia" w:ascii="仿宋_GB2312" w:hAnsi="宋体" w:eastAsia="仿宋_GB2312" w:cs="宋体"/>
                <w:color w:val="000000"/>
                <w:sz w:val="18"/>
                <w:szCs w:val="18"/>
              </w:rPr>
            </w:pPr>
          </w:p>
        </w:tc>
        <w:tc>
          <w:tcPr>
            <w:tcW w:w="1875" w:type="dxa"/>
            <w:noWrap w:val="0"/>
            <w:vAlign w:val="center"/>
          </w:tcPr>
          <w:p w14:paraId="7540FAF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425956F3">
            <w:pPr>
              <w:jc w:val="cente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529B27A1">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■政府网站</w:t>
            </w:r>
          </w:p>
        </w:tc>
        <w:tc>
          <w:tcPr>
            <w:tcW w:w="465" w:type="dxa"/>
            <w:noWrap/>
            <w:vAlign w:val="center"/>
          </w:tcPr>
          <w:p w14:paraId="1EBC722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41EEA27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16B987D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22E9C93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2AD6770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0D90449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DB3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540" w:type="dxa"/>
            <w:noWrap/>
            <w:vAlign w:val="center"/>
          </w:tcPr>
          <w:p w14:paraId="07328764">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540" w:type="dxa"/>
            <w:noWrap w:val="0"/>
            <w:vAlign w:val="center"/>
          </w:tcPr>
          <w:p w14:paraId="6C8E38F4">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1001" w:type="dxa"/>
            <w:noWrap/>
            <w:vAlign w:val="center"/>
          </w:tcPr>
          <w:p w14:paraId="485B3AFC">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655" w:type="dxa"/>
            <w:noWrap w:val="0"/>
            <w:vAlign w:val="center"/>
          </w:tcPr>
          <w:p w14:paraId="22A35C71">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财务管理及监督办法、</w:t>
            </w:r>
          </w:p>
          <w:p w14:paraId="67101971">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年度经费预决算信息、收费项目及收费标准</w:t>
            </w:r>
          </w:p>
        </w:tc>
        <w:tc>
          <w:tcPr>
            <w:tcW w:w="2730" w:type="dxa"/>
            <w:noWrap w:val="0"/>
            <w:vAlign w:val="center"/>
          </w:tcPr>
          <w:p w14:paraId="68219617">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p>
        </w:tc>
        <w:tc>
          <w:tcPr>
            <w:tcW w:w="1875" w:type="dxa"/>
            <w:noWrap w:val="0"/>
            <w:vAlign w:val="center"/>
          </w:tcPr>
          <w:p w14:paraId="2D82857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7D79C8C1">
            <w:pPr>
              <w:jc w:val="cente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04FB82E1">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■公开查阅点  </w:t>
            </w:r>
          </w:p>
        </w:tc>
        <w:tc>
          <w:tcPr>
            <w:tcW w:w="465" w:type="dxa"/>
            <w:noWrap/>
            <w:vAlign w:val="center"/>
          </w:tcPr>
          <w:p w14:paraId="7167795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5B76736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1CED4B6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2880681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69F0966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557C5CD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4C00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rPr>
        <w:tc>
          <w:tcPr>
            <w:tcW w:w="540" w:type="dxa"/>
            <w:vMerge w:val="restart"/>
            <w:noWrap/>
            <w:vAlign w:val="center"/>
          </w:tcPr>
          <w:p w14:paraId="4B18054E">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noWrap/>
            <w:vAlign w:val="center"/>
          </w:tcPr>
          <w:p w14:paraId="571CB041">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1001" w:type="dxa"/>
            <w:noWrap w:val="0"/>
            <w:vAlign w:val="center"/>
          </w:tcPr>
          <w:p w14:paraId="2A27C96D">
            <w:pPr>
              <w:jc w:val="center"/>
              <w:rPr>
                <w:rFonts w:hint="eastAsia" w:ascii="仿宋_GB2312" w:hAnsi="宋体" w:eastAsia="仿宋_GB2312" w:cs="宋体"/>
                <w:sz w:val="18"/>
                <w:szCs w:val="18"/>
              </w:rPr>
            </w:pPr>
            <w:r>
              <w:rPr>
                <w:rFonts w:hint="eastAsia" w:ascii="仿宋_GB2312" w:hAnsi="宋体" w:eastAsia="仿宋_GB2312"/>
                <w:sz w:val="18"/>
                <w:szCs w:val="18"/>
              </w:rPr>
              <w:t>学校介绍</w:t>
            </w:r>
          </w:p>
        </w:tc>
        <w:tc>
          <w:tcPr>
            <w:tcW w:w="2655" w:type="dxa"/>
            <w:noWrap w:val="0"/>
            <w:vAlign w:val="center"/>
          </w:tcPr>
          <w:p w14:paraId="3A946729">
            <w:pPr>
              <w:jc w:val="center"/>
              <w:rPr>
                <w:rFonts w:hint="eastAsia"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730" w:type="dxa"/>
            <w:vMerge w:val="restart"/>
            <w:noWrap w:val="0"/>
            <w:vAlign w:val="center"/>
          </w:tcPr>
          <w:p w14:paraId="37DD790C">
            <w:pPr>
              <w:jc w:val="center"/>
              <w:rPr>
                <w:rFonts w:hint="eastAsia" w:ascii="仿宋_GB2312" w:hAnsi="宋体" w:eastAsia="仿宋_GB2312" w:cs="宋体"/>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》《教育部关于进一步做好小学升入初中免试就近入学工作的实施意见》《教育部关于推进中小学信息公开工作的意见》</w:t>
            </w:r>
          </w:p>
        </w:tc>
        <w:tc>
          <w:tcPr>
            <w:tcW w:w="1875" w:type="dxa"/>
            <w:noWrap w:val="0"/>
            <w:vAlign w:val="center"/>
          </w:tcPr>
          <w:p w14:paraId="159B26F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091426E2">
            <w:pPr>
              <w:jc w:val="cente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4CF5A8FE">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6AE4EC3C">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465" w:type="dxa"/>
            <w:noWrap w:val="0"/>
            <w:vAlign w:val="center"/>
          </w:tcPr>
          <w:p w14:paraId="41AAF05B">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95" w:type="dxa"/>
            <w:noWrap w:val="0"/>
            <w:vAlign w:val="center"/>
          </w:tcPr>
          <w:p w14:paraId="6F25DC28">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25" w:type="dxa"/>
            <w:noWrap w:val="0"/>
            <w:vAlign w:val="center"/>
          </w:tcPr>
          <w:p w14:paraId="67DCADFB">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50" w:type="dxa"/>
            <w:noWrap w:val="0"/>
            <w:vAlign w:val="center"/>
          </w:tcPr>
          <w:p w14:paraId="3481A5DE">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10" w:type="dxa"/>
            <w:noWrap w:val="0"/>
            <w:vAlign w:val="center"/>
          </w:tcPr>
          <w:p w14:paraId="20533D7B">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95" w:type="dxa"/>
            <w:noWrap w:val="0"/>
            <w:vAlign w:val="center"/>
          </w:tcPr>
          <w:p w14:paraId="6FB21C27">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r>
      <w:tr w14:paraId="5568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2" w:hRule="atLeast"/>
        </w:trPr>
        <w:tc>
          <w:tcPr>
            <w:tcW w:w="540" w:type="dxa"/>
            <w:vMerge w:val="continue"/>
            <w:noWrap w:val="0"/>
            <w:vAlign w:val="center"/>
          </w:tcPr>
          <w:p w14:paraId="3726A496">
            <w:pPr>
              <w:rPr>
                <w:rFonts w:hint="eastAsia" w:ascii="仿宋_GB2312" w:hAnsi="宋体" w:eastAsia="仿宋_GB2312" w:cs="宋体"/>
                <w:color w:val="000000"/>
                <w:sz w:val="18"/>
                <w:szCs w:val="18"/>
              </w:rPr>
            </w:pPr>
          </w:p>
        </w:tc>
        <w:tc>
          <w:tcPr>
            <w:tcW w:w="540" w:type="dxa"/>
            <w:vMerge w:val="continue"/>
            <w:noWrap w:val="0"/>
            <w:vAlign w:val="center"/>
          </w:tcPr>
          <w:p w14:paraId="43B44656">
            <w:pPr>
              <w:rPr>
                <w:rFonts w:hint="eastAsia" w:ascii="仿宋_GB2312" w:hAnsi="宋体" w:eastAsia="仿宋_GB2312" w:cs="宋体"/>
                <w:sz w:val="18"/>
                <w:szCs w:val="18"/>
              </w:rPr>
            </w:pPr>
          </w:p>
        </w:tc>
        <w:tc>
          <w:tcPr>
            <w:tcW w:w="1001" w:type="dxa"/>
            <w:noWrap/>
            <w:vAlign w:val="center"/>
          </w:tcPr>
          <w:p w14:paraId="022A9D2F">
            <w:pPr>
              <w:jc w:val="center"/>
              <w:rPr>
                <w:rFonts w:hint="eastAsia" w:ascii="仿宋_GB2312" w:hAnsi="宋体" w:eastAsia="仿宋_GB2312"/>
                <w:sz w:val="18"/>
                <w:szCs w:val="18"/>
              </w:rPr>
            </w:pPr>
            <w:r>
              <w:rPr>
                <w:rFonts w:hint="eastAsia" w:ascii="仿宋_GB2312" w:hAnsi="宋体" w:eastAsia="仿宋_GB2312"/>
                <w:sz w:val="18"/>
                <w:szCs w:val="18"/>
              </w:rPr>
              <w:t>招生政策</w:t>
            </w:r>
          </w:p>
        </w:tc>
        <w:tc>
          <w:tcPr>
            <w:tcW w:w="2655" w:type="dxa"/>
            <w:noWrap w:val="0"/>
            <w:vAlign w:val="center"/>
          </w:tcPr>
          <w:p w14:paraId="40D8C46F">
            <w:pPr>
              <w:jc w:val="center"/>
              <w:rPr>
                <w:rFonts w:hint="eastAsia" w:ascii="仿宋_GB2312" w:hAnsi="宋体" w:eastAsia="仿宋_GB2312" w:cs="宋体"/>
                <w:sz w:val="18"/>
                <w:szCs w:val="18"/>
              </w:rPr>
            </w:pPr>
            <w:r>
              <w:rPr>
                <w:rFonts w:hint="eastAsia" w:ascii="仿宋_GB2312" w:hAnsi="宋体" w:eastAsia="仿宋_GB2312"/>
                <w:sz w:val="18"/>
                <w:szCs w:val="18"/>
              </w:rPr>
              <w:t>各校招生工作实施方案；随迁子女入学办法；部分适龄儿童或少年延缓入学、休学等特殊需求的政策解读等</w:t>
            </w:r>
          </w:p>
        </w:tc>
        <w:tc>
          <w:tcPr>
            <w:tcW w:w="2730" w:type="dxa"/>
            <w:vMerge w:val="continue"/>
            <w:noWrap w:val="0"/>
            <w:vAlign w:val="center"/>
          </w:tcPr>
          <w:p w14:paraId="4A7FFD64">
            <w:pPr>
              <w:jc w:val="center"/>
              <w:rPr>
                <w:rFonts w:hint="eastAsia" w:ascii="仿宋_GB2312" w:hAnsi="宋体" w:eastAsia="仿宋_GB2312" w:cs="宋体"/>
                <w:sz w:val="18"/>
                <w:szCs w:val="18"/>
              </w:rPr>
            </w:pPr>
          </w:p>
        </w:tc>
        <w:tc>
          <w:tcPr>
            <w:tcW w:w="1875" w:type="dxa"/>
            <w:noWrap w:val="0"/>
            <w:vAlign w:val="center"/>
          </w:tcPr>
          <w:p w14:paraId="086CBF1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7C5E4E46">
            <w:pPr>
              <w:jc w:val="cente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0FC8382C">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1518DC5B">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14:paraId="7D303CBC">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14:paraId="66D9A10A">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sym w:font="Wingdings 2" w:char="00A3"/>
            </w:r>
            <w:r>
              <w:rPr>
                <w:rFonts w:hint="eastAsia" w:ascii="仿宋_GB2312" w:hAnsi="仿宋" w:eastAsia="仿宋_GB2312"/>
                <w:color w:val="000000"/>
                <w:sz w:val="18"/>
                <w:szCs w:val="18"/>
              </w:rPr>
              <w:t>纸质媒体           ■公开查阅点</w:t>
            </w:r>
          </w:p>
          <w:p w14:paraId="7F37B4FE">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465" w:type="dxa"/>
            <w:noWrap w:val="0"/>
            <w:vAlign w:val="center"/>
          </w:tcPr>
          <w:p w14:paraId="32811EF4">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95" w:type="dxa"/>
            <w:noWrap w:val="0"/>
            <w:vAlign w:val="center"/>
          </w:tcPr>
          <w:p w14:paraId="2391FF2D">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25" w:type="dxa"/>
            <w:noWrap w:val="0"/>
            <w:vAlign w:val="center"/>
          </w:tcPr>
          <w:p w14:paraId="2D3D86E4">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50" w:type="dxa"/>
            <w:noWrap w:val="0"/>
            <w:vAlign w:val="center"/>
          </w:tcPr>
          <w:p w14:paraId="6E211EBF">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10" w:type="dxa"/>
            <w:noWrap w:val="0"/>
            <w:vAlign w:val="center"/>
          </w:tcPr>
          <w:p w14:paraId="3E6E44DB">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95" w:type="dxa"/>
            <w:noWrap w:val="0"/>
            <w:vAlign w:val="center"/>
          </w:tcPr>
          <w:p w14:paraId="0616A5FB">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1289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540" w:type="dxa"/>
            <w:vMerge w:val="restart"/>
            <w:noWrap/>
            <w:vAlign w:val="center"/>
          </w:tcPr>
          <w:p w14:paraId="2CAA35E9">
            <w:pPr>
              <w:jc w:val="cente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val="en-US" w:eastAsia="zh-CN"/>
              </w:rPr>
              <w:t>6</w:t>
            </w:r>
          </w:p>
        </w:tc>
        <w:tc>
          <w:tcPr>
            <w:tcW w:w="540" w:type="dxa"/>
            <w:vMerge w:val="restart"/>
            <w:noWrap/>
            <w:vAlign w:val="center"/>
          </w:tcPr>
          <w:p w14:paraId="7AE5270E">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1001" w:type="dxa"/>
            <w:noWrap w:val="0"/>
            <w:vAlign w:val="center"/>
          </w:tcPr>
          <w:p w14:paraId="0001E5EA">
            <w:pPr>
              <w:jc w:val="center"/>
              <w:rPr>
                <w:rFonts w:hint="eastAsia" w:ascii="仿宋_GB2312" w:hAnsi="宋体" w:eastAsia="仿宋_GB2312"/>
                <w:sz w:val="18"/>
                <w:szCs w:val="18"/>
              </w:rPr>
            </w:pPr>
            <w:r>
              <w:rPr>
                <w:rFonts w:hint="eastAsia" w:ascii="仿宋_GB2312" w:hAnsi="宋体" w:eastAsia="仿宋_GB2312"/>
                <w:sz w:val="18"/>
                <w:szCs w:val="18"/>
              </w:rPr>
              <w:t>招生计划</w:t>
            </w:r>
          </w:p>
        </w:tc>
        <w:tc>
          <w:tcPr>
            <w:tcW w:w="2655" w:type="dxa"/>
            <w:noWrap w:val="0"/>
            <w:vAlign w:val="center"/>
          </w:tcPr>
          <w:p w14:paraId="0A367408">
            <w:pPr>
              <w:jc w:val="center"/>
              <w:rPr>
                <w:rFonts w:hint="eastAsia" w:ascii="仿宋_GB2312" w:hAnsi="宋体" w:eastAsia="仿宋_GB2312" w:cs="宋体"/>
                <w:sz w:val="18"/>
                <w:szCs w:val="18"/>
              </w:rPr>
            </w:pPr>
            <w:r>
              <w:rPr>
                <w:rFonts w:hint="eastAsia" w:ascii="仿宋_GB2312" w:hAnsi="宋体" w:eastAsia="仿宋_GB2312"/>
                <w:sz w:val="18"/>
                <w:szCs w:val="18"/>
              </w:rPr>
              <w:t>各校本年度招生计划</w:t>
            </w:r>
          </w:p>
        </w:tc>
        <w:tc>
          <w:tcPr>
            <w:tcW w:w="2730" w:type="dxa"/>
            <w:vMerge w:val="restart"/>
            <w:noWrap w:val="0"/>
            <w:vAlign w:val="center"/>
          </w:tcPr>
          <w:p w14:paraId="66302D8C">
            <w:pPr>
              <w:jc w:val="center"/>
              <w:rPr>
                <w:rFonts w:hint="eastAsia" w:ascii="仿宋_GB2312" w:hAnsi="宋体" w:eastAsia="仿宋_GB2312" w:cs="宋体"/>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》《教育部关于进一步做好小学升入初中免试就近入学工作的实施意见》《教育部关于推进中小学信息公开工作的意见》</w:t>
            </w:r>
          </w:p>
        </w:tc>
        <w:tc>
          <w:tcPr>
            <w:tcW w:w="1875" w:type="dxa"/>
            <w:noWrap w:val="0"/>
            <w:vAlign w:val="center"/>
          </w:tcPr>
          <w:p w14:paraId="797215E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0EDAB071">
            <w:pPr>
              <w:jc w:val="cente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69674057">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2217338C">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14:paraId="06C1AB81">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465" w:type="dxa"/>
            <w:noWrap w:val="0"/>
            <w:vAlign w:val="center"/>
          </w:tcPr>
          <w:p w14:paraId="533EFC2C">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95" w:type="dxa"/>
            <w:noWrap w:val="0"/>
            <w:vAlign w:val="center"/>
          </w:tcPr>
          <w:p w14:paraId="31943F47">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25" w:type="dxa"/>
            <w:noWrap w:val="0"/>
            <w:vAlign w:val="center"/>
          </w:tcPr>
          <w:p w14:paraId="1B651476">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50" w:type="dxa"/>
            <w:noWrap w:val="0"/>
            <w:vAlign w:val="center"/>
          </w:tcPr>
          <w:p w14:paraId="0F01448D">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10" w:type="dxa"/>
            <w:noWrap w:val="0"/>
            <w:vAlign w:val="center"/>
          </w:tcPr>
          <w:p w14:paraId="28D14B95">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95" w:type="dxa"/>
            <w:noWrap w:val="0"/>
            <w:vAlign w:val="center"/>
          </w:tcPr>
          <w:p w14:paraId="090BF3BA">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09BB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540" w:type="dxa"/>
            <w:vMerge w:val="continue"/>
            <w:noWrap w:val="0"/>
            <w:vAlign w:val="center"/>
          </w:tcPr>
          <w:p w14:paraId="6E3917C4">
            <w:pPr>
              <w:rPr>
                <w:rFonts w:hint="eastAsia" w:ascii="仿宋_GB2312" w:hAnsi="宋体" w:eastAsia="仿宋_GB2312" w:cs="宋体"/>
                <w:color w:val="000000"/>
                <w:sz w:val="18"/>
                <w:szCs w:val="18"/>
              </w:rPr>
            </w:pPr>
          </w:p>
        </w:tc>
        <w:tc>
          <w:tcPr>
            <w:tcW w:w="540" w:type="dxa"/>
            <w:vMerge w:val="continue"/>
            <w:noWrap w:val="0"/>
            <w:vAlign w:val="center"/>
          </w:tcPr>
          <w:p w14:paraId="5F18BE5E">
            <w:pPr>
              <w:rPr>
                <w:rFonts w:hint="eastAsia" w:ascii="仿宋_GB2312" w:hAnsi="宋体" w:eastAsia="仿宋_GB2312" w:cs="宋体"/>
                <w:sz w:val="18"/>
                <w:szCs w:val="18"/>
              </w:rPr>
            </w:pPr>
          </w:p>
        </w:tc>
        <w:tc>
          <w:tcPr>
            <w:tcW w:w="1001" w:type="dxa"/>
            <w:noWrap/>
            <w:vAlign w:val="center"/>
          </w:tcPr>
          <w:p w14:paraId="7FD6DB9B">
            <w:pPr>
              <w:jc w:val="center"/>
              <w:rPr>
                <w:rFonts w:hint="eastAsia" w:ascii="仿宋_GB2312" w:hAnsi="宋体" w:eastAsia="仿宋_GB2312"/>
                <w:sz w:val="18"/>
                <w:szCs w:val="18"/>
              </w:rPr>
            </w:pPr>
            <w:r>
              <w:rPr>
                <w:rFonts w:hint="eastAsia" w:ascii="仿宋_GB2312" w:hAnsi="宋体" w:eastAsia="仿宋_GB2312"/>
                <w:sz w:val="18"/>
                <w:szCs w:val="18"/>
              </w:rPr>
              <w:t>招生范围</w:t>
            </w:r>
          </w:p>
        </w:tc>
        <w:tc>
          <w:tcPr>
            <w:tcW w:w="2655" w:type="dxa"/>
            <w:noWrap w:val="0"/>
            <w:vAlign w:val="center"/>
          </w:tcPr>
          <w:p w14:paraId="7BE74114">
            <w:pPr>
              <w:jc w:val="center"/>
              <w:rPr>
                <w:rFonts w:hint="eastAsia" w:ascii="仿宋_GB2312" w:hAnsi="宋体" w:eastAsia="仿宋_GB2312" w:cs="宋体"/>
                <w:sz w:val="18"/>
                <w:szCs w:val="18"/>
              </w:rPr>
            </w:pPr>
            <w:r>
              <w:rPr>
                <w:rFonts w:hint="eastAsia" w:ascii="仿宋_GB2312" w:hAnsi="宋体" w:eastAsia="仿宋_GB2312"/>
                <w:sz w:val="18"/>
                <w:szCs w:val="18"/>
              </w:rPr>
              <w:t>招生范围、学区划分详细情况</w:t>
            </w:r>
          </w:p>
        </w:tc>
        <w:tc>
          <w:tcPr>
            <w:tcW w:w="2730" w:type="dxa"/>
            <w:vMerge w:val="continue"/>
            <w:noWrap w:val="0"/>
            <w:vAlign w:val="center"/>
          </w:tcPr>
          <w:p w14:paraId="28956855">
            <w:pPr>
              <w:jc w:val="center"/>
              <w:rPr>
                <w:rFonts w:hint="eastAsia" w:ascii="仿宋_GB2312" w:hAnsi="宋体" w:eastAsia="仿宋_GB2312" w:cs="宋体"/>
                <w:sz w:val="18"/>
                <w:szCs w:val="18"/>
              </w:rPr>
            </w:pPr>
          </w:p>
        </w:tc>
        <w:tc>
          <w:tcPr>
            <w:tcW w:w="1875" w:type="dxa"/>
            <w:noWrap w:val="0"/>
            <w:vAlign w:val="center"/>
          </w:tcPr>
          <w:p w14:paraId="0FED07D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2649018C">
            <w:pPr>
              <w:jc w:val="cente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0BD6E7FC">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70129C54">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465" w:type="dxa"/>
            <w:noWrap w:val="0"/>
            <w:vAlign w:val="center"/>
          </w:tcPr>
          <w:p w14:paraId="2AA2CC17">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95" w:type="dxa"/>
            <w:noWrap/>
            <w:vAlign w:val="center"/>
          </w:tcPr>
          <w:p w14:paraId="7FC62497">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25" w:type="dxa"/>
            <w:noWrap w:val="0"/>
            <w:vAlign w:val="center"/>
          </w:tcPr>
          <w:p w14:paraId="0C3A5DB2">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50" w:type="dxa"/>
            <w:noWrap/>
            <w:vAlign w:val="center"/>
          </w:tcPr>
          <w:p w14:paraId="30923C21">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10" w:type="dxa"/>
            <w:noWrap w:val="0"/>
            <w:vAlign w:val="center"/>
          </w:tcPr>
          <w:p w14:paraId="1968FE0D">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95" w:type="dxa"/>
            <w:noWrap/>
            <w:vAlign w:val="center"/>
          </w:tcPr>
          <w:p w14:paraId="265AF56B">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2A90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trPr>
        <w:tc>
          <w:tcPr>
            <w:tcW w:w="540" w:type="dxa"/>
            <w:vMerge w:val="continue"/>
            <w:noWrap w:val="0"/>
            <w:vAlign w:val="center"/>
          </w:tcPr>
          <w:p w14:paraId="2BD7D440">
            <w:pPr>
              <w:rPr>
                <w:rFonts w:hint="eastAsia" w:ascii="仿宋_GB2312" w:hAnsi="宋体" w:eastAsia="仿宋_GB2312" w:cs="宋体"/>
                <w:color w:val="000000"/>
                <w:sz w:val="18"/>
                <w:szCs w:val="18"/>
              </w:rPr>
            </w:pPr>
          </w:p>
        </w:tc>
        <w:tc>
          <w:tcPr>
            <w:tcW w:w="540" w:type="dxa"/>
            <w:vMerge w:val="continue"/>
            <w:noWrap w:val="0"/>
            <w:vAlign w:val="center"/>
          </w:tcPr>
          <w:p w14:paraId="7115A603">
            <w:pPr>
              <w:rPr>
                <w:rFonts w:hint="eastAsia" w:ascii="仿宋_GB2312" w:hAnsi="宋体" w:eastAsia="仿宋_GB2312" w:cs="宋体"/>
                <w:sz w:val="18"/>
                <w:szCs w:val="18"/>
              </w:rPr>
            </w:pPr>
          </w:p>
        </w:tc>
        <w:tc>
          <w:tcPr>
            <w:tcW w:w="1001" w:type="dxa"/>
            <w:noWrap w:val="0"/>
            <w:vAlign w:val="center"/>
          </w:tcPr>
          <w:p w14:paraId="0B26560E">
            <w:pPr>
              <w:jc w:val="center"/>
              <w:rPr>
                <w:rFonts w:hint="eastAsia" w:ascii="仿宋_GB2312" w:hAnsi="宋体" w:eastAsia="仿宋_GB2312"/>
                <w:sz w:val="18"/>
                <w:szCs w:val="18"/>
              </w:rPr>
            </w:pPr>
            <w:r>
              <w:rPr>
                <w:rFonts w:hint="eastAsia" w:ascii="仿宋_GB2312" w:hAnsi="宋体" w:eastAsia="仿宋_GB2312"/>
                <w:sz w:val="18"/>
                <w:szCs w:val="18"/>
              </w:rPr>
              <w:t>招生结果</w:t>
            </w:r>
          </w:p>
        </w:tc>
        <w:tc>
          <w:tcPr>
            <w:tcW w:w="2655" w:type="dxa"/>
            <w:noWrap w:val="0"/>
            <w:vAlign w:val="center"/>
          </w:tcPr>
          <w:p w14:paraId="771F4E79">
            <w:pPr>
              <w:jc w:val="center"/>
              <w:rPr>
                <w:rFonts w:hint="eastAsia" w:ascii="仿宋_GB2312" w:hAnsi="宋体" w:eastAsia="仿宋_GB2312" w:cs="宋体"/>
                <w:sz w:val="18"/>
                <w:szCs w:val="18"/>
              </w:rPr>
            </w:pPr>
            <w:r>
              <w:rPr>
                <w:rFonts w:hint="eastAsia" w:ascii="仿宋_GB2312" w:hAnsi="宋体" w:eastAsia="仿宋_GB2312"/>
                <w:sz w:val="18"/>
                <w:szCs w:val="18"/>
              </w:rPr>
              <w:t>各校本年度招生结果</w:t>
            </w:r>
          </w:p>
        </w:tc>
        <w:tc>
          <w:tcPr>
            <w:tcW w:w="2730" w:type="dxa"/>
            <w:vMerge w:val="continue"/>
            <w:noWrap w:val="0"/>
            <w:vAlign w:val="center"/>
          </w:tcPr>
          <w:p w14:paraId="418E9C90">
            <w:pPr>
              <w:jc w:val="center"/>
              <w:rPr>
                <w:rFonts w:hint="eastAsia" w:ascii="仿宋_GB2312" w:hAnsi="宋体" w:eastAsia="仿宋_GB2312" w:cs="宋体"/>
                <w:sz w:val="18"/>
                <w:szCs w:val="18"/>
              </w:rPr>
            </w:pPr>
          </w:p>
        </w:tc>
        <w:tc>
          <w:tcPr>
            <w:tcW w:w="1875" w:type="dxa"/>
            <w:noWrap w:val="0"/>
            <w:vAlign w:val="center"/>
          </w:tcPr>
          <w:p w14:paraId="0E7BD35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168997C0">
            <w:pPr>
              <w:jc w:val="cente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642AC328">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6082D994">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14:paraId="3C9DFDBC">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465" w:type="dxa"/>
            <w:noWrap w:val="0"/>
            <w:vAlign w:val="center"/>
          </w:tcPr>
          <w:p w14:paraId="2E226CBF">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95" w:type="dxa"/>
            <w:noWrap/>
            <w:vAlign w:val="center"/>
          </w:tcPr>
          <w:p w14:paraId="0C51D0EA">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25" w:type="dxa"/>
            <w:noWrap w:val="0"/>
            <w:vAlign w:val="center"/>
          </w:tcPr>
          <w:p w14:paraId="65FC5CCC">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50" w:type="dxa"/>
            <w:noWrap/>
            <w:vAlign w:val="center"/>
          </w:tcPr>
          <w:p w14:paraId="06D3E40B">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10" w:type="dxa"/>
            <w:noWrap w:val="0"/>
            <w:vAlign w:val="center"/>
          </w:tcPr>
          <w:p w14:paraId="69955454">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95" w:type="dxa"/>
            <w:noWrap/>
            <w:vAlign w:val="center"/>
          </w:tcPr>
          <w:p w14:paraId="1CA80F0A">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0D00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3" w:hRule="atLeast"/>
        </w:trPr>
        <w:tc>
          <w:tcPr>
            <w:tcW w:w="540" w:type="dxa"/>
            <w:vMerge w:val="restart"/>
            <w:noWrap w:val="0"/>
            <w:vAlign w:val="center"/>
          </w:tcPr>
          <w:p w14:paraId="752BD073">
            <w:pPr>
              <w:jc w:val="cente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val="en-US" w:eastAsia="zh-CN"/>
              </w:rPr>
              <w:t>7</w:t>
            </w:r>
          </w:p>
        </w:tc>
        <w:tc>
          <w:tcPr>
            <w:tcW w:w="540" w:type="dxa"/>
            <w:vMerge w:val="restart"/>
            <w:noWrap w:val="0"/>
            <w:vAlign w:val="center"/>
          </w:tcPr>
          <w:p w14:paraId="5F2DB817">
            <w:pPr>
              <w:jc w:val="center"/>
              <w:rPr>
                <w:rFonts w:hint="eastAsia" w:ascii="仿宋_GB2312" w:hAnsi="宋体" w:eastAsia="仿宋_GB2312" w:cs="宋体"/>
                <w:sz w:val="18"/>
                <w:szCs w:val="18"/>
              </w:rPr>
            </w:pPr>
            <w:r>
              <w:rPr>
                <w:rFonts w:hint="eastAsia" w:ascii="仿宋_GB2312" w:hAnsi="宋体" w:eastAsia="仿宋_GB2312"/>
                <w:sz w:val="18"/>
                <w:szCs w:val="18"/>
              </w:rPr>
              <w:t>学生管理</w:t>
            </w:r>
          </w:p>
        </w:tc>
        <w:tc>
          <w:tcPr>
            <w:tcW w:w="1001" w:type="dxa"/>
            <w:noWrap w:val="0"/>
            <w:vAlign w:val="center"/>
          </w:tcPr>
          <w:p w14:paraId="52C7F0D7">
            <w:pPr>
              <w:jc w:val="center"/>
              <w:rPr>
                <w:rFonts w:hint="eastAsia" w:ascii="仿宋_GB2312" w:hAnsi="宋体" w:eastAsia="仿宋_GB2312"/>
                <w:sz w:val="18"/>
                <w:szCs w:val="18"/>
              </w:rPr>
            </w:pPr>
            <w:r>
              <w:rPr>
                <w:rFonts w:hint="eastAsia" w:ascii="仿宋_GB2312" w:hAnsi="宋体" w:eastAsia="仿宋_GB2312"/>
                <w:sz w:val="18"/>
                <w:szCs w:val="18"/>
              </w:rPr>
              <w:t>学籍管理</w:t>
            </w:r>
          </w:p>
        </w:tc>
        <w:tc>
          <w:tcPr>
            <w:tcW w:w="2655" w:type="dxa"/>
            <w:noWrap w:val="0"/>
            <w:vAlign w:val="center"/>
          </w:tcPr>
          <w:p w14:paraId="468DC0E4">
            <w:pPr>
              <w:jc w:val="center"/>
              <w:rPr>
                <w:rFonts w:hint="eastAsia" w:ascii="仿宋_GB2312" w:hAnsi="宋体" w:eastAsia="仿宋_GB2312" w:cs="宋体"/>
                <w:sz w:val="18"/>
                <w:szCs w:val="18"/>
              </w:rPr>
            </w:pPr>
            <w:r>
              <w:rPr>
                <w:rFonts w:hint="eastAsia" w:ascii="仿宋_GB2312" w:hAnsi="宋体" w:eastAsia="仿宋_GB2312"/>
                <w:sz w:val="18"/>
                <w:szCs w:val="18"/>
              </w:rPr>
              <w:t>区域内义务教育阶段学生休学、复学、转学相关政策及所需材料和办理流程；适龄儿童延缓入学所需材料及办理流程；学籍证明、毕（结）业证书遗失办理学历证明确认</w:t>
            </w:r>
          </w:p>
        </w:tc>
        <w:tc>
          <w:tcPr>
            <w:tcW w:w="2730" w:type="dxa"/>
            <w:noWrap w:val="0"/>
            <w:vAlign w:val="center"/>
          </w:tcPr>
          <w:p w14:paraId="244783DB">
            <w:pPr>
              <w:jc w:val="center"/>
              <w:rPr>
                <w:rFonts w:hint="eastAsia" w:ascii="仿宋_GB2312" w:hAnsi="宋体" w:eastAsia="仿宋_GB2312" w:cs="宋体"/>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中华人民共和国义务教育法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》《中小学生学籍管理办法》</w:t>
            </w:r>
          </w:p>
        </w:tc>
        <w:tc>
          <w:tcPr>
            <w:tcW w:w="1875" w:type="dxa"/>
            <w:noWrap w:val="0"/>
            <w:vAlign w:val="center"/>
          </w:tcPr>
          <w:p w14:paraId="5E15A96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47412637">
            <w:pPr>
              <w:jc w:val="cente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613211FD">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0C1CCFA9">
            <w:pPr>
              <w:rPr>
                <w:rFonts w:hint="eastAsia" w:ascii="仿宋_GB2312" w:hAnsi="仿宋" w:eastAsia="仿宋_GB2312"/>
                <w:sz w:val="18"/>
                <w:szCs w:val="18"/>
              </w:rPr>
            </w:pPr>
            <w:r>
              <w:rPr>
                <w:rFonts w:hint="eastAsia" w:ascii="仿宋_GB2312" w:hAnsi="仿宋" w:eastAsia="仿宋_GB2312"/>
                <w:sz w:val="18"/>
                <w:szCs w:val="18"/>
              </w:rPr>
              <w:t>■两微一端</w:t>
            </w:r>
          </w:p>
          <w:p w14:paraId="2841A5E6">
            <w:pPr>
              <w:rPr>
                <w:rFonts w:hint="eastAsia" w:ascii="仿宋_GB2312" w:hAnsi="仿宋" w:eastAsia="仿宋_GB2312" w:cs="宋体"/>
                <w:sz w:val="18"/>
                <w:szCs w:val="18"/>
              </w:rPr>
            </w:pPr>
            <w:r>
              <w:rPr>
                <w:rFonts w:hint="eastAsia" w:ascii="仿宋_GB2312" w:hAnsi="仿宋" w:eastAsia="仿宋_GB2312"/>
                <w:sz w:val="18"/>
                <w:szCs w:val="18"/>
              </w:rPr>
              <w:t xml:space="preserve">■其他：中小学生学籍管理系统    </w:t>
            </w:r>
          </w:p>
        </w:tc>
        <w:tc>
          <w:tcPr>
            <w:tcW w:w="465" w:type="dxa"/>
            <w:noWrap w:val="0"/>
            <w:vAlign w:val="center"/>
          </w:tcPr>
          <w:p w14:paraId="40F4189C">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95" w:type="dxa"/>
            <w:noWrap/>
            <w:vAlign w:val="center"/>
          </w:tcPr>
          <w:p w14:paraId="5B5F46C8">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25" w:type="dxa"/>
            <w:noWrap w:val="0"/>
            <w:vAlign w:val="center"/>
          </w:tcPr>
          <w:p w14:paraId="29908EEE">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50" w:type="dxa"/>
            <w:noWrap/>
            <w:vAlign w:val="center"/>
          </w:tcPr>
          <w:p w14:paraId="559F0C57">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10" w:type="dxa"/>
            <w:noWrap w:val="0"/>
            <w:vAlign w:val="center"/>
          </w:tcPr>
          <w:p w14:paraId="3A7E819B">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95" w:type="dxa"/>
            <w:noWrap/>
            <w:vAlign w:val="center"/>
          </w:tcPr>
          <w:p w14:paraId="044EC3FB">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2331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trPr>
        <w:tc>
          <w:tcPr>
            <w:tcW w:w="540" w:type="dxa"/>
            <w:vMerge w:val="continue"/>
            <w:noWrap w:val="0"/>
            <w:vAlign w:val="center"/>
          </w:tcPr>
          <w:p w14:paraId="0890F3E8">
            <w:pPr>
              <w:rPr>
                <w:rFonts w:hint="eastAsia" w:ascii="仿宋_GB2312" w:hAnsi="宋体" w:eastAsia="仿宋_GB2312" w:cs="宋体"/>
                <w:color w:val="000000"/>
                <w:sz w:val="18"/>
                <w:szCs w:val="18"/>
              </w:rPr>
            </w:pPr>
          </w:p>
        </w:tc>
        <w:tc>
          <w:tcPr>
            <w:tcW w:w="540" w:type="dxa"/>
            <w:vMerge w:val="continue"/>
            <w:noWrap w:val="0"/>
            <w:vAlign w:val="center"/>
          </w:tcPr>
          <w:p w14:paraId="2FAB12D4">
            <w:pPr>
              <w:rPr>
                <w:rFonts w:hint="eastAsia" w:ascii="仿宋_GB2312" w:hAnsi="宋体" w:eastAsia="仿宋_GB2312" w:cs="宋体"/>
                <w:sz w:val="18"/>
                <w:szCs w:val="18"/>
              </w:rPr>
            </w:pPr>
          </w:p>
        </w:tc>
        <w:tc>
          <w:tcPr>
            <w:tcW w:w="1001" w:type="dxa"/>
            <w:noWrap w:val="0"/>
            <w:vAlign w:val="center"/>
          </w:tcPr>
          <w:p w14:paraId="032346C5">
            <w:pPr>
              <w:jc w:val="center"/>
              <w:rPr>
                <w:rFonts w:hint="eastAsia" w:ascii="仿宋_GB2312" w:hAnsi="宋体" w:eastAsia="仿宋_GB2312"/>
                <w:sz w:val="18"/>
                <w:szCs w:val="18"/>
              </w:rPr>
            </w:pPr>
            <w:r>
              <w:rPr>
                <w:rFonts w:hint="eastAsia" w:ascii="仿宋_GB2312" w:hAnsi="宋体" w:eastAsia="仿宋_GB2312"/>
                <w:sz w:val="18"/>
                <w:szCs w:val="18"/>
              </w:rPr>
              <w:t>义务教育学生资助政策</w:t>
            </w:r>
          </w:p>
        </w:tc>
        <w:tc>
          <w:tcPr>
            <w:tcW w:w="2655" w:type="dxa"/>
            <w:noWrap w:val="0"/>
            <w:vAlign w:val="center"/>
          </w:tcPr>
          <w:p w14:paraId="25929FC2">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730" w:type="dxa"/>
            <w:noWrap w:val="0"/>
            <w:vAlign w:val="center"/>
          </w:tcPr>
          <w:p w14:paraId="7AE47697">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》《国务院关于进一步完善城乡义务教育经费保障机制的通知》</w:t>
            </w:r>
          </w:p>
        </w:tc>
        <w:tc>
          <w:tcPr>
            <w:tcW w:w="1875" w:type="dxa"/>
            <w:noWrap w:val="0"/>
            <w:vAlign w:val="center"/>
          </w:tcPr>
          <w:p w14:paraId="79E2851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22B42D20">
            <w:pPr>
              <w:jc w:val="cente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640313C9">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10B42C5F">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14:paraId="525170F5">
            <w:pPr>
              <w:rPr>
                <w:rFonts w:hint="eastAsia" w:ascii="仿宋_GB2312" w:hAnsi="仿宋" w:eastAsia="仿宋_GB2312"/>
                <w:color w:val="000000"/>
                <w:sz w:val="18"/>
                <w:szCs w:val="18"/>
              </w:rPr>
            </w:pPr>
            <w:r>
              <w:rPr>
                <w:rFonts w:hint="eastAsia" w:ascii="仿宋_GB2312" w:hAnsi="仿宋" w:eastAsia="仿宋_GB2312"/>
                <w:color w:val="000000"/>
                <w:sz w:val="18"/>
                <w:szCs w:val="18"/>
              </w:rPr>
              <w:t>■公开查阅点</w:t>
            </w:r>
          </w:p>
          <w:p w14:paraId="36B7B07E">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■社区/企事业单位/村公示栏（电子屏）</w:t>
            </w:r>
          </w:p>
        </w:tc>
        <w:tc>
          <w:tcPr>
            <w:tcW w:w="465" w:type="dxa"/>
            <w:noWrap/>
            <w:vAlign w:val="center"/>
          </w:tcPr>
          <w:p w14:paraId="483B14D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5CD52BD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1C2C32D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43B9588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28B4F47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520CA40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5BD5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540" w:type="dxa"/>
            <w:vMerge w:val="continue"/>
            <w:noWrap w:val="0"/>
            <w:vAlign w:val="center"/>
          </w:tcPr>
          <w:p w14:paraId="5A5845DA">
            <w:pPr>
              <w:rPr>
                <w:rFonts w:hint="eastAsia" w:ascii="仿宋_GB2312" w:hAnsi="宋体" w:eastAsia="仿宋_GB2312" w:cs="宋体"/>
                <w:color w:val="000000"/>
                <w:sz w:val="18"/>
                <w:szCs w:val="18"/>
              </w:rPr>
            </w:pPr>
          </w:p>
        </w:tc>
        <w:tc>
          <w:tcPr>
            <w:tcW w:w="540" w:type="dxa"/>
            <w:vMerge w:val="continue"/>
            <w:noWrap w:val="0"/>
            <w:vAlign w:val="center"/>
          </w:tcPr>
          <w:p w14:paraId="24471A84">
            <w:pPr>
              <w:rPr>
                <w:rFonts w:hint="eastAsia" w:ascii="仿宋_GB2312" w:hAnsi="宋体" w:eastAsia="仿宋_GB2312" w:cs="宋体"/>
                <w:sz w:val="18"/>
                <w:szCs w:val="18"/>
              </w:rPr>
            </w:pPr>
          </w:p>
        </w:tc>
        <w:tc>
          <w:tcPr>
            <w:tcW w:w="1001" w:type="dxa"/>
            <w:noWrap w:val="0"/>
            <w:vAlign w:val="center"/>
          </w:tcPr>
          <w:p w14:paraId="6FAB8CCE">
            <w:pPr>
              <w:jc w:val="center"/>
              <w:rPr>
                <w:rFonts w:hint="eastAsia" w:ascii="仿宋_GB2312" w:hAnsi="宋体" w:eastAsia="仿宋_GB2312"/>
                <w:sz w:val="18"/>
                <w:szCs w:val="18"/>
              </w:rPr>
            </w:pPr>
            <w:r>
              <w:rPr>
                <w:rFonts w:hint="eastAsia" w:ascii="仿宋_GB2312" w:hAnsi="宋体" w:eastAsia="仿宋_GB2312"/>
                <w:sz w:val="18"/>
                <w:szCs w:val="18"/>
              </w:rPr>
              <w:t>学生评优奖励</w:t>
            </w:r>
          </w:p>
        </w:tc>
        <w:tc>
          <w:tcPr>
            <w:tcW w:w="2655" w:type="dxa"/>
            <w:noWrap w:val="0"/>
            <w:vAlign w:val="center"/>
          </w:tcPr>
          <w:p w14:paraId="1C716FBC">
            <w:pPr>
              <w:jc w:val="center"/>
              <w:rPr>
                <w:rFonts w:hint="eastAsia" w:ascii="仿宋_GB2312" w:hAnsi="宋体" w:eastAsia="仿宋_GB2312" w:cs="宋体"/>
                <w:sz w:val="18"/>
                <w:szCs w:val="18"/>
              </w:rPr>
            </w:pPr>
            <w:r>
              <w:rPr>
                <w:rFonts w:hint="eastAsia" w:ascii="仿宋_GB2312" w:hAnsi="宋体" w:eastAsia="仿宋_GB2312"/>
                <w:sz w:val="18"/>
                <w:szCs w:val="18"/>
              </w:rPr>
              <w:t>省市县“三好学生”“优秀学生干部”评选标准；评比方法；表彰名单等</w:t>
            </w:r>
          </w:p>
        </w:tc>
        <w:tc>
          <w:tcPr>
            <w:tcW w:w="2730" w:type="dxa"/>
            <w:noWrap w:val="0"/>
            <w:vAlign w:val="center"/>
          </w:tcPr>
          <w:p w14:paraId="509A40C7">
            <w:pPr>
              <w:jc w:val="center"/>
              <w:rPr>
                <w:rFonts w:hint="eastAsia" w:ascii="仿宋_GB2312" w:hAnsi="宋体" w:eastAsia="仿宋_GB2312" w:cs="宋体"/>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》，当地省市县表彰文件</w:t>
            </w:r>
          </w:p>
        </w:tc>
        <w:tc>
          <w:tcPr>
            <w:tcW w:w="1875" w:type="dxa"/>
            <w:noWrap w:val="0"/>
            <w:vAlign w:val="center"/>
          </w:tcPr>
          <w:p w14:paraId="6F0CD1D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14C94FFB">
            <w:pPr>
              <w:jc w:val="cente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430C65B1">
            <w:pPr>
              <w:rPr>
                <w:rFonts w:hint="eastAsia" w:ascii="仿宋_GB2312" w:hAnsi="仿宋" w:eastAsia="仿宋_GB2312"/>
                <w:color w:val="auto"/>
                <w:sz w:val="18"/>
                <w:szCs w:val="18"/>
              </w:rPr>
            </w:pPr>
            <w:r>
              <w:rPr>
                <w:rFonts w:hint="eastAsia" w:ascii="仿宋_GB2312" w:hAnsi="仿宋" w:eastAsia="仿宋_GB2312"/>
                <w:color w:val="auto"/>
                <w:sz w:val="18"/>
                <w:szCs w:val="18"/>
              </w:rPr>
              <w:t xml:space="preserve">■政府网站  </w:t>
            </w:r>
          </w:p>
          <w:p w14:paraId="2F8620E6">
            <w:pPr>
              <w:rPr>
                <w:rFonts w:hint="eastAsia" w:ascii="仿宋_GB2312" w:hAnsi="仿宋" w:eastAsia="仿宋_GB2312"/>
                <w:color w:val="auto"/>
                <w:sz w:val="18"/>
                <w:szCs w:val="18"/>
              </w:rPr>
            </w:pPr>
            <w:r>
              <w:rPr>
                <w:rFonts w:hint="eastAsia" w:ascii="仿宋_GB2312" w:hAnsi="仿宋" w:eastAsia="仿宋_GB2312"/>
                <w:color w:val="auto"/>
                <w:sz w:val="18"/>
                <w:szCs w:val="18"/>
              </w:rPr>
              <w:t>■两微一端</w:t>
            </w:r>
          </w:p>
          <w:p w14:paraId="0E0CC7DC">
            <w:pPr>
              <w:rPr>
                <w:rFonts w:hint="eastAsia" w:ascii="仿宋_GB2312" w:hAnsi="仿宋" w:eastAsia="仿宋_GB2312" w:cs="宋体"/>
                <w:sz w:val="18"/>
                <w:szCs w:val="18"/>
              </w:rPr>
            </w:pPr>
            <w:r>
              <w:rPr>
                <w:rFonts w:hint="eastAsia" w:ascii="仿宋_GB2312" w:hAnsi="仿宋" w:eastAsia="仿宋_GB2312"/>
                <w:color w:val="auto"/>
                <w:sz w:val="18"/>
                <w:szCs w:val="18"/>
              </w:rPr>
              <w:sym w:font="Wingdings 2" w:char="00A3"/>
            </w:r>
            <w:r>
              <w:rPr>
                <w:rFonts w:hint="eastAsia" w:ascii="仿宋_GB2312" w:hAnsi="仿宋" w:eastAsia="仿宋_GB2312"/>
                <w:color w:val="auto"/>
                <w:sz w:val="18"/>
                <w:szCs w:val="18"/>
              </w:rPr>
              <w:t xml:space="preserve">社区/企事业单位/村公示栏（电子屏） </w:t>
            </w:r>
            <w:r>
              <w:rPr>
                <w:rFonts w:hint="eastAsia" w:ascii="仿宋_GB2312" w:hAnsi="仿宋" w:eastAsia="仿宋_GB2312"/>
                <w:color w:val="FF0000"/>
                <w:sz w:val="18"/>
                <w:szCs w:val="18"/>
              </w:rPr>
              <w:t xml:space="preserve">  </w:t>
            </w:r>
          </w:p>
        </w:tc>
        <w:tc>
          <w:tcPr>
            <w:tcW w:w="465" w:type="dxa"/>
            <w:noWrap w:val="0"/>
            <w:vAlign w:val="center"/>
          </w:tcPr>
          <w:p w14:paraId="5F1A74D7">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95" w:type="dxa"/>
            <w:noWrap/>
            <w:vAlign w:val="center"/>
          </w:tcPr>
          <w:p w14:paraId="66844E9B">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25" w:type="dxa"/>
            <w:noWrap w:val="0"/>
            <w:vAlign w:val="center"/>
          </w:tcPr>
          <w:p w14:paraId="19FFC532">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50" w:type="dxa"/>
            <w:noWrap/>
            <w:vAlign w:val="center"/>
          </w:tcPr>
          <w:p w14:paraId="09A8023E">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10" w:type="dxa"/>
            <w:noWrap w:val="0"/>
            <w:vAlign w:val="center"/>
          </w:tcPr>
          <w:p w14:paraId="48348AD9">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95" w:type="dxa"/>
            <w:noWrap/>
            <w:vAlign w:val="center"/>
          </w:tcPr>
          <w:p w14:paraId="632130BA">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3F71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0" w:hRule="atLeast"/>
        </w:trPr>
        <w:tc>
          <w:tcPr>
            <w:tcW w:w="540" w:type="dxa"/>
            <w:noWrap w:val="0"/>
            <w:vAlign w:val="center"/>
          </w:tcPr>
          <w:p w14:paraId="43F6F522">
            <w:pPr>
              <w:jc w:val="cente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val="en-US" w:eastAsia="zh-CN"/>
              </w:rPr>
              <w:t>8</w:t>
            </w:r>
          </w:p>
        </w:tc>
        <w:tc>
          <w:tcPr>
            <w:tcW w:w="540" w:type="dxa"/>
            <w:noWrap w:val="0"/>
            <w:vAlign w:val="center"/>
          </w:tcPr>
          <w:p w14:paraId="1A362419">
            <w:pPr>
              <w:jc w:val="center"/>
              <w:rPr>
                <w:rFonts w:hint="eastAsia" w:ascii="仿宋_GB2312" w:hAnsi="宋体" w:eastAsia="仿宋_GB2312"/>
                <w:sz w:val="18"/>
                <w:szCs w:val="18"/>
              </w:rPr>
            </w:pPr>
            <w:r>
              <w:rPr>
                <w:rFonts w:hint="eastAsia" w:ascii="仿宋_GB2312" w:hAnsi="宋体" w:eastAsia="仿宋_GB2312"/>
                <w:sz w:val="18"/>
                <w:szCs w:val="18"/>
              </w:rPr>
              <w:t>学生管理</w:t>
            </w:r>
          </w:p>
        </w:tc>
        <w:tc>
          <w:tcPr>
            <w:tcW w:w="1001" w:type="dxa"/>
            <w:noWrap w:val="0"/>
            <w:vAlign w:val="center"/>
          </w:tcPr>
          <w:p w14:paraId="300E4A3B">
            <w:pPr>
              <w:jc w:val="center"/>
              <w:rPr>
                <w:rFonts w:hint="eastAsia" w:ascii="仿宋_GB2312" w:hAnsi="宋体" w:eastAsia="仿宋_GB2312"/>
                <w:sz w:val="18"/>
                <w:szCs w:val="18"/>
              </w:rPr>
            </w:pPr>
            <w:r>
              <w:rPr>
                <w:rFonts w:hint="eastAsia" w:ascii="仿宋_GB2312" w:hAnsi="宋体" w:eastAsia="仿宋_GB2312"/>
                <w:sz w:val="18"/>
                <w:szCs w:val="18"/>
              </w:rPr>
              <w:t>优待政策</w:t>
            </w:r>
          </w:p>
        </w:tc>
        <w:tc>
          <w:tcPr>
            <w:tcW w:w="2655" w:type="dxa"/>
            <w:noWrap w:val="0"/>
            <w:vAlign w:val="center"/>
          </w:tcPr>
          <w:p w14:paraId="57513C72">
            <w:pPr>
              <w:jc w:val="center"/>
              <w:rPr>
                <w:rFonts w:hint="eastAsia" w:ascii="仿宋_GB2312" w:hAnsi="宋体" w:eastAsia="仿宋_GB2312" w:cs="宋体"/>
                <w:sz w:val="18"/>
                <w:szCs w:val="18"/>
              </w:rPr>
            </w:pPr>
            <w:r>
              <w:rPr>
                <w:rFonts w:hint="eastAsia" w:ascii="仿宋_GB2312" w:hAnsi="宋体" w:eastAsia="仿宋_GB2312"/>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730" w:type="dxa"/>
            <w:noWrap w:val="0"/>
            <w:vAlign w:val="center"/>
          </w:tcPr>
          <w:p w14:paraId="18AE5325">
            <w:pPr>
              <w:jc w:val="center"/>
              <w:rPr>
                <w:rFonts w:hint="eastAsia" w:ascii="仿宋_GB2312" w:hAnsi="宋体" w:eastAsia="仿宋_GB2312" w:cs="宋体"/>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875" w:type="dxa"/>
            <w:noWrap w:val="0"/>
            <w:vAlign w:val="center"/>
          </w:tcPr>
          <w:p w14:paraId="3B1B49C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2D6281A1">
            <w:pPr>
              <w:jc w:val="cente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675D3AB0">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1A48F93A">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465" w:type="dxa"/>
            <w:noWrap w:val="0"/>
            <w:vAlign w:val="center"/>
          </w:tcPr>
          <w:p w14:paraId="6250951B">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95" w:type="dxa"/>
            <w:noWrap/>
            <w:vAlign w:val="center"/>
          </w:tcPr>
          <w:p w14:paraId="0DC398AE">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25" w:type="dxa"/>
            <w:noWrap w:val="0"/>
            <w:vAlign w:val="center"/>
          </w:tcPr>
          <w:p w14:paraId="6C03FB39">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50" w:type="dxa"/>
            <w:noWrap/>
            <w:vAlign w:val="center"/>
          </w:tcPr>
          <w:p w14:paraId="52B6A0CD">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10" w:type="dxa"/>
            <w:noWrap w:val="0"/>
            <w:vAlign w:val="center"/>
          </w:tcPr>
          <w:p w14:paraId="6B5C2178">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495" w:type="dxa"/>
            <w:noWrap/>
            <w:vAlign w:val="center"/>
          </w:tcPr>
          <w:p w14:paraId="50C9F5E6">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693A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540" w:type="dxa"/>
            <w:vMerge w:val="restart"/>
            <w:noWrap/>
            <w:vAlign w:val="center"/>
          </w:tcPr>
          <w:p w14:paraId="316F93FE">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9</w:t>
            </w:r>
          </w:p>
        </w:tc>
        <w:tc>
          <w:tcPr>
            <w:tcW w:w="540" w:type="dxa"/>
            <w:vMerge w:val="restart"/>
            <w:noWrap w:val="0"/>
            <w:vAlign w:val="center"/>
          </w:tcPr>
          <w:p w14:paraId="7D786C18">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001" w:type="dxa"/>
            <w:noWrap w:val="0"/>
            <w:vAlign w:val="center"/>
          </w:tcPr>
          <w:p w14:paraId="593BC9BB">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教师培训</w:t>
            </w:r>
          </w:p>
        </w:tc>
        <w:tc>
          <w:tcPr>
            <w:tcW w:w="2655" w:type="dxa"/>
            <w:noWrap w:val="0"/>
            <w:vAlign w:val="center"/>
          </w:tcPr>
          <w:p w14:paraId="205C7092">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教师培训政策文件、培训项目组织实施通知</w:t>
            </w:r>
          </w:p>
        </w:tc>
        <w:tc>
          <w:tcPr>
            <w:tcW w:w="2730" w:type="dxa"/>
            <w:noWrap w:val="0"/>
            <w:vAlign w:val="center"/>
          </w:tcPr>
          <w:p w14:paraId="430DE1F6">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中华人民共和国教育法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中华人民共和国教师法</w:t>
            </w:r>
            <w:r>
              <w:rPr>
                <w:rFonts w:hint="eastAsia" w:ascii="仿宋_GB2312" w:hAnsi="宋体" w:eastAsia="仿宋_GB2312"/>
                <w:color w:val="000000"/>
                <w:sz w:val="18"/>
                <w:szCs w:val="18"/>
              </w:rPr>
              <w:t>》《中小学教师继续教育规定》</w:t>
            </w:r>
          </w:p>
        </w:tc>
        <w:tc>
          <w:tcPr>
            <w:tcW w:w="1875" w:type="dxa"/>
            <w:noWrap w:val="0"/>
            <w:vAlign w:val="center"/>
          </w:tcPr>
          <w:p w14:paraId="05C6EA2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1545AAE4">
            <w:pPr>
              <w:jc w:val="cente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5F597CD2">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387D8277">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465" w:type="dxa"/>
            <w:noWrap/>
            <w:vAlign w:val="center"/>
          </w:tcPr>
          <w:p w14:paraId="655E119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3A607E3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4545BE5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045DCB8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0D51B41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6CD25D4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4947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C71287C">
            <w:pPr>
              <w:rPr>
                <w:rFonts w:hint="eastAsia" w:ascii="仿宋_GB2312" w:hAnsi="宋体" w:eastAsia="仿宋_GB2312" w:cs="宋体"/>
                <w:color w:val="000000"/>
                <w:sz w:val="18"/>
                <w:szCs w:val="18"/>
              </w:rPr>
            </w:pPr>
          </w:p>
        </w:tc>
        <w:tc>
          <w:tcPr>
            <w:tcW w:w="540" w:type="dxa"/>
            <w:vMerge w:val="continue"/>
            <w:noWrap w:val="0"/>
            <w:vAlign w:val="center"/>
          </w:tcPr>
          <w:p w14:paraId="1FECF974">
            <w:pPr>
              <w:rPr>
                <w:rFonts w:hint="eastAsia" w:ascii="仿宋_GB2312" w:hAnsi="宋体" w:eastAsia="仿宋_GB2312" w:cs="宋体"/>
                <w:color w:val="000000"/>
                <w:sz w:val="18"/>
                <w:szCs w:val="18"/>
              </w:rPr>
            </w:pPr>
          </w:p>
        </w:tc>
        <w:tc>
          <w:tcPr>
            <w:tcW w:w="1001" w:type="dxa"/>
            <w:vMerge w:val="restart"/>
            <w:noWrap w:val="0"/>
            <w:vAlign w:val="center"/>
          </w:tcPr>
          <w:p w14:paraId="1AB0E341">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w:t>
            </w:r>
          </w:p>
        </w:tc>
        <w:tc>
          <w:tcPr>
            <w:tcW w:w="2655" w:type="dxa"/>
            <w:noWrap w:val="0"/>
            <w:vAlign w:val="center"/>
          </w:tcPr>
          <w:p w14:paraId="566A8D30">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教师资格认定申请材料；参加体检时间、医疗机构名单、体检合格标准；认定结果；咨询方式、监督举报方式、常见问题等</w:t>
            </w:r>
          </w:p>
        </w:tc>
        <w:tc>
          <w:tcPr>
            <w:tcW w:w="2730" w:type="dxa"/>
            <w:vMerge w:val="restart"/>
            <w:noWrap w:val="0"/>
            <w:vAlign w:val="center"/>
          </w:tcPr>
          <w:p w14:paraId="4F798390">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中华人民共和国教师法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》《教师资格条例》及实施办法、《教育部关于印发〈教师资格证书管理规定〉的通知》</w:t>
            </w:r>
          </w:p>
        </w:tc>
        <w:tc>
          <w:tcPr>
            <w:tcW w:w="1875" w:type="dxa"/>
            <w:noWrap w:val="0"/>
            <w:vAlign w:val="center"/>
          </w:tcPr>
          <w:p w14:paraId="616440F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3F855D0F">
            <w:pPr>
              <w:jc w:val="center"/>
              <w:rPr>
                <w:rFonts w:hint="eastAsia" w:ascii="仿宋_GB2312" w:hAnsi="仿宋" w:eastAsia="仿宋_GB2312" w:cs="宋体"/>
                <w:color w:val="000000"/>
                <w:sz w:val="18"/>
                <w:szCs w:val="18"/>
                <w:lang w:eastAsia="zh-CN"/>
              </w:rPr>
            </w:pPr>
            <w:r>
              <w:rPr>
                <w:rFonts w:hint="eastAsia" w:ascii="仿宋_GB2312" w:hAnsi="仿宋" w:eastAsia="仿宋_GB2312" w:cs="宋体"/>
                <w:color w:val="000000"/>
                <w:sz w:val="18"/>
                <w:szCs w:val="18"/>
                <w:lang w:eastAsia="zh-CN"/>
              </w:rPr>
              <w:t>峨边彝族自治县行政审批局</w:t>
            </w:r>
          </w:p>
        </w:tc>
        <w:tc>
          <w:tcPr>
            <w:tcW w:w="1860" w:type="dxa"/>
            <w:noWrap w:val="0"/>
            <w:vAlign w:val="center"/>
          </w:tcPr>
          <w:p w14:paraId="0C10A298">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465" w:type="dxa"/>
            <w:noWrap/>
            <w:vAlign w:val="center"/>
          </w:tcPr>
          <w:p w14:paraId="16DC3A3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6A260A5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5A5260C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026AF29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00AE8FE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784CE1D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3994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540" w:type="dxa"/>
            <w:vMerge w:val="continue"/>
            <w:noWrap w:val="0"/>
            <w:vAlign w:val="center"/>
          </w:tcPr>
          <w:p w14:paraId="78E19268">
            <w:pPr>
              <w:rPr>
                <w:rFonts w:hint="eastAsia" w:ascii="仿宋_GB2312" w:hAnsi="宋体" w:eastAsia="仿宋_GB2312" w:cs="宋体"/>
                <w:color w:val="000000"/>
                <w:sz w:val="18"/>
                <w:szCs w:val="18"/>
              </w:rPr>
            </w:pPr>
          </w:p>
        </w:tc>
        <w:tc>
          <w:tcPr>
            <w:tcW w:w="540" w:type="dxa"/>
            <w:vMerge w:val="continue"/>
            <w:noWrap w:val="0"/>
            <w:vAlign w:val="center"/>
          </w:tcPr>
          <w:p w14:paraId="6391D97B">
            <w:pPr>
              <w:rPr>
                <w:rFonts w:hint="eastAsia" w:ascii="仿宋_GB2312" w:hAnsi="宋体" w:eastAsia="仿宋_GB2312" w:cs="宋体"/>
                <w:color w:val="000000"/>
                <w:sz w:val="18"/>
                <w:szCs w:val="18"/>
              </w:rPr>
            </w:pPr>
          </w:p>
        </w:tc>
        <w:tc>
          <w:tcPr>
            <w:tcW w:w="1001" w:type="dxa"/>
            <w:vMerge w:val="continue"/>
            <w:noWrap w:val="0"/>
            <w:vAlign w:val="center"/>
          </w:tcPr>
          <w:p w14:paraId="71C2C02B">
            <w:pPr>
              <w:jc w:val="center"/>
              <w:rPr>
                <w:rFonts w:hint="eastAsia" w:ascii="仿宋_GB2312" w:hAnsi="宋体" w:eastAsia="仿宋_GB2312" w:cs="宋体"/>
                <w:color w:val="000000"/>
                <w:sz w:val="18"/>
                <w:szCs w:val="18"/>
              </w:rPr>
            </w:pPr>
          </w:p>
        </w:tc>
        <w:tc>
          <w:tcPr>
            <w:tcW w:w="2655" w:type="dxa"/>
            <w:noWrap w:val="0"/>
            <w:vAlign w:val="center"/>
          </w:tcPr>
          <w:p w14:paraId="4E3BEB1C">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中小学、幼儿园教师资格证书补发、换发政策及流程</w:t>
            </w:r>
          </w:p>
        </w:tc>
        <w:tc>
          <w:tcPr>
            <w:tcW w:w="2730" w:type="dxa"/>
            <w:vMerge w:val="continue"/>
            <w:noWrap w:val="0"/>
            <w:vAlign w:val="center"/>
          </w:tcPr>
          <w:p w14:paraId="00A091B6">
            <w:pPr>
              <w:jc w:val="center"/>
              <w:rPr>
                <w:rFonts w:hint="eastAsia" w:ascii="仿宋_GB2312" w:hAnsi="宋体" w:eastAsia="仿宋_GB2312" w:cs="宋体"/>
                <w:color w:val="000000"/>
                <w:sz w:val="18"/>
                <w:szCs w:val="18"/>
              </w:rPr>
            </w:pPr>
          </w:p>
        </w:tc>
        <w:tc>
          <w:tcPr>
            <w:tcW w:w="1875" w:type="dxa"/>
            <w:noWrap w:val="0"/>
            <w:vAlign w:val="center"/>
          </w:tcPr>
          <w:p w14:paraId="4A93D06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100E86B2">
            <w:pPr>
              <w:jc w:val="center"/>
              <w:rPr>
                <w:rFonts w:hint="default" w:ascii="仿宋_GB2312" w:hAnsi="仿宋" w:eastAsia="仿宋_GB2312" w:cs="宋体"/>
                <w:color w:val="000000"/>
                <w:sz w:val="18"/>
                <w:szCs w:val="18"/>
                <w:lang w:val="en-US"/>
              </w:rPr>
            </w:pPr>
            <w:r>
              <w:rPr>
                <w:rFonts w:hint="eastAsia" w:ascii="仿宋_GB2312" w:hAnsi="仿宋" w:eastAsia="仿宋_GB2312" w:cs="宋体"/>
                <w:color w:val="000000"/>
                <w:sz w:val="18"/>
                <w:szCs w:val="18"/>
                <w:lang w:eastAsia="zh-CN"/>
              </w:rPr>
              <w:t>峨边彝族自治县行政审批局</w:t>
            </w:r>
          </w:p>
        </w:tc>
        <w:tc>
          <w:tcPr>
            <w:tcW w:w="1860" w:type="dxa"/>
            <w:noWrap w:val="0"/>
            <w:vAlign w:val="center"/>
          </w:tcPr>
          <w:p w14:paraId="33F255E1">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465" w:type="dxa"/>
            <w:noWrap/>
            <w:vAlign w:val="center"/>
          </w:tcPr>
          <w:p w14:paraId="37DCF3B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183C3AE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080E824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6F93A4A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25C7AF2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4A510D5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7C4D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246FCF78">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olor w:val="000000"/>
                <w:sz w:val="18"/>
                <w:szCs w:val="18"/>
                <w:lang w:val="en-US" w:eastAsia="zh-CN"/>
              </w:rPr>
              <w:t>10</w:t>
            </w:r>
          </w:p>
        </w:tc>
        <w:tc>
          <w:tcPr>
            <w:tcW w:w="540" w:type="dxa"/>
            <w:noWrap w:val="0"/>
            <w:vAlign w:val="center"/>
          </w:tcPr>
          <w:p w14:paraId="70A6B372">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001" w:type="dxa"/>
            <w:noWrap w:val="0"/>
            <w:vAlign w:val="center"/>
          </w:tcPr>
          <w:p w14:paraId="7F527337">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教师公开招聘</w:t>
            </w:r>
          </w:p>
        </w:tc>
        <w:tc>
          <w:tcPr>
            <w:tcW w:w="2655" w:type="dxa"/>
            <w:noWrap w:val="0"/>
            <w:vAlign w:val="center"/>
          </w:tcPr>
          <w:p w14:paraId="57C22E20">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教师招聘计划和公告、拟聘用人员名单公示</w:t>
            </w:r>
          </w:p>
        </w:tc>
        <w:tc>
          <w:tcPr>
            <w:tcW w:w="2730" w:type="dxa"/>
            <w:noWrap w:val="0"/>
            <w:vAlign w:val="center"/>
          </w:tcPr>
          <w:p w14:paraId="6D854ACD">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》《事业单位公开招聘人员暂行规定》《关于进一步规范事业单位公开招聘工作的通知》《人力资源社会保障部关于事业单位公开招聘岗位条件设置有关问题的通知》</w:t>
            </w:r>
          </w:p>
        </w:tc>
        <w:tc>
          <w:tcPr>
            <w:tcW w:w="1875" w:type="dxa"/>
            <w:noWrap w:val="0"/>
            <w:vAlign w:val="center"/>
          </w:tcPr>
          <w:p w14:paraId="5DD3888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52D41CA1">
            <w:pPr>
              <w:jc w:val="cente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08CE9E72">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35335117">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14:paraId="0C4F4858">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14:paraId="28199898">
            <w:pPr>
              <w:jc w:val="left"/>
              <w:rPr>
                <w:rFonts w:hint="eastAsia" w:ascii="仿宋_GB2312" w:hAnsi="仿宋" w:eastAsia="仿宋_GB2312" w:cs="宋体"/>
                <w:color w:val="000000"/>
                <w:sz w:val="18"/>
                <w:szCs w:val="18"/>
              </w:rPr>
            </w:pPr>
            <w:r>
              <w:rPr>
                <w:rFonts w:hint="eastAsia" w:ascii="仿宋_GB2312" w:hAnsi="仿宋" w:eastAsia="仿宋_GB2312"/>
                <w:color w:val="auto"/>
                <w:sz w:val="18"/>
                <w:szCs w:val="18"/>
              </w:rPr>
              <w:sym w:font="Wingdings 2" w:char="00A3"/>
            </w:r>
            <w:r>
              <w:rPr>
                <w:rFonts w:hint="eastAsia" w:ascii="仿宋_GB2312" w:hAnsi="仿宋" w:eastAsia="仿宋_GB2312"/>
                <w:color w:val="auto"/>
                <w:sz w:val="18"/>
                <w:szCs w:val="18"/>
              </w:rPr>
              <w:t>纸质媒体</w:t>
            </w:r>
            <w:r>
              <w:rPr>
                <w:rFonts w:hint="eastAsia" w:ascii="仿宋_GB2312" w:hAnsi="仿宋" w:eastAsia="仿宋_GB2312"/>
                <w:color w:val="000000"/>
                <w:sz w:val="18"/>
                <w:szCs w:val="18"/>
              </w:rPr>
              <w:t xml:space="preserve">           ■社区/企事业单位/村公示栏（电子屏）    </w:t>
            </w:r>
          </w:p>
        </w:tc>
        <w:tc>
          <w:tcPr>
            <w:tcW w:w="465" w:type="dxa"/>
            <w:noWrap/>
            <w:vAlign w:val="center"/>
          </w:tcPr>
          <w:p w14:paraId="3AB48B8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39D0F28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1FB0577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2AA8F41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1303A25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3A15F54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1FCB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540" w:type="dxa"/>
            <w:vMerge w:val="restart"/>
            <w:noWrap/>
            <w:vAlign w:val="center"/>
          </w:tcPr>
          <w:p w14:paraId="3D52EBCF">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olor w:val="000000"/>
                <w:sz w:val="18"/>
                <w:szCs w:val="18"/>
                <w:lang w:val="en-US" w:eastAsia="zh-CN"/>
              </w:rPr>
              <w:t>11</w:t>
            </w:r>
          </w:p>
        </w:tc>
        <w:tc>
          <w:tcPr>
            <w:tcW w:w="540" w:type="dxa"/>
            <w:vMerge w:val="restart"/>
            <w:noWrap w:val="0"/>
            <w:vAlign w:val="center"/>
          </w:tcPr>
          <w:p w14:paraId="30076216">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001" w:type="dxa"/>
            <w:vMerge w:val="restart"/>
            <w:noWrap w:val="0"/>
            <w:vAlign w:val="center"/>
          </w:tcPr>
          <w:p w14:paraId="1D028F04">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教师</w:t>
            </w:r>
          </w:p>
          <w:p w14:paraId="5120243A">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行为</w:t>
            </w:r>
          </w:p>
          <w:p w14:paraId="120A4E6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规范</w:t>
            </w:r>
          </w:p>
        </w:tc>
        <w:tc>
          <w:tcPr>
            <w:tcW w:w="2655" w:type="dxa"/>
            <w:noWrap w:val="0"/>
            <w:vAlign w:val="center"/>
          </w:tcPr>
          <w:p w14:paraId="748EFCFF">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教师职业行为准则及违规处理办法</w:t>
            </w:r>
          </w:p>
        </w:tc>
        <w:tc>
          <w:tcPr>
            <w:tcW w:w="2730" w:type="dxa"/>
            <w:vMerge w:val="restart"/>
            <w:noWrap w:val="0"/>
            <w:vAlign w:val="center"/>
          </w:tcPr>
          <w:p w14:paraId="6F6EA18A">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》《新时代高校教师职业行为十项准则》《新时代中小学教师职业行为十项准则》《新时代幼儿园教师职业行为十项准则》《中小学教师违反职业道德行为处理办法（2018年修订）</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幼儿园教师违反职业道德行为处理办法》等</w:t>
            </w:r>
          </w:p>
        </w:tc>
        <w:tc>
          <w:tcPr>
            <w:tcW w:w="1875" w:type="dxa"/>
            <w:noWrap w:val="0"/>
            <w:vAlign w:val="center"/>
          </w:tcPr>
          <w:p w14:paraId="2DF089F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2A8103A9">
            <w:pPr>
              <w:jc w:val="cente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46D8680F">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5E04AA97">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465" w:type="dxa"/>
            <w:noWrap w:val="0"/>
            <w:vAlign w:val="center"/>
          </w:tcPr>
          <w:p w14:paraId="0AC84AC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0"/>
            <w:vAlign w:val="center"/>
          </w:tcPr>
          <w:p w14:paraId="19A1CC1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0"/>
            <w:vAlign w:val="center"/>
          </w:tcPr>
          <w:p w14:paraId="104A133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0"/>
            <w:vAlign w:val="center"/>
          </w:tcPr>
          <w:p w14:paraId="148FE53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0"/>
            <w:vAlign w:val="center"/>
          </w:tcPr>
          <w:p w14:paraId="28834AC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0"/>
            <w:vAlign w:val="center"/>
          </w:tcPr>
          <w:p w14:paraId="5A26ED8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082B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3" w:hRule="atLeast"/>
        </w:trPr>
        <w:tc>
          <w:tcPr>
            <w:tcW w:w="540" w:type="dxa"/>
            <w:vMerge w:val="continue"/>
            <w:noWrap w:val="0"/>
            <w:vAlign w:val="center"/>
          </w:tcPr>
          <w:p w14:paraId="1664D97E">
            <w:pPr>
              <w:rPr>
                <w:rFonts w:hint="eastAsia" w:ascii="仿宋_GB2312" w:hAnsi="宋体" w:eastAsia="仿宋_GB2312" w:cs="宋体"/>
                <w:color w:val="000000"/>
                <w:sz w:val="18"/>
                <w:szCs w:val="18"/>
              </w:rPr>
            </w:pPr>
          </w:p>
        </w:tc>
        <w:tc>
          <w:tcPr>
            <w:tcW w:w="540" w:type="dxa"/>
            <w:vMerge w:val="continue"/>
            <w:noWrap w:val="0"/>
            <w:vAlign w:val="center"/>
          </w:tcPr>
          <w:p w14:paraId="72A2A447">
            <w:pPr>
              <w:rPr>
                <w:rFonts w:hint="eastAsia" w:ascii="仿宋_GB2312" w:hAnsi="宋体" w:eastAsia="仿宋_GB2312" w:cs="宋体"/>
                <w:color w:val="000000"/>
                <w:sz w:val="18"/>
                <w:szCs w:val="18"/>
              </w:rPr>
            </w:pPr>
          </w:p>
        </w:tc>
        <w:tc>
          <w:tcPr>
            <w:tcW w:w="1001" w:type="dxa"/>
            <w:vMerge w:val="continue"/>
            <w:noWrap w:val="0"/>
            <w:vAlign w:val="center"/>
          </w:tcPr>
          <w:p w14:paraId="5149FF63">
            <w:pPr>
              <w:jc w:val="center"/>
              <w:rPr>
                <w:rFonts w:hint="eastAsia" w:ascii="仿宋_GB2312" w:hAnsi="宋体" w:eastAsia="仿宋_GB2312" w:cs="宋体"/>
                <w:color w:val="000000"/>
                <w:sz w:val="18"/>
                <w:szCs w:val="18"/>
              </w:rPr>
            </w:pPr>
          </w:p>
        </w:tc>
        <w:tc>
          <w:tcPr>
            <w:tcW w:w="2655" w:type="dxa"/>
            <w:noWrap w:val="0"/>
            <w:vAlign w:val="center"/>
          </w:tcPr>
          <w:p w14:paraId="2E1C5D6A">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对教师有严重违反教师职业行为准则的行政处罚信息</w:t>
            </w:r>
          </w:p>
        </w:tc>
        <w:tc>
          <w:tcPr>
            <w:tcW w:w="2730" w:type="dxa"/>
            <w:vMerge w:val="continue"/>
            <w:noWrap w:val="0"/>
            <w:vAlign w:val="center"/>
          </w:tcPr>
          <w:p w14:paraId="1172DA52">
            <w:pPr>
              <w:jc w:val="center"/>
              <w:rPr>
                <w:rFonts w:hint="eastAsia" w:ascii="仿宋_GB2312" w:hAnsi="宋体" w:eastAsia="仿宋_GB2312" w:cs="宋体"/>
                <w:color w:val="000000"/>
                <w:sz w:val="18"/>
                <w:szCs w:val="18"/>
              </w:rPr>
            </w:pPr>
          </w:p>
        </w:tc>
        <w:tc>
          <w:tcPr>
            <w:tcW w:w="1875" w:type="dxa"/>
            <w:noWrap w:val="0"/>
            <w:vAlign w:val="center"/>
          </w:tcPr>
          <w:p w14:paraId="1FFC3FD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626DD995">
            <w:pPr>
              <w:jc w:val="cente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7E3360EC">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465" w:type="dxa"/>
            <w:noWrap w:val="0"/>
            <w:vAlign w:val="center"/>
          </w:tcPr>
          <w:p w14:paraId="3210EBA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0"/>
            <w:vAlign w:val="center"/>
          </w:tcPr>
          <w:p w14:paraId="4A004D5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0"/>
            <w:vAlign w:val="center"/>
          </w:tcPr>
          <w:p w14:paraId="6475CF0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0"/>
            <w:vAlign w:val="center"/>
          </w:tcPr>
          <w:p w14:paraId="4C87E62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0"/>
            <w:vAlign w:val="center"/>
          </w:tcPr>
          <w:p w14:paraId="30E29A1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0"/>
            <w:vAlign w:val="center"/>
          </w:tcPr>
          <w:p w14:paraId="62EF749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698B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14:paraId="057E8C5A">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olor w:val="000000"/>
                <w:sz w:val="18"/>
                <w:szCs w:val="18"/>
                <w:lang w:val="en-US" w:eastAsia="zh-CN"/>
              </w:rPr>
              <w:t>12</w:t>
            </w:r>
          </w:p>
        </w:tc>
        <w:tc>
          <w:tcPr>
            <w:tcW w:w="540" w:type="dxa"/>
            <w:vMerge w:val="restart"/>
            <w:noWrap w:val="0"/>
            <w:vAlign w:val="center"/>
          </w:tcPr>
          <w:p w14:paraId="061DD91C">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001" w:type="dxa"/>
            <w:vMerge w:val="restart"/>
            <w:noWrap w:val="0"/>
            <w:vAlign w:val="center"/>
          </w:tcPr>
          <w:p w14:paraId="14ABA7FC">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教师评优评先</w:t>
            </w:r>
          </w:p>
        </w:tc>
        <w:tc>
          <w:tcPr>
            <w:tcW w:w="2655" w:type="dxa"/>
            <w:noWrap w:val="0"/>
            <w:vAlign w:val="center"/>
          </w:tcPr>
          <w:p w14:paraId="31E5DBBC">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优秀教师的表彰、奖励等行政奖励信息公示</w:t>
            </w:r>
          </w:p>
        </w:tc>
        <w:tc>
          <w:tcPr>
            <w:tcW w:w="2730" w:type="dxa"/>
            <w:noWrap w:val="0"/>
            <w:vAlign w:val="center"/>
          </w:tcPr>
          <w:p w14:paraId="1F69178F">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中华人民共和国教师法</w:t>
            </w:r>
            <w:r>
              <w:rPr>
                <w:rFonts w:hint="eastAsia" w:ascii="仿宋_GB2312" w:hAnsi="宋体" w:eastAsia="仿宋_GB2312"/>
                <w:color w:val="000000"/>
                <w:sz w:val="18"/>
                <w:szCs w:val="18"/>
              </w:rPr>
              <w:t>》《中共中央 国务院关于全面深化新时代教师队伍建设改革的意见》</w:t>
            </w:r>
          </w:p>
        </w:tc>
        <w:tc>
          <w:tcPr>
            <w:tcW w:w="1875" w:type="dxa"/>
            <w:noWrap w:val="0"/>
            <w:vAlign w:val="center"/>
          </w:tcPr>
          <w:p w14:paraId="1F811D2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484D3D67">
            <w:pPr>
              <w:jc w:val="cente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0A79B610">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465" w:type="dxa"/>
            <w:noWrap w:val="0"/>
            <w:vAlign w:val="center"/>
          </w:tcPr>
          <w:p w14:paraId="190AE48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0"/>
            <w:vAlign w:val="center"/>
          </w:tcPr>
          <w:p w14:paraId="02477B3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0"/>
            <w:vAlign w:val="center"/>
          </w:tcPr>
          <w:p w14:paraId="0281274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0"/>
            <w:vAlign w:val="center"/>
          </w:tcPr>
          <w:p w14:paraId="43D9F08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0"/>
            <w:vAlign w:val="center"/>
          </w:tcPr>
          <w:p w14:paraId="0BBE086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0"/>
            <w:vAlign w:val="center"/>
          </w:tcPr>
          <w:p w14:paraId="6A5657B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764E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0A00238A">
            <w:pPr>
              <w:rPr>
                <w:rFonts w:hint="eastAsia" w:ascii="仿宋_GB2312" w:hAnsi="宋体" w:eastAsia="仿宋_GB2312" w:cs="宋体"/>
                <w:color w:val="000000"/>
                <w:sz w:val="18"/>
                <w:szCs w:val="18"/>
              </w:rPr>
            </w:pPr>
          </w:p>
        </w:tc>
        <w:tc>
          <w:tcPr>
            <w:tcW w:w="540" w:type="dxa"/>
            <w:vMerge w:val="continue"/>
            <w:noWrap w:val="0"/>
            <w:vAlign w:val="center"/>
          </w:tcPr>
          <w:p w14:paraId="72C945D1">
            <w:pPr>
              <w:rPr>
                <w:rFonts w:hint="eastAsia" w:ascii="仿宋_GB2312" w:hAnsi="宋体" w:eastAsia="仿宋_GB2312" w:cs="宋体"/>
                <w:color w:val="000000"/>
                <w:sz w:val="18"/>
                <w:szCs w:val="18"/>
              </w:rPr>
            </w:pPr>
          </w:p>
        </w:tc>
        <w:tc>
          <w:tcPr>
            <w:tcW w:w="1001" w:type="dxa"/>
            <w:vMerge w:val="continue"/>
            <w:noWrap w:val="0"/>
            <w:vAlign w:val="center"/>
          </w:tcPr>
          <w:p w14:paraId="6966A4BB">
            <w:pPr>
              <w:jc w:val="center"/>
              <w:rPr>
                <w:rFonts w:hint="eastAsia" w:ascii="仿宋_GB2312" w:hAnsi="宋体" w:eastAsia="仿宋_GB2312" w:cs="宋体"/>
                <w:color w:val="000000"/>
                <w:sz w:val="18"/>
                <w:szCs w:val="18"/>
              </w:rPr>
            </w:pPr>
          </w:p>
        </w:tc>
        <w:tc>
          <w:tcPr>
            <w:tcW w:w="2655" w:type="dxa"/>
            <w:noWrap w:val="0"/>
            <w:vAlign w:val="center"/>
          </w:tcPr>
          <w:p w14:paraId="4E7F4E6A">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任教30年乡村教师以上教师申请荣誉证书相关政策</w:t>
            </w:r>
          </w:p>
        </w:tc>
        <w:tc>
          <w:tcPr>
            <w:tcW w:w="2730" w:type="dxa"/>
            <w:noWrap w:val="0"/>
            <w:vAlign w:val="center"/>
          </w:tcPr>
          <w:p w14:paraId="7C62D40D">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》《关于做好乡村学校从教30年教师荣誉证书颁发工作的通知》</w:t>
            </w:r>
          </w:p>
        </w:tc>
        <w:tc>
          <w:tcPr>
            <w:tcW w:w="1875" w:type="dxa"/>
            <w:noWrap w:val="0"/>
            <w:vAlign w:val="center"/>
          </w:tcPr>
          <w:p w14:paraId="2B1A9DC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78EF69AF">
            <w:pPr>
              <w:jc w:val="cente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00B7F0CE">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465" w:type="dxa"/>
            <w:noWrap w:val="0"/>
            <w:vAlign w:val="center"/>
          </w:tcPr>
          <w:p w14:paraId="0AED1AC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0"/>
            <w:vAlign w:val="center"/>
          </w:tcPr>
          <w:p w14:paraId="3E7EF6F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0"/>
            <w:vAlign w:val="center"/>
          </w:tcPr>
          <w:p w14:paraId="651D097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0"/>
            <w:vAlign w:val="center"/>
          </w:tcPr>
          <w:p w14:paraId="66C1303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0"/>
            <w:vAlign w:val="center"/>
          </w:tcPr>
          <w:p w14:paraId="12238C0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0"/>
            <w:vAlign w:val="center"/>
          </w:tcPr>
          <w:p w14:paraId="1ED8F95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3220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512610C5">
            <w:pPr>
              <w:rPr>
                <w:rFonts w:hint="eastAsia" w:ascii="仿宋_GB2312" w:hAnsi="宋体" w:eastAsia="仿宋_GB2312" w:cs="宋体"/>
                <w:color w:val="000000"/>
                <w:sz w:val="18"/>
                <w:szCs w:val="18"/>
              </w:rPr>
            </w:pPr>
          </w:p>
        </w:tc>
        <w:tc>
          <w:tcPr>
            <w:tcW w:w="540" w:type="dxa"/>
            <w:vMerge w:val="continue"/>
            <w:noWrap w:val="0"/>
            <w:vAlign w:val="center"/>
          </w:tcPr>
          <w:p w14:paraId="75367D14">
            <w:pPr>
              <w:rPr>
                <w:rFonts w:hint="eastAsia" w:ascii="仿宋_GB2312" w:hAnsi="宋体" w:eastAsia="仿宋_GB2312" w:cs="宋体"/>
                <w:color w:val="000000"/>
                <w:sz w:val="18"/>
                <w:szCs w:val="18"/>
              </w:rPr>
            </w:pPr>
          </w:p>
        </w:tc>
        <w:tc>
          <w:tcPr>
            <w:tcW w:w="1001" w:type="dxa"/>
            <w:noWrap w:val="0"/>
            <w:vAlign w:val="center"/>
          </w:tcPr>
          <w:p w14:paraId="26D0D5EA">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655" w:type="dxa"/>
            <w:noWrap w:val="0"/>
            <w:vAlign w:val="center"/>
          </w:tcPr>
          <w:p w14:paraId="6962F73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评审政策、评审通知、学校拟推荐人选名单、评审结果</w:t>
            </w:r>
          </w:p>
          <w:p w14:paraId="3EC42626">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最终结果</w:t>
            </w:r>
          </w:p>
        </w:tc>
        <w:tc>
          <w:tcPr>
            <w:tcW w:w="2730" w:type="dxa"/>
            <w:noWrap w:val="0"/>
            <w:vAlign w:val="center"/>
          </w:tcPr>
          <w:p w14:paraId="2605D3DB">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》《人力资源社会保障部教育部关于印发深化中小学教师职称制度改革的指导意见的通知》</w:t>
            </w:r>
          </w:p>
        </w:tc>
        <w:tc>
          <w:tcPr>
            <w:tcW w:w="1875" w:type="dxa"/>
            <w:noWrap w:val="0"/>
            <w:vAlign w:val="center"/>
          </w:tcPr>
          <w:p w14:paraId="5887D5E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545" w:type="dxa"/>
            <w:noWrap w:val="0"/>
            <w:vAlign w:val="center"/>
          </w:tcPr>
          <w:p w14:paraId="18975617">
            <w:pPr>
              <w:jc w:val="cente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500597EF">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465" w:type="dxa"/>
            <w:noWrap/>
            <w:vAlign w:val="center"/>
          </w:tcPr>
          <w:p w14:paraId="39DEF15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95" w:type="dxa"/>
            <w:noWrap/>
            <w:vAlign w:val="center"/>
          </w:tcPr>
          <w:p w14:paraId="6E0FF28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25" w:type="dxa"/>
            <w:noWrap w:val="0"/>
            <w:vAlign w:val="center"/>
          </w:tcPr>
          <w:p w14:paraId="7F0B4D5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047A953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0"/>
            <w:vAlign w:val="center"/>
          </w:tcPr>
          <w:p w14:paraId="3F65ACC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0"/>
            <w:vAlign w:val="center"/>
          </w:tcPr>
          <w:p w14:paraId="406AB03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0584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003F79F4">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olor w:val="000000"/>
                <w:sz w:val="18"/>
                <w:szCs w:val="18"/>
                <w:lang w:val="en-US" w:eastAsia="zh-CN"/>
              </w:rPr>
              <w:t>13</w:t>
            </w:r>
          </w:p>
        </w:tc>
        <w:tc>
          <w:tcPr>
            <w:tcW w:w="540" w:type="dxa"/>
            <w:noWrap w:val="0"/>
            <w:vAlign w:val="center"/>
          </w:tcPr>
          <w:p w14:paraId="5D80CC4F">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001" w:type="dxa"/>
            <w:noWrap w:val="0"/>
            <w:vAlign w:val="center"/>
          </w:tcPr>
          <w:p w14:paraId="5B60E6C8">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特岗教师招聘</w:t>
            </w:r>
          </w:p>
        </w:tc>
        <w:tc>
          <w:tcPr>
            <w:tcW w:w="2655" w:type="dxa"/>
            <w:noWrap w:val="0"/>
            <w:vAlign w:val="center"/>
          </w:tcPr>
          <w:p w14:paraId="47476531">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岗位设置管理政策、条件、程序等；特岗教师招聘文件及招聘公告；初审结果；笔试成绩；资格复审结果；参加面试人员、面试成绩；进入考察人员名单；拟聘用人员名单；最终聘用结果</w:t>
            </w:r>
          </w:p>
        </w:tc>
        <w:tc>
          <w:tcPr>
            <w:tcW w:w="2730" w:type="dxa"/>
            <w:noWrap w:val="0"/>
            <w:vAlign w:val="center"/>
          </w:tcPr>
          <w:p w14:paraId="4E1F797A">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1875" w:type="dxa"/>
            <w:noWrap w:val="0"/>
            <w:vAlign w:val="center"/>
          </w:tcPr>
          <w:p w14:paraId="5F1D2A5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545" w:type="dxa"/>
            <w:noWrap w:val="0"/>
            <w:vAlign w:val="center"/>
          </w:tcPr>
          <w:p w14:paraId="4DD82DDE">
            <w:pPr>
              <w:jc w:val="cente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41D1D151">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6384694F">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465" w:type="dxa"/>
            <w:noWrap/>
            <w:vAlign w:val="center"/>
          </w:tcPr>
          <w:p w14:paraId="40B7B88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95" w:type="dxa"/>
            <w:noWrap w:val="0"/>
            <w:vAlign w:val="center"/>
          </w:tcPr>
          <w:p w14:paraId="615F5D52">
            <w:pPr>
              <w:jc w:val="center"/>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应聘</w:t>
            </w:r>
          </w:p>
          <w:p w14:paraId="7E8958B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人员</w:t>
            </w:r>
          </w:p>
        </w:tc>
        <w:tc>
          <w:tcPr>
            <w:tcW w:w="525" w:type="dxa"/>
            <w:noWrap w:val="0"/>
            <w:vAlign w:val="center"/>
          </w:tcPr>
          <w:p w14:paraId="0FCF8D4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4F9E0F3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0"/>
            <w:vAlign w:val="center"/>
          </w:tcPr>
          <w:p w14:paraId="2B41450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365A3C7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687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3" w:hRule="atLeast"/>
        </w:trPr>
        <w:tc>
          <w:tcPr>
            <w:tcW w:w="540" w:type="dxa"/>
            <w:vMerge w:val="restart"/>
            <w:noWrap/>
            <w:vAlign w:val="center"/>
          </w:tcPr>
          <w:p w14:paraId="188045E1">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olor w:val="000000"/>
                <w:sz w:val="18"/>
                <w:szCs w:val="18"/>
                <w:lang w:val="en-US" w:eastAsia="zh-CN"/>
              </w:rPr>
              <w:t>14</w:t>
            </w:r>
          </w:p>
        </w:tc>
        <w:tc>
          <w:tcPr>
            <w:tcW w:w="540" w:type="dxa"/>
            <w:vMerge w:val="restart"/>
            <w:noWrap w:val="0"/>
            <w:vAlign w:val="center"/>
          </w:tcPr>
          <w:p w14:paraId="3EB8ED85">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001" w:type="dxa"/>
            <w:noWrap w:val="0"/>
            <w:vAlign w:val="center"/>
          </w:tcPr>
          <w:p w14:paraId="17D8EB6E">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乡村教师生活补助</w:t>
            </w:r>
          </w:p>
        </w:tc>
        <w:tc>
          <w:tcPr>
            <w:tcW w:w="2655" w:type="dxa"/>
            <w:noWrap w:val="0"/>
            <w:vAlign w:val="center"/>
          </w:tcPr>
          <w:p w14:paraId="154D6D05">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管理制度、实施方案、实施时间、补助范围、发放对象、补助档次标准、发放情况</w:t>
            </w:r>
          </w:p>
        </w:tc>
        <w:tc>
          <w:tcPr>
            <w:tcW w:w="2730" w:type="dxa"/>
            <w:noWrap w:val="0"/>
            <w:vAlign w:val="center"/>
          </w:tcPr>
          <w:p w14:paraId="1EF7674D">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》《教育部 财政部关于落实2013年中央1号文件要求对在连片特困地区工作的乡村教师给予生活补助的通知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教育部关于加强乡村教师生活补助经费管理有关工作的通知》</w:t>
            </w:r>
          </w:p>
        </w:tc>
        <w:tc>
          <w:tcPr>
            <w:tcW w:w="1875" w:type="dxa"/>
            <w:noWrap w:val="0"/>
            <w:vAlign w:val="center"/>
          </w:tcPr>
          <w:p w14:paraId="56AA0D2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信息形成（变更）3个工作日内；教师申领情况进行常年公示</w:t>
            </w:r>
          </w:p>
        </w:tc>
        <w:tc>
          <w:tcPr>
            <w:tcW w:w="1545" w:type="dxa"/>
            <w:noWrap w:val="0"/>
            <w:vAlign w:val="center"/>
          </w:tcPr>
          <w:p w14:paraId="4CF11949">
            <w:pPr>
              <w:jc w:val="cente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0AA68A93">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23C03664">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■两微一端           ■公开查阅点</w:t>
            </w:r>
          </w:p>
        </w:tc>
        <w:tc>
          <w:tcPr>
            <w:tcW w:w="465" w:type="dxa"/>
            <w:noWrap w:val="0"/>
            <w:vAlign w:val="center"/>
          </w:tcPr>
          <w:p w14:paraId="32B303D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14EF1317">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0"/>
            <w:vAlign w:val="center"/>
          </w:tcPr>
          <w:p w14:paraId="05711EA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6A12C64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0"/>
            <w:vAlign w:val="center"/>
          </w:tcPr>
          <w:p w14:paraId="6767449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6078C53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3E62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540" w:type="dxa"/>
            <w:vMerge w:val="continue"/>
            <w:noWrap w:val="0"/>
            <w:vAlign w:val="center"/>
          </w:tcPr>
          <w:p w14:paraId="0278136E">
            <w:pPr>
              <w:rPr>
                <w:rFonts w:hint="eastAsia" w:ascii="仿宋_GB2312" w:hAnsi="宋体" w:eastAsia="仿宋_GB2312" w:cs="宋体"/>
                <w:color w:val="000000"/>
                <w:sz w:val="18"/>
                <w:szCs w:val="18"/>
              </w:rPr>
            </w:pPr>
          </w:p>
        </w:tc>
        <w:tc>
          <w:tcPr>
            <w:tcW w:w="540" w:type="dxa"/>
            <w:vMerge w:val="continue"/>
            <w:noWrap w:val="0"/>
            <w:vAlign w:val="center"/>
          </w:tcPr>
          <w:p w14:paraId="37ED92C8">
            <w:pPr>
              <w:rPr>
                <w:rFonts w:hint="eastAsia" w:ascii="仿宋_GB2312" w:hAnsi="宋体" w:eastAsia="仿宋_GB2312" w:cs="宋体"/>
                <w:color w:val="000000"/>
                <w:sz w:val="18"/>
                <w:szCs w:val="18"/>
              </w:rPr>
            </w:pPr>
          </w:p>
        </w:tc>
        <w:tc>
          <w:tcPr>
            <w:tcW w:w="1001" w:type="dxa"/>
            <w:noWrap w:val="0"/>
            <w:vAlign w:val="center"/>
          </w:tcPr>
          <w:p w14:paraId="68EFFDE6">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普通话培训及测试</w:t>
            </w:r>
          </w:p>
        </w:tc>
        <w:tc>
          <w:tcPr>
            <w:tcW w:w="2655" w:type="dxa"/>
            <w:noWrap w:val="0"/>
            <w:vAlign w:val="center"/>
          </w:tcPr>
          <w:p w14:paraId="2A660D0A">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开展普通话培训、测试的通知；测试结果查询</w:t>
            </w:r>
          </w:p>
        </w:tc>
        <w:tc>
          <w:tcPr>
            <w:tcW w:w="2730" w:type="dxa"/>
            <w:noWrap w:val="0"/>
            <w:vAlign w:val="center"/>
          </w:tcPr>
          <w:p w14:paraId="39022001">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》《普通话水平测试管理规定》</w:t>
            </w:r>
          </w:p>
        </w:tc>
        <w:tc>
          <w:tcPr>
            <w:tcW w:w="1875" w:type="dxa"/>
            <w:noWrap w:val="0"/>
            <w:vAlign w:val="center"/>
          </w:tcPr>
          <w:p w14:paraId="066DB58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459C820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乐山</w:t>
            </w:r>
            <w:r>
              <w:rPr>
                <w:rFonts w:hint="eastAsia" w:ascii="仿宋_GB2312" w:hAnsi="仿宋" w:eastAsia="仿宋_GB2312"/>
                <w:color w:val="000000"/>
                <w:sz w:val="18"/>
                <w:szCs w:val="18"/>
              </w:rPr>
              <w:t>市</w:t>
            </w:r>
            <w:r>
              <w:rPr>
                <w:rFonts w:hint="eastAsia" w:ascii="仿宋_GB2312" w:hAnsi="仿宋" w:eastAsia="仿宋_GB2312"/>
                <w:color w:val="000000"/>
                <w:sz w:val="18"/>
                <w:szCs w:val="18"/>
                <w:lang w:eastAsia="zh-CN"/>
              </w:rPr>
              <w:t>级语言测试机构</w:t>
            </w:r>
          </w:p>
        </w:tc>
        <w:tc>
          <w:tcPr>
            <w:tcW w:w="1860" w:type="dxa"/>
            <w:noWrap w:val="0"/>
            <w:vAlign w:val="center"/>
          </w:tcPr>
          <w:p w14:paraId="54E4A366">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470E3AA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465" w:type="dxa"/>
            <w:noWrap w:val="0"/>
            <w:vAlign w:val="center"/>
          </w:tcPr>
          <w:p w14:paraId="5F21F38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0"/>
            <w:vAlign w:val="center"/>
          </w:tcPr>
          <w:p w14:paraId="7707331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0"/>
            <w:vAlign w:val="center"/>
          </w:tcPr>
          <w:p w14:paraId="2810452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0"/>
            <w:vAlign w:val="center"/>
          </w:tcPr>
          <w:p w14:paraId="2901093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0"/>
            <w:vAlign w:val="center"/>
          </w:tcPr>
          <w:p w14:paraId="7325F68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0"/>
            <w:vAlign w:val="center"/>
          </w:tcPr>
          <w:p w14:paraId="221B79C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46C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2" w:hRule="atLeast"/>
        </w:trPr>
        <w:tc>
          <w:tcPr>
            <w:tcW w:w="540" w:type="dxa"/>
            <w:vMerge w:val="restart"/>
            <w:noWrap/>
            <w:vAlign w:val="center"/>
          </w:tcPr>
          <w:p w14:paraId="256C8F9B">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olor w:val="000000"/>
                <w:sz w:val="18"/>
                <w:szCs w:val="18"/>
                <w:lang w:val="en-US" w:eastAsia="zh-CN"/>
              </w:rPr>
              <w:t>15</w:t>
            </w:r>
          </w:p>
        </w:tc>
        <w:tc>
          <w:tcPr>
            <w:tcW w:w="540" w:type="dxa"/>
            <w:noWrap w:val="0"/>
            <w:vAlign w:val="center"/>
          </w:tcPr>
          <w:p w14:paraId="5C3D714E">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1001" w:type="dxa"/>
            <w:noWrap w:val="0"/>
            <w:vAlign w:val="center"/>
          </w:tcPr>
          <w:p w14:paraId="419A82A7">
            <w:pPr>
              <w:jc w:val="center"/>
              <w:rPr>
                <w:rFonts w:hint="eastAsia" w:ascii="仿宋_GB2312" w:hAnsi="宋体" w:eastAsia="仿宋_GB2312" w:cs="宋体"/>
                <w:sz w:val="18"/>
                <w:szCs w:val="18"/>
              </w:rPr>
            </w:pPr>
            <w:r>
              <w:rPr>
                <w:rFonts w:hint="eastAsia" w:ascii="仿宋_GB2312" w:hAnsi="宋体" w:eastAsia="仿宋_GB2312"/>
                <w:sz w:val="18"/>
                <w:szCs w:val="18"/>
              </w:rPr>
              <w:t>控辍保学</w:t>
            </w:r>
          </w:p>
        </w:tc>
        <w:tc>
          <w:tcPr>
            <w:tcW w:w="2655" w:type="dxa"/>
            <w:noWrap w:val="0"/>
            <w:vAlign w:val="center"/>
          </w:tcPr>
          <w:p w14:paraId="0C148D54">
            <w:pPr>
              <w:jc w:val="center"/>
              <w:rPr>
                <w:rFonts w:hint="eastAsia"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730" w:type="dxa"/>
            <w:noWrap w:val="0"/>
            <w:vAlign w:val="center"/>
          </w:tcPr>
          <w:p w14:paraId="1C17E027">
            <w:pPr>
              <w:jc w:val="center"/>
              <w:rPr>
                <w:rFonts w:hint="eastAsia" w:ascii="仿宋_GB2312" w:hAnsi="宋体" w:eastAsia="仿宋_GB2312" w:cs="宋体"/>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》《国务院办公厅关于进一步加强控辍保学提高义务教育巩固水平的通知》</w:t>
            </w:r>
          </w:p>
        </w:tc>
        <w:tc>
          <w:tcPr>
            <w:tcW w:w="1875" w:type="dxa"/>
            <w:noWrap w:val="0"/>
            <w:vAlign w:val="center"/>
          </w:tcPr>
          <w:p w14:paraId="27ED2E9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6BBBAEB1">
            <w:pPr>
              <w:jc w:val="cente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7084AA66">
            <w:pPr>
              <w:spacing w:line="240" w:lineRule="exact"/>
              <w:rPr>
                <w:rFonts w:hint="eastAsia" w:ascii="仿宋_GB2312" w:hAnsi="仿宋" w:eastAsia="仿宋_GB2312"/>
                <w:sz w:val="18"/>
                <w:szCs w:val="18"/>
              </w:rPr>
            </w:pPr>
            <w:r>
              <w:rPr>
                <w:rFonts w:hint="eastAsia" w:ascii="仿宋_GB2312" w:hAnsi="仿宋" w:eastAsia="仿宋_GB2312"/>
                <w:sz w:val="18"/>
                <w:szCs w:val="18"/>
              </w:rPr>
              <w:t>■政府网站</w:t>
            </w:r>
          </w:p>
          <w:p w14:paraId="273464E9">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465" w:type="dxa"/>
            <w:noWrap/>
            <w:vAlign w:val="center"/>
          </w:tcPr>
          <w:p w14:paraId="384C41F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556586C4">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25" w:type="dxa"/>
            <w:noWrap/>
            <w:vAlign w:val="center"/>
          </w:tcPr>
          <w:p w14:paraId="1AB9C3C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2FEEB0EE">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10" w:type="dxa"/>
            <w:noWrap/>
            <w:vAlign w:val="center"/>
          </w:tcPr>
          <w:p w14:paraId="4EFC794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53C831C9">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871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trPr>
        <w:tc>
          <w:tcPr>
            <w:tcW w:w="540" w:type="dxa"/>
            <w:vMerge w:val="continue"/>
            <w:noWrap w:val="0"/>
            <w:vAlign w:val="center"/>
          </w:tcPr>
          <w:p w14:paraId="7F9AE48A">
            <w:pPr>
              <w:jc w:val="center"/>
              <w:rPr>
                <w:rFonts w:hint="eastAsia" w:ascii="仿宋_GB2312" w:hAnsi="宋体" w:eastAsia="仿宋_GB2312" w:cs="宋体"/>
                <w:color w:val="000000"/>
                <w:sz w:val="18"/>
                <w:szCs w:val="18"/>
              </w:rPr>
            </w:pPr>
          </w:p>
        </w:tc>
        <w:tc>
          <w:tcPr>
            <w:tcW w:w="540" w:type="dxa"/>
            <w:vMerge w:val="restart"/>
            <w:noWrap w:val="0"/>
            <w:vAlign w:val="center"/>
          </w:tcPr>
          <w:p w14:paraId="1438D9A1">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重要政策执行情况</w:t>
            </w:r>
          </w:p>
        </w:tc>
        <w:tc>
          <w:tcPr>
            <w:tcW w:w="1001" w:type="dxa"/>
            <w:vMerge w:val="restart"/>
            <w:noWrap w:val="0"/>
            <w:vAlign w:val="center"/>
          </w:tcPr>
          <w:p w14:paraId="175520DE">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农村义务教育学生营养改善计划</w:t>
            </w:r>
          </w:p>
        </w:tc>
        <w:tc>
          <w:tcPr>
            <w:tcW w:w="2655" w:type="dxa"/>
            <w:noWrap w:val="0"/>
            <w:vAlign w:val="center"/>
          </w:tcPr>
          <w:p w14:paraId="382225CE">
            <w:pPr>
              <w:jc w:val="center"/>
              <w:rPr>
                <w:rFonts w:hint="eastAsia" w:ascii="仿宋_GB2312" w:hAnsi="宋体" w:eastAsia="仿宋_GB2312" w:cs="宋体"/>
                <w:sz w:val="18"/>
                <w:szCs w:val="18"/>
              </w:rPr>
            </w:pPr>
            <w:r>
              <w:rPr>
                <w:rFonts w:hint="eastAsia" w:ascii="仿宋_GB2312" w:hAnsi="宋体" w:eastAsia="仿宋_GB2312"/>
                <w:sz w:val="18"/>
                <w:szCs w:val="18"/>
              </w:rPr>
              <w:t>有关政策法规、规章、规范性文件；组织机构和职责，举报电话、信箱或电子邮箱；供餐企业、托餐家庭名单</w:t>
            </w:r>
          </w:p>
        </w:tc>
        <w:tc>
          <w:tcPr>
            <w:tcW w:w="2730" w:type="dxa"/>
            <w:vMerge w:val="restart"/>
            <w:noWrap w:val="0"/>
            <w:vAlign w:val="center"/>
          </w:tcPr>
          <w:p w14:paraId="3DA3C4BB">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p>
          <w:p w14:paraId="3DB279F6">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1875" w:type="dxa"/>
            <w:noWrap w:val="0"/>
            <w:vAlign w:val="center"/>
          </w:tcPr>
          <w:p w14:paraId="3A875C0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6D581D9D">
            <w:pPr>
              <w:jc w:val="center"/>
              <w:rPr>
                <w:rFonts w:hint="eastAsia" w:ascii="仿宋_GB2312" w:hAnsi="仿宋" w:eastAsia="仿宋_GB2312" w:cs="宋体"/>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003C992D">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14:paraId="793763C9">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14:paraId="52FEAE7C">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■广播电视  </w:t>
            </w:r>
          </w:p>
          <w:p w14:paraId="225BBD99">
            <w:pPr>
              <w:spacing w:line="240" w:lineRule="exact"/>
              <w:jc w:val="left"/>
              <w:rPr>
                <w:rFonts w:hint="eastAsia" w:ascii="仿宋_GB2312" w:hAnsi="仿宋" w:eastAsia="仿宋_GB2312"/>
                <w:sz w:val="18"/>
                <w:szCs w:val="18"/>
              </w:rPr>
            </w:pPr>
            <w:r>
              <w:rPr>
                <w:rFonts w:hint="eastAsia" w:ascii="仿宋_GB2312" w:hAnsi="仿宋" w:eastAsia="仿宋_GB2312"/>
                <w:color w:val="auto"/>
                <w:sz w:val="18"/>
                <w:szCs w:val="18"/>
              </w:rPr>
              <w:sym w:font="Wingdings 2" w:char="00A3"/>
            </w:r>
            <w:r>
              <w:rPr>
                <w:rFonts w:hint="eastAsia" w:ascii="仿宋_GB2312" w:hAnsi="仿宋" w:eastAsia="仿宋_GB2312"/>
                <w:color w:val="auto"/>
                <w:sz w:val="18"/>
                <w:szCs w:val="18"/>
              </w:rPr>
              <w:t>纸质媒体</w:t>
            </w:r>
            <w:r>
              <w:rPr>
                <w:rFonts w:hint="eastAsia" w:ascii="仿宋_GB2312" w:hAnsi="仿宋" w:eastAsia="仿宋_GB2312"/>
                <w:sz w:val="18"/>
                <w:szCs w:val="18"/>
              </w:rPr>
              <w:t xml:space="preserve">           ■公开查阅点</w:t>
            </w:r>
          </w:p>
          <w:p w14:paraId="246423B8">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■便民服务站   </w:t>
            </w:r>
          </w:p>
        </w:tc>
        <w:tc>
          <w:tcPr>
            <w:tcW w:w="465" w:type="dxa"/>
            <w:noWrap/>
            <w:vAlign w:val="center"/>
          </w:tcPr>
          <w:p w14:paraId="2700D1C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3E8A62A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505A60E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6A52350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71D07DB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7090C39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B03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5" w:hRule="atLeast"/>
        </w:trPr>
        <w:tc>
          <w:tcPr>
            <w:tcW w:w="540" w:type="dxa"/>
            <w:vMerge w:val="continue"/>
            <w:noWrap w:val="0"/>
            <w:vAlign w:val="center"/>
          </w:tcPr>
          <w:p w14:paraId="76A7DB49">
            <w:pPr>
              <w:rPr>
                <w:rFonts w:hint="eastAsia" w:ascii="仿宋_GB2312" w:hAnsi="宋体" w:eastAsia="仿宋_GB2312" w:cs="宋体"/>
                <w:color w:val="000000"/>
                <w:sz w:val="18"/>
                <w:szCs w:val="18"/>
              </w:rPr>
            </w:pPr>
          </w:p>
        </w:tc>
        <w:tc>
          <w:tcPr>
            <w:tcW w:w="540" w:type="dxa"/>
            <w:vMerge w:val="continue"/>
            <w:noWrap w:val="0"/>
            <w:vAlign w:val="center"/>
          </w:tcPr>
          <w:p w14:paraId="32F821D4">
            <w:pPr>
              <w:rPr>
                <w:rFonts w:hint="eastAsia" w:ascii="仿宋_GB2312" w:hAnsi="宋体" w:eastAsia="仿宋_GB2312" w:cs="宋体"/>
                <w:color w:val="000000"/>
                <w:sz w:val="18"/>
                <w:szCs w:val="18"/>
              </w:rPr>
            </w:pPr>
          </w:p>
        </w:tc>
        <w:tc>
          <w:tcPr>
            <w:tcW w:w="1001" w:type="dxa"/>
            <w:vMerge w:val="continue"/>
            <w:noWrap w:val="0"/>
            <w:vAlign w:val="center"/>
          </w:tcPr>
          <w:p w14:paraId="2CD7C6D0">
            <w:pPr>
              <w:jc w:val="center"/>
              <w:rPr>
                <w:rFonts w:hint="eastAsia" w:ascii="仿宋_GB2312" w:hAnsi="宋体" w:eastAsia="仿宋_GB2312" w:cs="宋体"/>
                <w:color w:val="000000"/>
                <w:sz w:val="18"/>
                <w:szCs w:val="18"/>
              </w:rPr>
            </w:pPr>
          </w:p>
        </w:tc>
        <w:tc>
          <w:tcPr>
            <w:tcW w:w="2655" w:type="dxa"/>
            <w:noWrap w:val="0"/>
            <w:vAlign w:val="center"/>
          </w:tcPr>
          <w:p w14:paraId="4A1E3A18">
            <w:pPr>
              <w:jc w:val="center"/>
              <w:rPr>
                <w:rFonts w:hint="eastAsia" w:ascii="仿宋_GB2312" w:hAnsi="宋体" w:eastAsia="仿宋_GB2312" w:cs="宋体"/>
                <w:sz w:val="18"/>
                <w:szCs w:val="18"/>
              </w:rPr>
            </w:pPr>
            <w:r>
              <w:rPr>
                <w:rFonts w:hint="eastAsia" w:ascii="仿宋_GB2312" w:hAnsi="宋体" w:eastAsia="仿宋_GB2312"/>
                <w:sz w:val="18"/>
                <w:szCs w:val="18"/>
              </w:rPr>
              <w:t>学校食堂饭菜价格、带量食谱；学校膳食委员会名单；学校管理人员陪餐情况；食品安全突发事件应急预案</w:t>
            </w:r>
          </w:p>
        </w:tc>
        <w:tc>
          <w:tcPr>
            <w:tcW w:w="2730" w:type="dxa"/>
            <w:vMerge w:val="continue"/>
            <w:noWrap w:val="0"/>
            <w:vAlign w:val="center"/>
          </w:tcPr>
          <w:p w14:paraId="7A9A9F98">
            <w:pPr>
              <w:jc w:val="center"/>
              <w:rPr>
                <w:rFonts w:hint="eastAsia" w:ascii="仿宋_GB2312" w:hAnsi="宋体" w:eastAsia="仿宋_GB2312" w:cs="宋体"/>
                <w:color w:val="000000"/>
                <w:sz w:val="18"/>
                <w:szCs w:val="18"/>
              </w:rPr>
            </w:pPr>
          </w:p>
        </w:tc>
        <w:tc>
          <w:tcPr>
            <w:tcW w:w="1875" w:type="dxa"/>
            <w:noWrap w:val="0"/>
            <w:vAlign w:val="center"/>
          </w:tcPr>
          <w:p w14:paraId="6273FD5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4E74559B">
            <w:pPr>
              <w:jc w:val="center"/>
              <w:rPr>
                <w:rFonts w:hint="eastAsia" w:ascii="仿宋_GB2312" w:hAnsi="仿宋" w:eastAsia="仿宋_GB2312" w:cs="宋体"/>
                <w:sz w:val="18"/>
                <w:szCs w:val="18"/>
              </w:rPr>
            </w:pPr>
            <w:r>
              <w:rPr>
                <w:rFonts w:hint="eastAsia" w:ascii="仿宋_GB2312" w:hAnsi="仿宋" w:eastAsia="仿宋_GB2312"/>
                <w:sz w:val="18"/>
                <w:szCs w:val="18"/>
              </w:rPr>
              <w:t>实施营养改善计划的试点学校</w:t>
            </w:r>
          </w:p>
        </w:tc>
        <w:tc>
          <w:tcPr>
            <w:tcW w:w="1860" w:type="dxa"/>
            <w:noWrap w:val="0"/>
            <w:vAlign w:val="center"/>
          </w:tcPr>
          <w:p w14:paraId="4BEE615F">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14:paraId="6B65A4F1">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14:paraId="5C64EC9A">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■广播电视  </w:t>
            </w:r>
          </w:p>
          <w:p w14:paraId="7D3A12B5">
            <w:pPr>
              <w:spacing w:line="240" w:lineRule="exact"/>
              <w:jc w:val="left"/>
              <w:rPr>
                <w:rFonts w:hint="eastAsia" w:ascii="仿宋_GB2312" w:hAnsi="仿宋" w:eastAsia="仿宋_GB2312" w:cs="宋体"/>
                <w:sz w:val="18"/>
                <w:szCs w:val="18"/>
              </w:rPr>
            </w:pPr>
            <w:r>
              <w:rPr>
                <w:rFonts w:hint="eastAsia" w:ascii="仿宋_GB2312" w:hAnsi="仿宋" w:eastAsia="仿宋_GB2312"/>
                <w:color w:val="auto"/>
                <w:sz w:val="18"/>
                <w:szCs w:val="18"/>
              </w:rPr>
              <w:sym w:font="Wingdings 2" w:char="00A3"/>
            </w:r>
            <w:r>
              <w:rPr>
                <w:rFonts w:hint="eastAsia" w:ascii="仿宋_GB2312" w:hAnsi="仿宋" w:eastAsia="仿宋_GB2312"/>
                <w:color w:val="auto"/>
                <w:sz w:val="18"/>
                <w:szCs w:val="18"/>
              </w:rPr>
              <w:t>纸质媒体</w:t>
            </w:r>
            <w:r>
              <w:rPr>
                <w:rFonts w:hint="eastAsia" w:ascii="仿宋_GB2312" w:hAnsi="仿宋" w:eastAsia="仿宋_GB2312"/>
                <w:sz w:val="18"/>
                <w:szCs w:val="18"/>
              </w:rPr>
              <w:t xml:space="preserve">           ■公开查阅点 </w:t>
            </w:r>
          </w:p>
        </w:tc>
        <w:tc>
          <w:tcPr>
            <w:tcW w:w="465" w:type="dxa"/>
            <w:noWrap/>
            <w:vAlign w:val="center"/>
          </w:tcPr>
          <w:p w14:paraId="17E4EA6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596AC8A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3F3A634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34580B5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6E288D0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423E94B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D41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540" w:type="dxa"/>
            <w:vMerge w:val="continue"/>
            <w:noWrap w:val="0"/>
            <w:vAlign w:val="center"/>
          </w:tcPr>
          <w:p w14:paraId="154ADDC3">
            <w:pPr>
              <w:rPr>
                <w:rFonts w:hint="eastAsia" w:ascii="仿宋_GB2312" w:hAnsi="宋体" w:eastAsia="仿宋_GB2312" w:cs="宋体"/>
                <w:color w:val="000000"/>
                <w:sz w:val="18"/>
                <w:szCs w:val="18"/>
              </w:rPr>
            </w:pPr>
          </w:p>
        </w:tc>
        <w:tc>
          <w:tcPr>
            <w:tcW w:w="540" w:type="dxa"/>
            <w:vMerge w:val="continue"/>
            <w:noWrap w:val="0"/>
            <w:vAlign w:val="center"/>
          </w:tcPr>
          <w:p w14:paraId="775ADF06">
            <w:pPr>
              <w:rPr>
                <w:rFonts w:hint="eastAsia" w:ascii="仿宋_GB2312" w:hAnsi="宋体" w:eastAsia="仿宋_GB2312" w:cs="宋体"/>
                <w:color w:val="000000"/>
                <w:sz w:val="18"/>
                <w:szCs w:val="18"/>
              </w:rPr>
            </w:pPr>
          </w:p>
        </w:tc>
        <w:tc>
          <w:tcPr>
            <w:tcW w:w="1001" w:type="dxa"/>
            <w:vMerge w:val="continue"/>
            <w:noWrap w:val="0"/>
            <w:vAlign w:val="center"/>
          </w:tcPr>
          <w:p w14:paraId="08BA1591">
            <w:pPr>
              <w:jc w:val="center"/>
              <w:rPr>
                <w:rFonts w:hint="eastAsia" w:ascii="仿宋_GB2312" w:hAnsi="宋体" w:eastAsia="仿宋_GB2312" w:cs="宋体"/>
                <w:color w:val="000000"/>
                <w:sz w:val="18"/>
                <w:szCs w:val="18"/>
              </w:rPr>
            </w:pPr>
          </w:p>
        </w:tc>
        <w:tc>
          <w:tcPr>
            <w:tcW w:w="2655" w:type="dxa"/>
            <w:noWrap w:val="0"/>
            <w:vAlign w:val="center"/>
          </w:tcPr>
          <w:p w14:paraId="0294ACB8">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供餐企业（单位）配套管理制度，食品安全责任人、供餐方签约人；食品安全突发事件应急预案</w:t>
            </w:r>
          </w:p>
        </w:tc>
        <w:tc>
          <w:tcPr>
            <w:tcW w:w="2730" w:type="dxa"/>
            <w:vMerge w:val="continue"/>
            <w:noWrap w:val="0"/>
            <w:vAlign w:val="center"/>
          </w:tcPr>
          <w:p w14:paraId="57521E9E">
            <w:pPr>
              <w:jc w:val="center"/>
              <w:rPr>
                <w:rFonts w:hint="eastAsia" w:ascii="仿宋_GB2312" w:hAnsi="宋体" w:eastAsia="仿宋_GB2312" w:cs="宋体"/>
                <w:color w:val="000000"/>
                <w:sz w:val="18"/>
                <w:szCs w:val="18"/>
              </w:rPr>
            </w:pPr>
          </w:p>
        </w:tc>
        <w:tc>
          <w:tcPr>
            <w:tcW w:w="1875" w:type="dxa"/>
            <w:noWrap w:val="0"/>
            <w:vAlign w:val="center"/>
          </w:tcPr>
          <w:p w14:paraId="4B200D9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1B9A251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实施营养改善计划的供餐企业（单位）</w:t>
            </w:r>
          </w:p>
        </w:tc>
        <w:tc>
          <w:tcPr>
            <w:tcW w:w="1860" w:type="dxa"/>
            <w:noWrap w:val="0"/>
            <w:vAlign w:val="center"/>
          </w:tcPr>
          <w:p w14:paraId="14EDCD89">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35E50121">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14:paraId="7347BACB">
            <w:pPr>
              <w:spacing w:line="240" w:lineRule="exact"/>
              <w:jc w:val="left"/>
              <w:rPr>
                <w:rFonts w:hint="eastAsia" w:ascii="仿宋_GB2312" w:hAnsi="仿宋" w:eastAsia="仿宋_GB2312"/>
                <w:color w:val="auto"/>
                <w:sz w:val="18"/>
                <w:szCs w:val="18"/>
              </w:rPr>
            </w:pPr>
            <w:r>
              <w:rPr>
                <w:rFonts w:hint="eastAsia" w:ascii="仿宋_GB2312" w:hAnsi="仿宋" w:eastAsia="仿宋_GB2312"/>
                <w:color w:val="auto"/>
                <w:sz w:val="18"/>
                <w:szCs w:val="18"/>
              </w:rPr>
              <w:t xml:space="preserve">■广播电视  </w:t>
            </w:r>
          </w:p>
          <w:p w14:paraId="669232E3">
            <w:pPr>
              <w:spacing w:line="240" w:lineRule="exact"/>
              <w:jc w:val="left"/>
              <w:rPr>
                <w:rFonts w:hint="eastAsia" w:ascii="仿宋_GB2312" w:hAnsi="仿宋" w:eastAsia="仿宋_GB2312" w:cs="宋体"/>
                <w:sz w:val="18"/>
                <w:szCs w:val="18"/>
              </w:rPr>
            </w:pPr>
            <w:r>
              <w:rPr>
                <w:rFonts w:hint="eastAsia" w:ascii="仿宋_GB2312" w:hAnsi="仿宋" w:eastAsia="仿宋_GB2312"/>
                <w:color w:val="auto"/>
                <w:sz w:val="18"/>
                <w:szCs w:val="18"/>
              </w:rPr>
              <w:sym w:font="Wingdings 2" w:char="00A3"/>
            </w:r>
            <w:r>
              <w:rPr>
                <w:rFonts w:hint="eastAsia" w:ascii="仿宋_GB2312" w:hAnsi="仿宋" w:eastAsia="仿宋_GB2312"/>
                <w:color w:val="auto"/>
                <w:sz w:val="18"/>
                <w:szCs w:val="18"/>
              </w:rPr>
              <w:t>纸质媒体</w:t>
            </w:r>
            <w:r>
              <w:rPr>
                <w:rFonts w:hint="eastAsia" w:ascii="仿宋_GB2312" w:hAnsi="仿宋" w:eastAsia="仿宋_GB2312"/>
                <w:sz w:val="18"/>
                <w:szCs w:val="18"/>
              </w:rPr>
              <w:t xml:space="preserve">           ■公开查阅点  </w:t>
            </w:r>
          </w:p>
        </w:tc>
        <w:tc>
          <w:tcPr>
            <w:tcW w:w="465" w:type="dxa"/>
            <w:noWrap/>
            <w:vAlign w:val="center"/>
          </w:tcPr>
          <w:p w14:paraId="0A298F0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281D710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7DA8E83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6B902C6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779AF59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6BA08E8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480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691953C0">
            <w:pPr>
              <w:jc w:val="center"/>
              <w:rPr>
                <w:rFonts w:hint="default" w:ascii="仿宋_GB2312" w:hAnsi="宋体" w:eastAsia="仿宋_GB2312" w:cs="宋体"/>
                <w:sz w:val="18"/>
                <w:szCs w:val="18"/>
                <w:lang w:val="en-US" w:eastAsia="zh-CN"/>
              </w:rPr>
            </w:pPr>
            <w:r>
              <w:rPr>
                <w:rFonts w:hint="eastAsia" w:ascii="仿宋_GB2312" w:hAnsi="宋体" w:eastAsia="仿宋_GB2312"/>
                <w:sz w:val="18"/>
                <w:szCs w:val="18"/>
                <w:lang w:val="en-US" w:eastAsia="zh-CN"/>
              </w:rPr>
              <w:t>16</w:t>
            </w:r>
          </w:p>
        </w:tc>
        <w:tc>
          <w:tcPr>
            <w:tcW w:w="540" w:type="dxa"/>
            <w:vMerge w:val="restart"/>
            <w:noWrap w:val="0"/>
            <w:vAlign w:val="center"/>
          </w:tcPr>
          <w:p w14:paraId="1AD55C90">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1001" w:type="dxa"/>
            <w:noWrap w:val="0"/>
            <w:vAlign w:val="center"/>
          </w:tcPr>
          <w:p w14:paraId="4B50E06A">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2655" w:type="dxa"/>
            <w:noWrap w:val="0"/>
            <w:vAlign w:val="center"/>
          </w:tcPr>
          <w:p w14:paraId="385000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730" w:type="dxa"/>
            <w:noWrap w:val="0"/>
            <w:vAlign w:val="center"/>
          </w:tcPr>
          <w:p w14:paraId="6A4315BB">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》、教育部关于印发《学生体质健康监测评价办法》等三个文件的通知</w:t>
            </w:r>
          </w:p>
        </w:tc>
        <w:tc>
          <w:tcPr>
            <w:tcW w:w="1875" w:type="dxa"/>
            <w:noWrap w:val="0"/>
            <w:vAlign w:val="center"/>
          </w:tcPr>
          <w:p w14:paraId="3C7E093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41A3B484">
            <w:pPr>
              <w:jc w:val="center"/>
              <w:rPr>
                <w:rFonts w:hint="eastAsia" w:ascii="仿宋_GB2312" w:hAnsi="仿宋" w:eastAsia="仿宋_GB2312" w:cs="宋体"/>
                <w:sz w:val="18"/>
                <w:szCs w:val="18"/>
                <w:lang w:eastAsia="zh-CN"/>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49A711CC">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465" w:type="dxa"/>
            <w:noWrap/>
            <w:vAlign w:val="center"/>
          </w:tcPr>
          <w:p w14:paraId="18A7F19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234AFEA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6355096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1C17B7A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4F17147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045A567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313C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653977D8">
            <w:pPr>
              <w:rPr>
                <w:rFonts w:hint="eastAsia" w:ascii="仿宋_GB2312" w:hAnsi="宋体" w:eastAsia="仿宋_GB2312" w:cs="宋体"/>
                <w:sz w:val="18"/>
                <w:szCs w:val="18"/>
              </w:rPr>
            </w:pPr>
          </w:p>
        </w:tc>
        <w:tc>
          <w:tcPr>
            <w:tcW w:w="540" w:type="dxa"/>
            <w:vMerge w:val="continue"/>
            <w:noWrap w:val="0"/>
            <w:vAlign w:val="center"/>
          </w:tcPr>
          <w:p w14:paraId="68172B61">
            <w:pPr>
              <w:jc w:val="center"/>
              <w:rPr>
                <w:rFonts w:hint="eastAsia" w:ascii="仿宋_GB2312" w:hAnsi="宋体" w:eastAsia="仿宋_GB2312" w:cs="宋体"/>
                <w:sz w:val="18"/>
                <w:szCs w:val="18"/>
              </w:rPr>
            </w:pPr>
          </w:p>
        </w:tc>
        <w:tc>
          <w:tcPr>
            <w:tcW w:w="1001" w:type="dxa"/>
            <w:noWrap w:val="0"/>
            <w:vAlign w:val="center"/>
          </w:tcPr>
          <w:p w14:paraId="00FED892">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2655" w:type="dxa"/>
            <w:noWrap w:val="0"/>
            <w:vAlign w:val="center"/>
          </w:tcPr>
          <w:p w14:paraId="7347FF6E">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730" w:type="dxa"/>
            <w:noWrap w:val="0"/>
            <w:vAlign w:val="center"/>
          </w:tcPr>
          <w:p w14:paraId="135D5F9B">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》、教育部关于印发《中小学生艺术素质测评办法》等三个文件的通知</w:t>
            </w:r>
          </w:p>
        </w:tc>
        <w:tc>
          <w:tcPr>
            <w:tcW w:w="1875" w:type="dxa"/>
            <w:noWrap w:val="0"/>
            <w:vAlign w:val="center"/>
          </w:tcPr>
          <w:p w14:paraId="13B7A06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5B8EAB0B">
            <w:pPr>
              <w:jc w:val="center"/>
              <w:rPr>
                <w:rFonts w:hint="eastAsia" w:ascii="仿宋_GB2312" w:hAnsi="仿宋" w:eastAsia="仿宋_GB2312" w:cs="宋体"/>
                <w:sz w:val="18"/>
                <w:szCs w:val="18"/>
                <w:lang w:eastAsia="zh-CN"/>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51A91844">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465" w:type="dxa"/>
            <w:noWrap/>
            <w:vAlign w:val="center"/>
          </w:tcPr>
          <w:p w14:paraId="407D6C5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7DF5863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460634F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2A52C3E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1A37A57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63D50CC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1AC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540" w:type="dxa"/>
            <w:vMerge w:val="restart"/>
            <w:noWrap/>
            <w:vAlign w:val="center"/>
          </w:tcPr>
          <w:p w14:paraId="75D388AC">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olor w:val="000000"/>
                <w:sz w:val="18"/>
                <w:szCs w:val="18"/>
                <w:lang w:val="en-US" w:eastAsia="zh-CN"/>
              </w:rPr>
              <w:t>17</w:t>
            </w:r>
          </w:p>
        </w:tc>
        <w:tc>
          <w:tcPr>
            <w:tcW w:w="540" w:type="dxa"/>
            <w:vMerge w:val="restart"/>
            <w:noWrap w:val="0"/>
            <w:vAlign w:val="center"/>
          </w:tcPr>
          <w:p w14:paraId="2C409C91">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教育督导</w:t>
            </w:r>
          </w:p>
        </w:tc>
        <w:tc>
          <w:tcPr>
            <w:tcW w:w="1001" w:type="dxa"/>
            <w:noWrap w:val="0"/>
            <w:vAlign w:val="center"/>
          </w:tcPr>
          <w:p w14:paraId="45C30715">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机构队伍</w:t>
            </w:r>
          </w:p>
        </w:tc>
        <w:tc>
          <w:tcPr>
            <w:tcW w:w="2655" w:type="dxa"/>
            <w:noWrap w:val="0"/>
            <w:vAlign w:val="center"/>
          </w:tcPr>
          <w:p w14:paraId="7D537E7D">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督导部门组成、督学名单、</w:t>
            </w:r>
          </w:p>
        </w:tc>
        <w:tc>
          <w:tcPr>
            <w:tcW w:w="2730" w:type="dxa"/>
            <w:vMerge w:val="restart"/>
            <w:noWrap w:val="0"/>
            <w:vAlign w:val="center"/>
          </w:tcPr>
          <w:p w14:paraId="126A9CED">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《教育督导条例》《县域义务教育均衡发展督导评估暂行办法》《县域义务教育优质均衡发展督导评估办法》</w:t>
            </w:r>
          </w:p>
        </w:tc>
        <w:tc>
          <w:tcPr>
            <w:tcW w:w="1875" w:type="dxa"/>
            <w:noWrap w:val="0"/>
            <w:vAlign w:val="center"/>
          </w:tcPr>
          <w:p w14:paraId="5BAAEC4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5A54A573">
            <w:pPr>
              <w:jc w:val="cente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6452CEE5">
            <w:pPr>
              <w:rPr>
                <w:rFonts w:hint="eastAsia" w:ascii="仿宋_GB2312" w:hAnsi="仿宋" w:eastAsia="仿宋_GB2312"/>
                <w:sz w:val="18"/>
                <w:szCs w:val="18"/>
                <w:lang w:eastAsia="zh-CN"/>
              </w:rPr>
            </w:pPr>
            <w:r>
              <w:rPr>
                <w:rFonts w:hint="eastAsia" w:ascii="仿宋_GB2312" w:hAnsi="仿宋" w:eastAsia="仿宋_GB2312"/>
                <w:sz w:val="18"/>
                <w:szCs w:val="18"/>
              </w:rPr>
              <w:t xml:space="preserve">■政府网站  </w:t>
            </w:r>
          </w:p>
          <w:p w14:paraId="175BDA52">
            <w:pPr>
              <w:rPr>
                <w:rFonts w:hint="eastAsia" w:ascii="仿宋_GB2312" w:hAnsi="仿宋" w:eastAsia="仿宋_GB2312" w:cs="宋体"/>
                <w:sz w:val="18"/>
                <w:szCs w:val="18"/>
              </w:rPr>
            </w:pPr>
            <w:r>
              <w:rPr>
                <w:rFonts w:hint="eastAsia" w:ascii="仿宋_GB2312" w:hAnsi="仿宋" w:eastAsia="仿宋_GB2312"/>
                <w:sz w:val="18"/>
                <w:szCs w:val="18"/>
              </w:rPr>
              <w:t xml:space="preserve">■两微一端    </w:t>
            </w:r>
          </w:p>
        </w:tc>
        <w:tc>
          <w:tcPr>
            <w:tcW w:w="465" w:type="dxa"/>
            <w:noWrap/>
            <w:vAlign w:val="center"/>
          </w:tcPr>
          <w:p w14:paraId="5D27DE3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577C67E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5086BBE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044FA5F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28C7535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5A63BC49">
            <w:pPr>
              <w:jc w:val="center"/>
              <w:rPr>
                <w:rFonts w:hint="eastAsia" w:ascii="仿宋_GB2312" w:hAnsi="仿宋" w:eastAsia="仿宋_GB2312" w:cs="宋体"/>
                <w:color w:val="000000"/>
                <w:sz w:val="18"/>
                <w:szCs w:val="18"/>
              </w:rPr>
            </w:pPr>
          </w:p>
        </w:tc>
      </w:tr>
      <w:tr w14:paraId="625C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trPr>
        <w:tc>
          <w:tcPr>
            <w:tcW w:w="540" w:type="dxa"/>
            <w:vMerge w:val="continue"/>
            <w:noWrap w:val="0"/>
            <w:vAlign w:val="center"/>
          </w:tcPr>
          <w:p w14:paraId="0A47A903">
            <w:pPr>
              <w:rPr>
                <w:rFonts w:hint="eastAsia" w:ascii="仿宋_GB2312" w:hAnsi="宋体" w:eastAsia="仿宋_GB2312" w:cs="宋体"/>
                <w:color w:val="000000"/>
                <w:sz w:val="18"/>
                <w:szCs w:val="18"/>
              </w:rPr>
            </w:pPr>
          </w:p>
        </w:tc>
        <w:tc>
          <w:tcPr>
            <w:tcW w:w="540" w:type="dxa"/>
            <w:vMerge w:val="continue"/>
            <w:noWrap w:val="0"/>
            <w:vAlign w:val="center"/>
          </w:tcPr>
          <w:p w14:paraId="21DDBF5E">
            <w:pPr>
              <w:rPr>
                <w:rFonts w:hint="eastAsia" w:ascii="仿宋_GB2312" w:hAnsi="宋体" w:eastAsia="仿宋_GB2312" w:cs="宋体"/>
                <w:color w:val="000000"/>
                <w:sz w:val="18"/>
                <w:szCs w:val="18"/>
              </w:rPr>
            </w:pPr>
          </w:p>
        </w:tc>
        <w:tc>
          <w:tcPr>
            <w:tcW w:w="1001" w:type="dxa"/>
            <w:noWrap w:val="0"/>
            <w:vAlign w:val="center"/>
          </w:tcPr>
          <w:p w14:paraId="781597D6">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学校督导评估</w:t>
            </w:r>
          </w:p>
        </w:tc>
        <w:tc>
          <w:tcPr>
            <w:tcW w:w="2655" w:type="dxa"/>
            <w:noWrap w:val="0"/>
            <w:vAlign w:val="center"/>
          </w:tcPr>
          <w:p w14:paraId="163CCB21">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年度督导工作计划内容、责任区划分和责任督学名单、责任督学日常督导事项，学校督导评估的办法、指标体系、督导评估报告</w:t>
            </w:r>
          </w:p>
        </w:tc>
        <w:tc>
          <w:tcPr>
            <w:tcW w:w="2730" w:type="dxa"/>
            <w:vMerge w:val="continue"/>
            <w:noWrap w:val="0"/>
            <w:vAlign w:val="center"/>
          </w:tcPr>
          <w:p w14:paraId="6A64B279">
            <w:pPr>
              <w:jc w:val="center"/>
              <w:rPr>
                <w:rFonts w:hint="eastAsia" w:ascii="仿宋_GB2312" w:hAnsi="宋体" w:eastAsia="仿宋_GB2312" w:cs="宋体"/>
                <w:color w:val="000000"/>
                <w:sz w:val="18"/>
                <w:szCs w:val="18"/>
              </w:rPr>
            </w:pPr>
          </w:p>
        </w:tc>
        <w:tc>
          <w:tcPr>
            <w:tcW w:w="1875" w:type="dxa"/>
            <w:noWrap w:val="0"/>
            <w:vAlign w:val="center"/>
          </w:tcPr>
          <w:p w14:paraId="7AB2C19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1A8CA700">
            <w:pPr>
              <w:jc w:val="cente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26153E90">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0D7F514A">
            <w:pPr>
              <w:rPr>
                <w:rFonts w:hint="eastAsia" w:ascii="仿宋_GB2312" w:hAnsi="仿宋" w:eastAsia="仿宋_GB2312" w:cs="宋体"/>
                <w:sz w:val="18"/>
                <w:szCs w:val="18"/>
              </w:rPr>
            </w:pPr>
            <w:r>
              <w:rPr>
                <w:rFonts w:hint="eastAsia" w:ascii="仿宋_GB2312" w:hAnsi="仿宋" w:eastAsia="仿宋_GB2312"/>
                <w:sz w:val="18"/>
                <w:szCs w:val="18"/>
              </w:rPr>
              <w:t xml:space="preserve">■两微一端   </w:t>
            </w:r>
          </w:p>
        </w:tc>
        <w:tc>
          <w:tcPr>
            <w:tcW w:w="465" w:type="dxa"/>
            <w:noWrap/>
            <w:vAlign w:val="center"/>
          </w:tcPr>
          <w:p w14:paraId="230529C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114B5BA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675DB00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42755D3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3D3C048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036DDF3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E99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vMerge w:val="continue"/>
            <w:noWrap w:val="0"/>
            <w:vAlign w:val="center"/>
          </w:tcPr>
          <w:p w14:paraId="0ECD9902">
            <w:pPr>
              <w:rPr>
                <w:rFonts w:hint="eastAsia" w:ascii="仿宋_GB2312" w:hAnsi="宋体" w:eastAsia="仿宋_GB2312" w:cs="宋体"/>
                <w:color w:val="000000"/>
                <w:sz w:val="18"/>
                <w:szCs w:val="18"/>
              </w:rPr>
            </w:pPr>
          </w:p>
        </w:tc>
        <w:tc>
          <w:tcPr>
            <w:tcW w:w="540" w:type="dxa"/>
            <w:vMerge w:val="continue"/>
            <w:noWrap w:val="0"/>
            <w:vAlign w:val="center"/>
          </w:tcPr>
          <w:p w14:paraId="508B8534">
            <w:pPr>
              <w:rPr>
                <w:rFonts w:hint="eastAsia" w:ascii="仿宋_GB2312" w:hAnsi="宋体" w:eastAsia="仿宋_GB2312" w:cs="宋体"/>
                <w:color w:val="000000"/>
                <w:sz w:val="18"/>
                <w:szCs w:val="18"/>
              </w:rPr>
            </w:pPr>
          </w:p>
        </w:tc>
        <w:tc>
          <w:tcPr>
            <w:tcW w:w="1001" w:type="dxa"/>
            <w:noWrap w:val="0"/>
            <w:vAlign w:val="center"/>
          </w:tcPr>
          <w:p w14:paraId="58FA1E3E">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义务教育均衡发展督导评估</w:t>
            </w:r>
          </w:p>
        </w:tc>
        <w:tc>
          <w:tcPr>
            <w:tcW w:w="2655" w:type="dxa"/>
            <w:noWrap w:val="0"/>
            <w:vAlign w:val="center"/>
          </w:tcPr>
          <w:p w14:paraId="1AA60570">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有关政策文件、职责权限、管理流程、监督方式、年度工作计划等，义务教育均衡发展状况自评方案及结果，省级教育督导机构对县进行督导评估的工作安排、评估结果国务院教育督导委员会对义务教育发展均衡县进行认定的结果、报告</w:t>
            </w:r>
          </w:p>
        </w:tc>
        <w:tc>
          <w:tcPr>
            <w:tcW w:w="2730" w:type="dxa"/>
            <w:vMerge w:val="continue"/>
            <w:noWrap w:val="0"/>
            <w:vAlign w:val="center"/>
          </w:tcPr>
          <w:p w14:paraId="76A50F91">
            <w:pPr>
              <w:jc w:val="center"/>
              <w:rPr>
                <w:rFonts w:hint="eastAsia" w:ascii="仿宋_GB2312" w:hAnsi="宋体" w:eastAsia="仿宋_GB2312" w:cs="宋体"/>
                <w:color w:val="000000"/>
                <w:sz w:val="18"/>
                <w:szCs w:val="18"/>
              </w:rPr>
            </w:pPr>
          </w:p>
        </w:tc>
        <w:tc>
          <w:tcPr>
            <w:tcW w:w="1875" w:type="dxa"/>
            <w:noWrap w:val="0"/>
            <w:vAlign w:val="center"/>
          </w:tcPr>
          <w:p w14:paraId="6511EA0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4ADC1F0A">
            <w:pPr>
              <w:jc w:val="cente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6F239DD7">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6A53D09D">
            <w:pPr>
              <w:rPr>
                <w:rFonts w:hint="eastAsia" w:ascii="仿宋_GB2312" w:hAnsi="仿宋" w:eastAsia="仿宋_GB2312"/>
                <w:sz w:val="18"/>
                <w:szCs w:val="18"/>
              </w:rPr>
            </w:pPr>
            <w:r>
              <w:rPr>
                <w:rFonts w:hint="eastAsia" w:ascii="仿宋_GB2312" w:hAnsi="仿宋" w:eastAsia="仿宋_GB2312"/>
                <w:sz w:val="18"/>
                <w:szCs w:val="18"/>
              </w:rPr>
              <w:t xml:space="preserve">■两微一端  </w:t>
            </w:r>
          </w:p>
          <w:p w14:paraId="6A7A8822">
            <w:pPr>
              <w:rPr>
                <w:rFonts w:hint="eastAsia" w:ascii="仿宋_GB2312" w:hAnsi="仿宋" w:eastAsia="仿宋_GB2312"/>
                <w:sz w:val="18"/>
                <w:szCs w:val="18"/>
              </w:rPr>
            </w:pPr>
            <w:r>
              <w:rPr>
                <w:rFonts w:hint="eastAsia" w:ascii="仿宋_GB2312" w:hAnsi="仿宋" w:eastAsia="仿宋_GB2312"/>
                <w:sz w:val="18"/>
                <w:szCs w:val="18"/>
              </w:rPr>
              <w:t xml:space="preserve">■广播电视  </w:t>
            </w:r>
          </w:p>
          <w:p w14:paraId="0B478BE9">
            <w:pPr>
              <w:jc w:val="left"/>
              <w:rPr>
                <w:rFonts w:hint="eastAsia" w:ascii="仿宋_GB2312" w:hAnsi="仿宋" w:eastAsia="仿宋_GB2312" w:cs="宋体"/>
                <w:sz w:val="18"/>
                <w:szCs w:val="18"/>
              </w:rPr>
            </w:pPr>
            <w:r>
              <w:rPr>
                <w:rFonts w:hint="eastAsia" w:ascii="仿宋_GB2312" w:hAnsi="仿宋" w:eastAsia="仿宋_GB2312"/>
                <w:sz w:val="18"/>
                <w:szCs w:val="18"/>
              </w:rPr>
              <w:sym w:font="Wingdings 2" w:char="00A3"/>
            </w:r>
            <w:r>
              <w:rPr>
                <w:rFonts w:hint="eastAsia" w:ascii="仿宋_GB2312" w:hAnsi="仿宋" w:eastAsia="仿宋_GB2312"/>
                <w:sz w:val="18"/>
                <w:szCs w:val="18"/>
              </w:rPr>
              <w:t xml:space="preserve">纸质媒体           ■公开查阅点 </w:t>
            </w:r>
          </w:p>
        </w:tc>
        <w:tc>
          <w:tcPr>
            <w:tcW w:w="465" w:type="dxa"/>
            <w:noWrap/>
            <w:vAlign w:val="center"/>
          </w:tcPr>
          <w:p w14:paraId="1F1392F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1145C8A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030E8D2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ign w:val="center"/>
          </w:tcPr>
          <w:p w14:paraId="08A81F4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2C9E6CC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ign w:val="center"/>
          </w:tcPr>
          <w:p w14:paraId="24DD788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34A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7" w:hRule="atLeast"/>
        </w:trPr>
        <w:tc>
          <w:tcPr>
            <w:tcW w:w="540" w:type="dxa"/>
            <w:noWrap/>
            <w:vAlign w:val="center"/>
          </w:tcPr>
          <w:p w14:paraId="11857D56">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olor w:val="000000"/>
                <w:sz w:val="18"/>
                <w:szCs w:val="18"/>
                <w:lang w:val="en-US" w:eastAsia="zh-CN"/>
              </w:rPr>
              <w:t>18</w:t>
            </w:r>
          </w:p>
        </w:tc>
        <w:tc>
          <w:tcPr>
            <w:tcW w:w="540" w:type="dxa"/>
            <w:noWrap w:val="0"/>
            <w:vAlign w:val="center"/>
          </w:tcPr>
          <w:p w14:paraId="7F6789D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1001" w:type="dxa"/>
            <w:noWrap w:val="0"/>
            <w:vAlign w:val="center"/>
          </w:tcPr>
          <w:p w14:paraId="2B140432">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2655" w:type="dxa"/>
            <w:noWrap w:val="0"/>
            <w:vAlign w:val="center"/>
          </w:tcPr>
          <w:p w14:paraId="4801B983">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730" w:type="dxa"/>
            <w:noWrap w:val="0"/>
            <w:vAlign w:val="center"/>
          </w:tcPr>
          <w:p w14:paraId="245F9E4D">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》《国务院办公厅关于加强中小学幼儿园安全风险防控体系建设的意见》《教育部关于推进中小学信息公开工作的意见》《校车安全管理条例》</w:t>
            </w:r>
          </w:p>
        </w:tc>
        <w:tc>
          <w:tcPr>
            <w:tcW w:w="1875" w:type="dxa"/>
            <w:noWrap w:val="0"/>
            <w:vAlign w:val="center"/>
          </w:tcPr>
          <w:p w14:paraId="75AC032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545" w:type="dxa"/>
            <w:noWrap w:val="0"/>
            <w:vAlign w:val="center"/>
          </w:tcPr>
          <w:p w14:paraId="27FC6EE2">
            <w:pPr>
              <w:jc w:val="center"/>
              <w:rPr>
                <w:rFonts w:hint="eastAsia" w:ascii="仿宋_GB2312" w:hAnsi="仿宋" w:eastAsia="仿宋_GB2312" w:cs="宋体"/>
                <w:color w:val="000000"/>
                <w:sz w:val="18"/>
                <w:szCs w:val="18"/>
              </w:rPr>
            </w:pPr>
            <w:r>
              <w:rPr>
                <w:rFonts w:hint="eastAsia" w:ascii="仿宋_GB2312" w:hAnsi="仿宋" w:eastAsia="仿宋_GB2312" w:cs="宋体"/>
                <w:color w:val="000000"/>
                <w:sz w:val="18"/>
                <w:szCs w:val="18"/>
                <w:lang w:eastAsia="zh-CN"/>
              </w:rPr>
              <w:t>峨边彝族自治县教育局</w:t>
            </w:r>
          </w:p>
        </w:tc>
        <w:tc>
          <w:tcPr>
            <w:tcW w:w="1860" w:type="dxa"/>
            <w:noWrap w:val="0"/>
            <w:vAlign w:val="center"/>
          </w:tcPr>
          <w:p w14:paraId="6107C3C0">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18AA15FD">
            <w:pPr>
              <w:rPr>
                <w:rFonts w:hint="eastAsia" w:ascii="仿宋_GB2312" w:hAnsi="仿宋" w:eastAsia="仿宋_GB2312"/>
                <w:sz w:val="18"/>
                <w:szCs w:val="18"/>
              </w:rPr>
            </w:pPr>
            <w:r>
              <w:rPr>
                <w:rFonts w:hint="eastAsia" w:ascii="仿宋_GB2312" w:hAnsi="仿宋" w:eastAsia="仿宋_GB2312"/>
                <w:sz w:val="18"/>
                <w:szCs w:val="18"/>
              </w:rPr>
              <w:t xml:space="preserve">■广播电视  </w:t>
            </w:r>
          </w:p>
          <w:p w14:paraId="315F220D">
            <w:pPr>
              <w:jc w:val="left"/>
              <w:rPr>
                <w:rFonts w:hint="eastAsia" w:ascii="仿宋_GB2312" w:hAnsi="仿宋" w:eastAsia="仿宋_GB2312" w:cs="宋体"/>
                <w:sz w:val="18"/>
                <w:szCs w:val="18"/>
              </w:rPr>
            </w:pPr>
            <w:r>
              <w:rPr>
                <w:rFonts w:hint="eastAsia" w:ascii="仿宋_GB2312" w:hAnsi="仿宋" w:eastAsia="仿宋_GB2312"/>
                <w:sz w:val="18"/>
                <w:szCs w:val="18"/>
              </w:rPr>
              <w:sym w:font="Wingdings 2" w:char="00A3"/>
            </w:r>
            <w:r>
              <w:rPr>
                <w:rFonts w:hint="eastAsia" w:ascii="仿宋_GB2312" w:hAnsi="仿宋" w:eastAsia="仿宋_GB2312"/>
                <w:sz w:val="18"/>
                <w:szCs w:val="18"/>
              </w:rPr>
              <w:t xml:space="preserve">纸质媒体           ■公开查阅点 </w:t>
            </w:r>
          </w:p>
        </w:tc>
        <w:tc>
          <w:tcPr>
            <w:tcW w:w="465" w:type="dxa"/>
            <w:noWrap/>
            <w:vAlign w:val="center"/>
          </w:tcPr>
          <w:p w14:paraId="6BA5F86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0"/>
            <w:vAlign w:val="center"/>
          </w:tcPr>
          <w:p w14:paraId="62A95F28">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5" w:type="dxa"/>
            <w:noWrap/>
            <w:vAlign w:val="center"/>
          </w:tcPr>
          <w:p w14:paraId="58905A8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50" w:type="dxa"/>
            <w:noWrap w:val="0"/>
            <w:vAlign w:val="center"/>
          </w:tcPr>
          <w:p w14:paraId="3635D22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noWrap/>
            <w:vAlign w:val="center"/>
          </w:tcPr>
          <w:p w14:paraId="1A5DD80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95" w:type="dxa"/>
            <w:noWrap w:val="0"/>
            <w:vAlign w:val="center"/>
          </w:tcPr>
          <w:p w14:paraId="7A7A73B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594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7" w:hRule="atLeast"/>
        </w:trPr>
        <w:tc>
          <w:tcPr>
            <w:tcW w:w="540" w:type="dxa"/>
            <w:shd w:val="clear" w:color="auto" w:fill="auto"/>
            <w:noWrap/>
            <w:vAlign w:val="center"/>
          </w:tcPr>
          <w:p w14:paraId="613B7889">
            <w:pPr>
              <w:jc w:val="center"/>
              <w:rPr>
                <w:rFonts w:hint="default" w:ascii="Calibri" w:hAnsi="Calibri" w:eastAsia="宋体" w:cs="Times New Roman"/>
                <w:kern w:val="2"/>
                <w:sz w:val="21"/>
                <w:szCs w:val="22"/>
                <w:lang w:val="en-US" w:eastAsia="zh-CN" w:bidi="ar-SA"/>
              </w:rPr>
            </w:pPr>
            <w:r>
              <w:rPr>
                <w:rFonts w:hint="eastAsia"/>
                <w:lang w:val="en-US" w:eastAsia="zh-CN"/>
              </w:rPr>
              <w:t>19</w:t>
            </w:r>
          </w:p>
        </w:tc>
        <w:tc>
          <w:tcPr>
            <w:tcW w:w="540" w:type="dxa"/>
            <w:shd w:val="clear" w:color="auto" w:fill="auto"/>
            <w:noWrap w:val="0"/>
            <w:vAlign w:val="center"/>
          </w:tcPr>
          <w:p w14:paraId="3BEE8F46">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政务服务</w:t>
            </w:r>
          </w:p>
        </w:tc>
        <w:tc>
          <w:tcPr>
            <w:tcW w:w="1001" w:type="dxa"/>
            <w:shd w:val="clear" w:color="auto" w:fill="auto"/>
            <w:noWrap w:val="0"/>
            <w:vAlign w:val="center"/>
          </w:tcPr>
          <w:p w14:paraId="6D4D8B77">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行政许可</w:t>
            </w:r>
          </w:p>
        </w:tc>
        <w:tc>
          <w:tcPr>
            <w:tcW w:w="2655" w:type="dxa"/>
            <w:shd w:val="clear" w:color="auto" w:fill="auto"/>
            <w:noWrap w:val="0"/>
            <w:vAlign w:val="center"/>
          </w:tcPr>
          <w:p w14:paraId="501BA2FD">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民办、中外合作开办中等及以下学校</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和</w:t>
            </w: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其他教育机构筹设审批</w:t>
            </w:r>
          </w:p>
        </w:tc>
        <w:tc>
          <w:tcPr>
            <w:tcW w:w="2730" w:type="dxa"/>
            <w:shd w:val="clear" w:color="auto" w:fill="auto"/>
            <w:noWrap w:val="0"/>
            <w:vAlign w:val="center"/>
          </w:tcPr>
          <w:p w14:paraId="620C8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_GB2312" w:hAnsi="仿宋_GB2312" w:eastAsia="仿宋_GB2312" w:cs="仿宋_GB2312"/>
                <w:i w:val="0"/>
                <w:color w:val="000000" w:themeColor="text1"/>
                <w:kern w:val="2"/>
                <w:sz w:val="20"/>
                <w:szCs w:val="20"/>
                <w:highlight w:val="none"/>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highlight w:val="none"/>
                <w:u w:val="none"/>
                <w:lang w:val="en-US" w:eastAsia="zh-CN" w:bidi="ar"/>
                <w14:textFill>
                  <w14:solidFill>
                    <w14:schemeClr w14:val="tx1"/>
                  </w14:solidFill>
                </w14:textFill>
              </w:rPr>
              <w:t>《中华人民共和国民办教育促进法》</w:t>
            </w: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《中华人民共和国中外合作办学条例》《国务院关于当前发展学前教育的若干意见》（国发〔2010〕41号）</w:t>
            </w:r>
          </w:p>
        </w:tc>
        <w:tc>
          <w:tcPr>
            <w:tcW w:w="1875" w:type="dxa"/>
            <w:shd w:val="clear" w:color="auto" w:fill="auto"/>
            <w:noWrap w:val="0"/>
            <w:vAlign w:val="center"/>
          </w:tcPr>
          <w:p w14:paraId="44DCA4C8">
            <w:pPr>
              <w:jc w:val="center"/>
              <w:rPr>
                <w:rFonts w:hint="eastAsia" w:ascii="仿宋_GB2312" w:hAnsi="仿宋" w:eastAsia="仿宋_GB2312" w:cs="Times New Roman"/>
                <w:color w:val="000000"/>
                <w:kern w:val="2"/>
                <w:sz w:val="18"/>
                <w:szCs w:val="18"/>
                <w:lang w:val="en-US" w:eastAsia="zh-CN" w:bidi="ar-SA"/>
              </w:rPr>
            </w:pPr>
            <w:r>
              <w:rPr>
                <w:rFonts w:hint="eastAsia" w:ascii="仿宋_GB2312" w:hAnsi="仿宋" w:eastAsia="仿宋_GB2312"/>
                <w:color w:val="000000"/>
                <w:sz w:val="18"/>
                <w:szCs w:val="18"/>
              </w:rPr>
              <w:t>信息形成或者变更之日起20个工作日内</w:t>
            </w:r>
          </w:p>
        </w:tc>
        <w:tc>
          <w:tcPr>
            <w:tcW w:w="1545" w:type="dxa"/>
            <w:shd w:val="clear" w:color="auto" w:fill="auto"/>
            <w:noWrap w:val="0"/>
            <w:vAlign w:val="center"/>
          </w:tcPr>
          <w:p w14:paraId="35BDBEEF">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s="宋体"/>
                <w:color w:val="000000"/>
                <w:sz w:val="18"/>
                <w:szCs w:val="18"/>
                <w:lang w:eastAsia="zh-CN"/>
              </w:rPr>
              <w:t>峨边彝族自治县教育局</w:t>
            </w:r>
          </w:p>
        </w:tc>
        <w:tc>
          <w:tcPr>
            <w:tcW w:w="1860" w:type="dxa"/>
            <w:shd w:val="clear" w:color="auto" w:fill="auto"/>
            <w:noWrap w:val="0"/>
            <w:vAlign w:val="center"/>
          </w:tcPr>
          <w:p w14:paraId="76A0D49B">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556ECF87">
            <w:pPr>
              <w:rPr>
                <w:rFonts w:hint="eastAsia" w:ascii="仿宋_GB2312" w:hAnsi="仿宋" w:eastAsia="仿宋_GB2312" w:cs="Times New Roman"/>
                <w:kern w:val="2"/>
                <w:sz w:val="18"/>
                <w:szCs w:val="18"/>
                <w:lang w:val="en-US" w:eastAsia="zh-CN" w:bidi="ar-SA"/>
              </w:rPr>
            </w:pPr>
            <w:r>
              <w:rPr>
                <w:rFonts w:hint="eastAsia" w:ascii="仿宋_GB2312" w:hAnsi="仿宋" w:eastAsia="仿宋_GB2312"/>
                <w:sz w:val="18"/>
                <w:szCs w:val="18"/>
              </w:rPr>
              <w:t xml:space="preserve">■公开查阅点 </w:t>
            </w:r>
          </w:p>
        </w:tc>
        <w:tc>
          <w:tcPr>
            <w:tcW w:w="465" w:type="dxa"/>
            <w:shd w:val="clear" w:color="auto" w:fill="auto"/>
            <w:noWrap/>
            <w:vAlign w:val="center"/>
          </w:tcPr>
          <w:p w14:paraId="10AC0715">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495" w:type="dxa"/>
            <w:shd w:val="clear" w:color="auto" w:fill="auto"/>
            <w:noWrap w:val="0"/>
            <w:vAlign w:val="center"/>
          </w:tcPr>
          <w:p w14:paraId="3758F765">
            <w:pP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　</w:t>
            </w:r>
          </w:p>
        </w:tc>
        <w:tc>
          <w:tcPr>
            <w:tcW w:w="525" w:type="dxa"/>
            <w:shd w:val="clear" w:color="auto" w:fill="auto"/>
            <w:noWrap/>
            <w:vAlign w:val="center"/>
          </w:tcPr>
          <w:p w14:paraId="29071FD7">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450" w:type="dxa"/>
            <w:shd w:val="clear" w:color="auto" w:fill="auto"/>
            <w:noWrap w:val="0"/>
            <w:vAlign w:val="center"/>
          </w:tcPr>
          <w:p w14:paraId="5E84F028">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　</w:t>
            </w:r>
          </w:p>
        </w:tc>
        <w:tc>
          <w:tcPr>
            <w:tcW w:w="510" w:type="dxa"/>
            <w:shd w:val="clear" w:color="auto" w:fill="auto"/>
            <w:noWrap/>
            <w:vAlign w:val="center"/>
          </w:tcPr>
          <w:p w14:paraId="34E1F5BF">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495" w:type="dxa"/>
            <w:shd w:val="clear" w:color="auto" w:fill="auto"/>
            <w:noWrap w:val="0"/>
            <w:vAlign w:val="center"/>
          </w:tcPr>
          <w:p w14:paraId="2F2A9B53">
            <w:pPr>
              <w:jc w:val="center"/>
              <w:rPr>
                <w:rFonts w:hint="eastAsia" w:ascii="仿宋_GB2312" w:hAnsi="仿宋" w:eastAsia="仿宋_GB2312" w:cs="Times New Roman"/>
                <w:color w:val="000000"/>
                <w:kern w:val="2"/>
                <w:sz w:val="18"/>
                <w:szCs w:val="18"/>
                <w:lang w:val="en-US" w:eastAsia="zh-CN" w:bidi="ar-SA"/>
              </w:rPr>
            </w:pPr>
          </w:p>
        </w:tc>
      </w:tr>
      <w:tr w14:paraId="4187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7" w:hRule="atLeast"/>
        </w:trPr>
        <w:tc>
          <w:tcPr>
            <w:tcW w:w="540" w:type="dxa"/>
            <w:noWrap/>
            <w:vAlign w:val="center"/>
          </w:tcPr>
          <w:p w14:paraId="31955768">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20</w:t>
            </w:r>
          </w:p>
        </w:tc>
        <w:tc>
          <w:tcPr>
            <w:tcW w:w="540" w:type="dxa"/>
            <w:noWrap w:val="0"/>
            <w:vAlign w:val="center"/>
          </w:tcPr>
          <w:p w14:paraId="324AA08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政务服务</w:t>
            </w:r>
          </w:p>
        </w:tc>
        <w:tc>
          <w:tcPr>
            <w:tcW w:w="1001" w:type="dxa"/>
            <w:shd w:val="clear" w:color="auto" w:fill="auto"/>
            <w:noWrap w:val="0"/>
            <w:vAlign w:val="center"/>
          </w:tcPr>
          <w:p w14:paraId="3E70FC99">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行政许可</w:t>
            </w:r>
          </w:p>
        </w:tc>
        <w:tc>
          <w:tcPr>
            <w:tcW w:w="2655" w:type="dxa"/>
            <w:shd w:val="clear" w:color="auto" w:fill="auto"/>
            <w:noWrap w:val="0"/>
            <w:vAlign w:val="center"/>
          </w:tcPr>
          <w:p w14:paraId="37C3D330">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中等及以下学校和其他教育机构设置审批</w:t>
            </w:r>
          </w:p>
        </w:tc>
        <w:tc>
          <w:tcPr>
            <w:tcW w:w="2730" w:type="dxa"/>
            <w:shd w:val="clear" w:color="auto" w:fill="auto"/>
            <w:noWrap w:val="0"/>
            <w:vAlign w:val="center"/>
          </w:tcPr>
          <w:p w14:paraId="760879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民办教育促进法》《中华人民共和国中外合作办学条例》《国务院关于当前发展学前教育的若干意见》（国发〔2010〕41号）、《国务院办公厅关于规范校外培训机构发展的意见》（国办发〔2018〕80号）</w:t>
            </w:r>
          </w:p>
        </w:tc>
        <w:tc>
          <w:tcPr>
            <w:tcW w:w="1875" w:type="dxa"/>
            <w:shd w:val="clear" w:color="auto" w:fill="auto"/>
            <w:noWrap w:val="0"/>
            <w:vAlign w:val="center"/>
          </w:tcPr>
          <w:p w14:paraId="0C816140">
            <w:pPr>
              <w:jc w:val="center"/>
              <w:rPr>
                <w:rFonts w:hint="eastAsia" w:ascii="仿宋_GB2312" w:hAnsi="仿宋" w:eastAsia="仿宋_GB2312" w:cs="Times New Roman"/>
                <w:color w:val="000000"/>
                <w:kern w:val="2"/>
                <w:sz w:val="18"/>
                <w:szCs w:val="18"/>
                <w:lang w:val="en-US" w:eastAsia="zh-CN" w:bidi="ar-SA"/>
              </w:rPr>
            </w:pPr>
            <w:r>
              <w:rPr>
                <w:rFonts w:hint="eastAsia" w:ascii="仿宋_GB2312" w:hAnsi="仿宋" w:eastAsia="仿宋_GB2312"/>
                <w:color w:val="000000"/>
                <w:sz w:val="18"/>
                <w:szCs w:val="18"/>
              </w:rPr>
              <w:t>信息形成或者变更之日起20个工作日内</w:t>
            </w:r>
          </w:p>
        </w:tc>
        <w:tc>
          <w:tcPr>
            <w:tcW w:w="1545" w:type="dxa"/>
            <w:shd w:val="clear" w:color="auto" w:fill="auto"/>
            <w:noWrap w:val="0"/>
            <w:vAlign w:val="center"/>
          </w:tcPr>
          <w:p w14:paraId="036F0BF9">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s="宋体"/>
                <w:color w:val="000000"/>
                <w:sz w:val="18"/>
                <w:szCs w:val="18"/>
                <w:lang w:eastAsia="zh-CN"/>
              </w:rPr>
              <w:t>峨边彝族自治县教育局</w:t>
            </w:r>
          </w:p>
        </w:tc>
        <w:tc>
          <w:tcPr>
            <w:tcW w:w="1860" w:type="dxa"/>
            <w:shd w:val="clear" w:color="auto" w:fill="auto"/>
            <w:noWrap w:val="0"/>
            <w:vAlign w:val="center"/>
          </w:tcPr>
          <w:p w14:paraId="759D0F44">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40D2CF17">
            <w:pPr>
              <w:rPr>
                <w:rFonts w:hint="eastAsia" w:ascii="仿宋_GB2312" w:hAnsi="仿宋" w:eastAsia="仿宋_GB2312" w:cs="Times New Roman"/>
                <w:kern w:val="2"/>
                <w:sz w:val="18"/>
                <w:szCs w:val="18"/>
                <w:lang w:val="en-US" w:eastAsia="zh-CN" w:bidi="ar-SA"/>
              </w:rPr>
            </w:pPr>
            <w:r>
              <w:rPr>
                <w:rFonts w:hint="eastAsia" w:ascii="仿宋_GB2312" w:hAnsi="仿宋" w:eastAsia="仿宋_GB2312"/>
                <w:sz w:val="18"/>
                <w:szCs w:val="18"/>
              </w:rPr>
              <w:t xml:space="preserve">■公开查阅点 </w:t>
            </w:r>
          </w:p>
        </w:tc>
        <w:tc>
          <w:tcPr>
            <w:tcW w:w="465" w:type="dxa"/>
            <w:shd w:val="clear" w:color="auto" w:fill="auto"/>
            <w:noWrap/>
            <w:vAlign w:val="center"/>
          </w:tcPr>
          <w:p w14:paraId="2F49A98D">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495" w:type="dxa"/>
            <w:shd w:val="clear" w:color="auto" w:fill="auto"/>
            <w:noWrap w:val="0"/>
            <w:vAlign w:val="center"/>
          </w:tcPr>
          <w:p w14:paraId="7C413514">
            <w:pP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　</w:t>
            </w:r>
          </w:p>
        </w:tc>
        <w:tc>
          <w:tcPr>
            <w:tcW w:w="525" w:type="dxa"/>
            <w:shd w:val="clear" w:color="auto" w:fill="auto"/>
            <w:noWrap/>
            <w:vAlign w:val="center"/>
          </w:tcPr>
          <w:p w14:paraId="7A1F49BD">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450" w:type="dxa"/>
            <w:shd w:val="clear" w:color="auto" w:fill="auto"/>
            <w:noWrap w:val="0"/>
            <w:vAlign w:val="center"/>
          </w:tcPr>
          <w:p w14:paraId="27084396">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　</w:t>
            </w:r>
          </w:p>
        </w:tc>
        <w:tc>
          <w:tcPr>
            <w:tcW w:w="510" w:type="dxa"/>
            <w:shd w:val="clear" w:color="auto" w:fill="auto"/>
            <w:noWrap/>
            <w:vAlign w:val="center"/>
          </w:tcPr>
          <w:p w14:paraId="1BD85BDD">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495" w:type="dxa"/>
            <w:shd w:val="clear" w:color="auto" w:fill="auto"/>
            <w:noWrap w:val="0"/>
            <w:vAlign w:val="center"/>
          </w:tcPr>
          <w:p w14:paraId="1A09300E">
            <w:pPr>
              <w:jc w:val="center"/>
              <w:rPr>
                <w:rFonts w:hint="eastAsia" w:ascii="仿宋_GB2312" w:hAnsi="仿宋" w:eastAsia="仿宋_GB2312" w:cs="Times New Roman"/>
                <w:color w:val="000000"/>
                <w:kern w:val="2"/>
                <w:sz w:val="18"/>
                <w:szCs w:val="18"/>
                <w:lang w:val="en-US" w:eastAsia="zh-CN" w:bidi="ar-SA"/>
              </w:rPr>
            </w:pPr>
          </w:p>
        </w:tc>
      </w:tr>
      <w:tr w14:paraId="687E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7" w:hRule="atLeast"/>
        </w:trPr>
        <w:tc>
          <w:tcPr>
            <w:tcW w:w="540" w:type="dxa"/>
            <w:noWrap/>
            <w:vAlign w:val="center"/>
          </w:tcPr>
          <w:p w14:paraId="4D06B02C">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21</w:t>
            </w:r>
          </w:p>
        </w:tc>
        <w:tc>
          <w:tcPr>
            <w:tcW w:w="540" w:type="dxa"/>
            <w:noWrap w:val="0"/>
            <w:vAlign w:val="center"/>
          </w:tcPr>
          <w:p w14:paraId="04D1B38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政务服务</w:t>
            </w:r>
          </w:p>
        </w:tc>
        <w:tc>
          <w:tcPr>
            <w:tcW w:w="1001" w:type="dxa"/>
            <w:shd w:val="clear" w:color="auto" w:fill="auto"/>
            <w:noWrap w:val="0"/>
            <w:vAlign w:val="center"/>
          </w:tcPr>
          <w:p w14:paraId="4A085512">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s="Times New Roman"/>
                <w:color w:val="000000"/>
                <w:kern w:val="2"/>
                <w:sz w:val="18"/>
                <w:szCs w:val="18"/>
                <w:lang w:val="en-US" w:eastAsia="zh-CN" w:bidi="ar-SA"/>
              </w:rPr>
              <w:t>行政许可</w:t>
            </w:r>
          </w:p>
        </w:tc>
        <w:tc>
          <w:tcPr>
            <w:tcW w:w="2655" w:type="dxa"/>
            <w:shd w:val="clear" w:color="auto" w:fill="auto"/>
            <w:noWrap w:val="0"/>
            <w:vAlign w:val="center"/>
          </w:tcPr>
          <w:p w14:paraId="5025CAD1">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从事文艺、体育等专业训练的社会组织自行实施义务教育审批</w:t>
            </w:r>
          </w:p>
        </w:tc>
        <w:tc>
          <w:tcPr>
            <w:tcW w:w="2730" w:type="dxa"/>
            <w:shd w:val="clear" w:color="auto" w:fill="auto"/>
            <w:noWrap w:val="0"/>
            <w:vAlign w:val="center"/>
          </w:tcPr>
          <w:p w14:paraId="4E196E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《中华人民共和国义务教育法》</w:t>
            </w:r>
          </w:p>
        </w:tc>
        <w:tc>
          <w:tcPr>
            <w:tcW w:w="1875" w:type="dxa"/>
            <w:shd w:val="clear" w:color="auto" w:fill="auto"/>
            <w:noWrap w:val="0"/>
            <w:vAlign w:val="center"/>
          </w:tcPr>
          <w:p w14:paraId="055BB1DE">
            <w:pPr>
              <w:jc w:val="center"/>
              <w:rPr>
                <w:rFonts w:hint="eastAsia" w:ascii="仿宋_GB2312" w:hAnsi="仿宋" w:eastAsia="仿宋_GB2312" w:cs="Times New Roman"/>
                <w:color w:val="000000"/>
                <w:kern w:val="2"/>
                <w:sz w:val="18"/>
                <w:szCs w:val="18"/>
                <w:lang w:val="en-US" w:eastAsia="zh-CN" w:bidi="ar-SA"/>
              </w:rPr>
            </w:pPr>
            <w:r>
              <w:rPr>
                <w:rFonts w:hint="eastAsia" w:ascii="仿宋_GB2312" w:hAnsi="仿宋" w:eastAsia="仿宋_GB2312"/>
                <w:color w:val="000000"/>
                <w:sz w:val="18"/>
                <w:szCs w:val="18"/>
              </w:rPr>
              <w:t>信息形成或者变更之日起20个工作日内</w:t>
            </w:r>
          </w:p>
        </w:tc>
        <w:tc>
          <w:tcPr>
            <w:tcW w:w="1545" w:type="dxa"/>
            <w:shd w:val="clear" w:color="auto" w:fill="auto"/>
            <w:noWrap w:val="0"/>
            <w:vAlign w:val="center"/>
          </w:tcPr>
          <w:p w14:paraId="30CA44B9">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s="宋体"/>
                <w:color w:val="000000"/>
                <w:sz w:val="18"/>
                <w:szCs w:val="18"/>
                <w:lang w:eastAsia="zh-CN"/>
              </w:rPr>
              <w:t>峨边彝族自治县教育局</w:t>
            </w:r>
          </w:p>
        </w:tc>
        <w:tc>
          <w:tcPr>
            <w:tcW w:w="1860" w:type="dxa"/>
            <w:shd w:val="clear" w:color="auto" w:fill="auto"/>
            <w:noWrap w:val="0"/>
            <w:vAlign w:val="center"/>
          </w:tcPr>
          <w:p w14:paraId="365A10EF">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2B788601">
            <w:pPr>
              <w:rPr>
                <w:rFonts w:hint="eastAsia" w:ascii="仿宋_GB2312" w:hAnsi="仿宋" w:eastAsia="仿宋_GB2312" w:cs="Times New Roman"/>
                <w:kern w:val="2"/>
                <w:sz w:val="18"/>
                <w:szCs w:val="18"/>
                <w:lang w:val="en-US" w:eastAsia="zh-CN" w:bidi="ar-SA"/>
              </w:rPr>
            </w:pPr>
            <w:r>
              <w:rPr>
                <w:rFonts w:hint="eastAsia" w:ascii="仿宋_GB2312" w:hAnsi="仿宋" w:eastAsia="仿宋_GB2312"/>
                <w:sz w:val="18"/>
                <w:szCs w:val="18"/>
              </w:rPr>
              <w:t xml:space="preserve">■公开查阅点 </w:t>
            </w:r>
          </w:p>
        </w:tc>
        <w:tc>
          <w:tcPr>
            <w:tcW w:w="465" w:type="dxa"/>
            <w:shd w:val="clear" w:color="auto" w:fill="auto"/>
            <w:noWrap/>
            <w:vAlign w:val="center"/>
          </w:tcPr>
          <w:p w14:paraId="073D9DE9">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495" w:type="dxa"/>
            <w:shd w:val="clear" w:color="auto" w:fill="auto"/>
            <w:noWrap w:val="0"/>
            <w:vAlign w:val="center"/>
          </w:tcPr>
          <w:p w14:paraId="6960DB81">
            <w:pP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　</w:t>
            </w:r>
          </w:p>
        </w:tc>
        <w:tc>
          <w:tcPr>
            <w:tcW w:w="525" w:type="dxa"/>
            <w:shd w:val="clear" w:color="auto" w:fill="auto"/>
            <w:noWrap/>
            <w:vAlign w:val="center"/>
          </w:tcPr>
          <w:p w14:paraId="2E5A9EF5">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450" w:type="dxa"/>
            <w:shd w:val="clear" w:color="auto" w:fill="auto"/>
            <w:noWrap w:val="0"/>
            <w:vAlign w:val="center"/>
          </w:tcPr>
          <w:p w14:paraId="066E60BB">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　</w:t>
            </w:r>
          </w:p>
        </w:tc>
        <w:tc>
          <w:tcPr>
            <w:tcW w:w="510" w:type="dxa"/>
            <w:shd w:val="clear" w:color="auto" w:fill="auto"/>
            <w:noWrap/>
            <w:vAlign w:val="center"/>
          </w:tcPr>
          <w:p w14:paraId="017C02A9">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495" w:type="dxa"/>
            <w:shd w:val="clear" w:color="auto" w:fill="auto"/>
            <w:noWrap w:val="0"/>
            <w:vAlign w:val="center"/>
          </w:tcPr>
          <w:p w14:paraId="62091576">
            <w:pPr>
              <w:jc w:val="center"/>
              <w:rPr>
                <w:rFonts w:hint="eastAsia" w:ascii="仿宋_GB2312" w:hAnsi="仿宋" w:eastAsia="仿宋_GB2312" w:cs="Times New Roman"/>
                <w:color w:val="000000"/>
                <w:kern w:val="2"/>
                <w:sz w:val="18"/>
                <w:szCs w:val="18"/>
                <w:lang w:val="en-US" w:eastAsia="zh-CN" w:bidi="ar-SA"/>
              </w:rPr>
            </w:pPr>
          </w:p>
        </w:tc>
      </w:tr>
      <w:tr w14:paraId="03AB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7" w:hRule="atLeast"/>
        </w:trPr>
        <w:tc>
          <w:tcPr>
            <w:tcW w:w="540" w:type="dxa"/>
            <w:noWrap/>
            <w:vAlign w:val="center"/>
          </w:tcPr>
          <w:p w14:paraId="702E1954">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22</w:t>
            </w:r>
          </w:p>
        </w:tc>
        <w:tc>
          <w:tcPr>
            <w:tcW w:w="540" w:type="dxa"/>
            <w:noWrap w:val="0"/>
            <w:vAlign w:val="center"/>
          </w:tcPr>
          <w:p w14:paraId="7AD01BA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政务服务</w:t>
            </w:r>
          </w:p>
        </w:tc>
        <w:tc>
          <w:tcPr>
            <w:tcW w:w="1001" w:type="dxa"/>
            <w:shd w:val="clear" w:color="auto" w:fill="auto"/>
            <w:noWrap w:val="0"/>
            <w:vAlign w:val="center"/>
          </w:tcPr>
          <w:p w14:paraId="0EAA1487">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s="Times New Roman"/>
                <w:color w:val="000000"/>
                <w:kern w:val="2"/>
                <w:sz w:val="18"/>
                <w:szCs w:val="18"/>
                <w:lang w:val="en-US" w:eastAsia="zh-CN" w:bidi="ar-SA"/>
              </w:rPr>
              <w:t>行政许可</w:t>
            </w:r>
          </w:p>
        </w:tc>
        <w:tc>
          <w:tcPr>
            <w:tcW w:w="2655" w:type="dxa"/>
            <w:shd w:val="clear" w:color="auto" w:fill="auto"/>
            <w:noWrap w:val="0"/>
            <w:vAlign w:val="center"/>
          </w:tcPr>
          <w:p w14:paraId="258D3827">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校车使用许可</w:t>
            </w:r>
          </w:p>
        </w:tc>
        <w:tc>
          <w:tcPr>
            <w:tcW w:w="2730" w:type="dxa"/>
            <w:shd w:val="clear" w:color="auto" w:fill="auto"/>
            <w:noWrap w:val="0"/>
            <w:vAlign w:val="center"/>
          </w:tcPr>
          <w:p w14:paraId="357DEB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《校车安全管理条例》</w:t>
            </w:r>
          </w:p>
        </w:tc>
        <w:tc>
          <w:tcPr>
            <w:tcW w:w="1875" w:type="dxa"/>
            <w:shd w:val="clear" w:color="auto" w:fill="auto"/>
            <w:noWrap w:val="0"/>
            <w:vAlign w:val="center"/>
          </w:tcPr>
          <w:p w14:paraId="488CF35D">
            <w:pPr>
              <w:jc w:val="center"/>
              <w:rPr>
                <w:rFonts w:hint="eastAsia" w:ascii="仿宋_GB2312" w:hAnsi="仿宋" w:eastAsia="仿宋_GB2312" w:cs="Times New Roman"/>
                <w:color w:val="000000"/>
                <w:kern w:val="2"/>
                <w:sz w:val="18"/>
                <w:szCs w:val="18"/>
                <w:lang w:val="en-US" w:eastAsia="zh-CN" w:bidi="ar-SA"/>
              </w:rPr>
            </w:pPr>
            <w:r>
              <w:rPr>
                <w:rFonts w:hint="eastAsia" w:ascii="仿宋_GB2312" w:hAnsi="仿宋" w:eastAsia="仿宋_GB2312"/>
                <w:color w:val="000000"/>
                <w:sz w:val="18"/>
                <w:szCs w:val="18"/>
              </w:rPr>
              <w:t>信息形成或者变更之日起20个工作日内</w:t>
            </w:r>
          </w:p>
        </w:tc>
        <w:tc>
          <w:tcPr>
            <w:tcW w:w="1545" w:type="dxa"/>
            <w:shd w:val="clear" w:color="auto" w:fill="auto"/>
            <w:noWrap w:val="0"/>
            <w:vAlign w:val="center"/>
          </w:tcPr>
          <w:p w14:paraId="2312F2D6">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s="宋体"/>
                <w:color w:val="000000"/>
                <w:sz w:val="18"/>
                <w:szCs w:val="18"/>
                <w:lang w:eastAsia="zh-CN"/>
              </w:rPr>
              <w:t>峨边彝族自治县教育局</w:t>
            </w:r>
          </w:p>
        </w:tc>
        <w:tc>
          <w:tcPr>
            <w:tcW w:w="1860" w:type="dxa"/>
            <w:shd w:val="clear" w:color="auto" w:fill="auto"/>
            <w:noWrap w:val="0"/>
            <w:vAlign w:val="center"/>
          </w:tcPr>
          <w:p w14:paraId="1D702CEB">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5A98AC1C">
            <w:pPr>
              <w:rPr>
                <w:rFonts w:hint="eastAsia" w:ascii="仿宋_GB2312" w:hAnsi="仿宋" w:eastAsia="仿宋_GB2312" w:cs="Times New Roman"/>
                <w:kern w:val="2"/>
                <w:sz w:val="18"/>
                <w:szCs w:val="18"/>
                <w:lang w:val="en-US" w:eastAsia="zh-CN" w:bidi="ar-SA"/>
              </w:rPr>
            </w:pPr>
            <w:r>
              <w:rPr>
                <w:rFonts w:hint="eastAsia" w:ascii="仿宋_GB2312" w:hAnsi="仿宋" w:eastAsia="仿宋_GB2312"/>
                <w:sz w:val="18"/>
                <w:szCs w:val="18"/>
              </w:rPr>
              <w:t xml:space="preserve">■公开查阅点 </w:t>
            </w:r>
          </w:p>
        </w:tc>
        <w:tc>
          <w:tcPr>
            <w:tcW w:w="465" w:type="dxa"/>
            <w:shd w:val="clear" w:color="auto" w:fill="auto"/>
            <w:noWrap/>
            <w:vAlign w:val="center"/>
          </w:tcPr>
          <w:p w14:paraId="0D7724ED">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495" w:type="dxa"/>
            <w:shd w:val="clear" w:color="auto" w:fill="auto"/>
            <w:noWrap w:val="0"/>
            <w:vAlign w:val="center"/>
          </w:tcPr>
          <w:p w14:paraId="3D1A42B8">
            <w:pP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　</w:t>
            </w:r>
          </w:p>
        </w:tc>
        <w:tc>
          <w:tcPr>
            <w:tcW w:w="525" w:type="dxa"/>
            <w:shd w:val="clear" w:color="auto" w:fill="auto"/>
            <w:noWrap/>
            <w:vAlign w:val="center"/>
          </w:tcPr>
          <w:p w14:paraId="22699CBB">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450" w:type="dxa"/>
            <w:shd w:val="clear" w:color="auto" w:fill="auto"/>
            <w:noWrap w:val="0"/>
            <w:vAlign w:val="center"/>
          </w:tcPr>
          <w:p w14:paraId="74377236">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　</w:t>
            </w:r>
          </w:p>
        </w:tc>
        <w:tc>
          <w:tcPr>
            <w:tcW w:w="510" w:type="dxa"/>
            <w:shd w:val="clear" w:color="auto" w:fill="auto"/>
            <w:noWrap/>
            <w:vAlign w:val="center"/>
          </w:tcPr>
          <w:p w14:paraId="31C9F465">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495" w:type="dxa"/>
            <w:shd w:val="clear" w:color="auto" w:fill="auto"/>
            <w:noWrap w:val="0"/>
            <w:vAlign w:val="center"/>
          </w:tcPr>
          <w:p w14:paraId="5505BF7C">
            <w:pPr>
              <w:jc w:val="center"/>
              <w:rPr>
                <w:rFonts w:hint="eastAsia" w:ascii="仿宋_GB2312" w:hAnsi="仿宋" w:eastAsia="仿宋_GB2312" w:cs="Times New Roman"/>
                <w:color w:val="000000"/>
                <w:kern w:val="2"/>
                <w:sz w:val="18"/>
                <w:szCs w:val="18"/>
                <w:lang w:val="en-US" w:eastAsia="zh-CN" w:bidi="ar-SA"/>
              </w:rPr>
            </w:pPr>
          </w:p>
        </w:tc>
      </w:tr>
      <w:tr w14:paraId="63DF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7" w:hRule="atLeast"/>
        </w:trPr>
        <w:tc>
          <w:tcPr>
            <w:tcW w:w="540" w:type="dxa"/>
            <w:noWrap/>
            <w:vAlign w:val="center"/>
          </w:tcPr>
          <w:p w14:paraId="67F5193D">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23</w:t>
            </w:r>
          </w:p>
        </w:tc>
        <w:tc>
          <w:tcPr>
            <w:tcW w:w="540" w:type="dxa"/>
            <w:noWrap w:val="0"/>
            <w:vAlign w:val="center"/>
          </w:tcPr>
          <w:p w14:paraId="44EA00F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政务服务</w:t>
            </w:r>
          </w:p>
        </w:tc>
        <w:tc>
          <w:tcPr>
            <w:tcW w:w="1001" w:type="dxa"/>
            <w:shd w:val="clear" w:color="auto" w:fill="auto"/>
            <w:noWrap w:val="0"/>
            <w:vAlign w:val="center"/>
          </w:tcPr>
          <w:p w14:paraId="2C880B18">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s="Times New Roman"/>
                <w:color w:val="000000"/>
                <w:kern w:val="2"/>
                <w:sz w:val="18"/>
                <w:szCs w:val="18"/>
                <w:lang w:val="en-US" w:eastAsia="zh-CN" w:bidi="ar-SA"/>
              </w:rPr>
              <w:t>行政许可</w:t>
            </w:r>
          </w:p>
        </w:tc>
        <w:tc>
          <w:tcPr>
            <w:tcW w:w="2655" w:type="dxa"/>
            <w:shd w:val="clear" w:color="auto" w:fill="auto"/>
            <w:noWrap w:val="0"/>
            <w:vAlign w:val="center"/>
          </w:tcPr>
          <w:p w14:paraId="52841978">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教师资格认定</w:t>
            </w:r>
          </w:p>
        </w:tc>
        <w:tc>
          <w:tcPr>
            <w:tcW w:w="2730" w:type="dxa"/>
            <w:shd w:val="clear" w:color="auto" w:fill="auto"/>
            <w:noWrap w:val="0"/>
            <w:vAlign w:val="center"/>
          </w:tcPr>
          <w:p w14:paraId="0611B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《中华人民共和国教师法》《教师资格条例》《〈教师资格条例〉实施办法》（教育部令第10号）《四川省教师资格制度实施细则》（川教〔2004〕293号）</w:t>
            </w:r>
          </w:p>
        </w:tc>
        <w:tc>
          <w:tcPr>
            <w:tcW w:w="1875" w:type="dxa"/>
            <w:shd w:val="clear" w:color="auto" w:fill="auto"/>
            <w:noWrap w:val="0"/>
            <w:vAlign w:val="center"/>
          </w:tcPr>
          <w:p w14:paraId="3923F427">
            <w:pPr>
              <w:jc w:val="center"/>
              <w:rPr>
                <w:rFonts w:hint="eastAsia" w:ascii="仿宋_GB2312" w:hAnsi="仿宋" w:eastAsia="仿宋_GB2312" w:cs="Times New Roman"/>
                <w:color w:val="000000"/>
                <w:kern w:val="2"/>
                <w:sz w:val="18"/>
                <w:szCs w:val="18"/>
                <w:lang w:val="en-US" w:eastAsia="zh-CN" w:bidi="ar-SA"/>
              </w:rPr>
            </w:pPr>
            <w:r>
              <w:rPr>
                <w:rFonts w:hint="eastAsia" w:ascii="仿宋_GB2312" w:hAnsi="仿宋" w:eastAsia="仿宋_GB2312"/>
                <w:color w:val="000000"/>
                <w:sz w:val="18"/>
                <w:szCs w:val="18"/>
              </w:rPr>
              <w:t>信息形成或者变更之日起</w:t>
            </w:r>
            <w:r>
              <w:rPr>
                <w:rFonts w:hint="eastAsia" w:ascii="仿宋_GB2312" w:hAnsi="仿宋" w:eastAsia="仿宋_GB2312"/>
                <w:color w:val="000000"/>
                <w:sz w:val="18"/>
                <w:szCs w:val="18"/>
                <w:lang w:val="en-US" w:eastAsia="zh-CN"/>
              </w:rPr>
              <w:t>3</w:t>
            </w:r>
            <w:r>
              <w:rPr>
                <w:rFonts w:hint="eastAsia" w:ascii="仿宋_GB2312" w:hAnsi="仿宋" w:eastAsia="仿宋_GB2312"/>
                <w:color w:val="000000"/>
                <w:sz w:val="18"/>
                <w:szCs w:val="18"/>
              </w:rPr>
              <w:t>0个工作日内</w:t>
            </w:r>
          </w:p>
        </w:tc>
        <w:tc>
          <w:tcPr>
            <w:tcW w:w="1545" w:type="dxa"/>
            <w:shd w:val="clear" w:color="auto" w:fill="auto"/>
            <w:noWrap w:val="0"/>
            <w:vAlign w:val="center"/>
          </w:tcPr>
          <w:p w14:paraId="2AB10A89">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s="宋体"/>
                <w:color w:val="000000"/>
                <w:sz w:val="18"/>
                <w:szCs w:val="18"/>
                <w:lang w:eastAsia="zh-CN"/>
              </w:rPr>
              <w:t>峨边彝族自治县教育局</w:t>
            </w:r>
          </w:p>
        </w:tc>
        <w:tc>
          <w:tcPr>
            <w:tcW w:w="1860" w:type="dxa"/>
            <w:shd w:val="clear" w:color="auto" w:fill="auto"/>
            <w:noWrap w:val="0"/>
            <w:vAlign w:val="center"/>
          </w:tcPr>
          <w:p w14:paraId="08575F01">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42AE170F">
            <w:pPr>
              <w:rPr>
                <w:rFonts w:hint="eastAsia" w:ascii="仿宋_GB2312" w:hAnsi="仿宋" w:eastAsia="仿宋_GB2312" w:cs="Times New Roman"/>
                <w:kern w:val="2"/>
                <w:sz w:val="18"/>
                <w:szCs w:val="18"/>
                <w:lang w:val="en-US" w:eastAsia="zh-CN" w:bidi="ar-SA"/>
              </w:rPr>
            </w:pPr>
            <w:r>
              <w:rPr>
                <w:rFonts w:hint="eastAsia" w:ascii="仿宋_GB2312" w:hAnsi="仿宋" w:eastAsia="仿宋_GB2312"/>
                <w:sz w:val="18"/>
                <w:szCs w:val="18"/>
              </w:rPr>
              <w:t xml:space="preserve">■公开查阅点 </w:t>
            </w:r>
          </w:p>
        </w:tc>
        <w:tc>
          <w:tcPr>
            <w:tcW w:w="465" w:type="dxa"/>
            <w:shd w:val="clear" w:color="auto" w:fill="auto"/>
            <w:noWrap/>
            <w:vAlign w:val="center"/>
          </w:tcPr>
          <w:p w14:paraId="57D4363C">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495" w:type="dxa"/>
            <w:shd w:val="clear" w:color="auto" w:fill="auto"/>
            <w:noWrap w:val="0"/>
            <w:vAlign w:val="center"/>
          </w:tcPr>
          <w:p w14:paraId="54AA3729">
            <w:pP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　</w:t>
            </w:r>
          </w:p>
        </w:tc>
        <w:tc>
          <w:tcPr>
            <w:tcW w:w="525" w:type="dxa"/>
            <w:shd w:val="clear" w:color="auto" w:fill="auto"/>
            <w:noWrap/>
            <w:vAlign w:val="center"/>
          </w:tcPr>
          <w:p w14:paraId="62875523">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450" w:type="dxa"/>
            <w:shd w:val="clear" w:color="auto" w:fill="auto"/>
            <w:noWrap w:val="0"/>
            <w:vAlign w:val="center"/>
          </w:tcPr>
          <w:p w14:paraId="150D933E">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　</w:t>
            </w:r>
          </w:p>
        </w:tc>
        <w:tc>
          <w:tcPr>
            <w:tcW w:w="510" w:type="dxa"/>
            <w:shd w:val="clear" w:color="auto" w:fill="auto"/>
            <w:noWrap/>
            <w:vAlign w:val="center"/>
          </w:tcPr>
          <w:p w14:paraId="52AA00C7">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495" w:type="dxa"/>
            <w:shd w:val="clear" w:color="auto" w:fill="auto"/>
            <w:noWrap w:val="0"/>
            <w:vAlign w:val="center"/>
          </w:tcPr>
          <w:p w14:paraId="115C9326">
            <w:pPr>
              <w:jc w:val="center"/>
              <w:rPr>
                <w:rFonts w:hint="eastAsia" w:ascii="仿宋_GB2312" w:hAnsi="仿宋" w:eastAsia="仿宋_GB2312" w:cs="Times New Roman"/>
                <w:color w:val="000000"/>
                <w:kern w:val="2"/>
                <w:sz w:val="18"/>
                <w:szCs w:val="18"/>
                <w:lang w:val="en-US" w:eastAsia="zh-CN" w:bidi="ar-SA"/>
              </w:rPr>
            </w:pPr>
          </w:p>
        </w:tc>
      </w:tr>
      <w:tr w14:paraId="7080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7" w:hRule="atLeast"/>
        </w:trPr>
        <w:tc>
          <w:tcPr>
            <w:tcW w:w="540" w:type="dxa"/>
            <w:noWrap/>
            <w:vAlign w:val="center"/>
          </w:tcPr>
          <w:p w14:paraId="72DD6351">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24</w:t>
            </w:r>
          </w:p>
        </w:tc>
        <w:tc>
          <w:tcPr>
            <w:tcW w:w="540" w:type="dxa"/>
            <w:noWrap w:val="0"/>
            <w:vAlign w:val="center"/>
          </w:tcPr>
          <w:p w14:paraId="59DFD23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政务服务</w:t>
            </w:r>
          </w:p>
        </w:tc>
        <w:tc>
          <w:tcPr>
            <w:tcW w:w="1001" w:type="dxa"/>
            <w:shd w:val="clear" w:color="auto" w:fill="auto"/>
            <w:noWrap w:val="0"/>
            <w:vAlign w:val="center"/>
          </w:tcPr>
          <w:p w14:paraId="63E28D26">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行政许可</w:t>
            </w:r>
          </w:p>
        </w:tc>
        <w:tc>
          <w:tcPr>
            <w:tcW w:w="2655" w:type="dxa"/>
            <w:shd w:val="clear" w:color="auto" w:fill="auto"/>
            <w:noWrap w:val="0"/>
            <w:vAlign w:val="center"/>
          </w:tcPr>
          <w:p w14:paraId="39250548">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适龄儿童、少年因身体状况需要延缓入学或者休学审批</w:t>
            </w:r>
          </w:p>
        </w:tc>
        <w:tc>
          <w:tcPr>
            <w:tcW w:w="2730" w:type="dxa"/>
            <w:shd w:val="clear" w:color="auto" w:fill="auto"/>
            <w:noWrap w:val="0"/>
            <w:vAlign w:val="center"/>
          </w:tcPr>
          <w:p w14:paraId="45E61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_GB2312" w:hAnsi="仿宋_GB2312" w:eastAsia="仿宋_GB2312" w:cs="仿宋_GB2312"/>
                <w:i w:val="0"/>
                <w:color w:val="000000" w:themeColor="text1"/>
                <w:kern w:val="2"/>
                <w:sz w:val="20"/>
                <w:szCs w:val="20"/>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《中华人民共和国义务教育法》</w:t>
            </w:r>
          </w:p>
        </w:tc>
        <w:tc>
          <w:tcPr>
            <w:tcW w:w="1875" w:type="dxa"/>
            <w:shd w:val="clear" w:color="auto" w:fill="auto"/>
            <w:noWrap w:val="0"/>
            <w:vAlign w:val="center"/>
          </w:tcPr>
          <w:p w14:paraId="31AFF73B">
            <w:pPr>
              <w:jc w:val="center"/>
              <w:rPr>
                <w:rFonts w:hint="eastAsia" w:ascii="仿宋_GB2312" w:hAnsi="仿宋" w:eastAsia="仿宋_GB2312" w:cs="Times New Roman"/>
                <w:color w:val="000000"/>
                <w:kern w:val="2"/>
                <w:sz w:val="18"/>
                <w:szCs w:val="18"/>
                <w:lang w:val="en-US" w:eastAsia="zh-CN" w:bidi="ar-SA"/>
              </w:rPr>
            </w:pPr>
            <w:r>
              <w:rPr>
                <w:rFonts w:hint="eastAsia" w:ascii="仿宋_GB2312" w:hAnsi="仿宋" w:eastAsia="仿宋_GB2312"/>
                <w:color w:val="000000"/>
                <w:sz w:val="18"/>
                <w:szCs w:val="18"/>
              </w:rPr>
              <w:t>信息形成或者变更之日起</w:t>
            </w:r>
            <w:r>
              <w:rPr>
                <w:rFonts w:hint="eastAsia" w:ascii="仿宋_GB2312" w:hAnsi="仿宋" w:eastAsia="仿宋_GB2312"/>
                <w:color w:val="000000"/>
                <w:sz w:val="18"/>
                <w:szCs w:val="18"/>
                <w:lang w:val="en-US" w:eastAsia="zh-CN"/>
              </w:rPr>
              <w:t>3</w:t>
            </w:r>
            <w:r>
              <w:rPr>
                <w:rFonts w:hint="eastAsia" w:ascii="仿宋_GB2312" w:hAnsi="仿宋" w:eastAsia="仿宋_GB2312"/>
                <w:color w:val="000000"/>
                <w:sz w:val="18"/>
                <w:szCs w:val="18"/>
              </w:rPr>
              <w:t>0个工作日内</w:t>
            </w:r>
          </w:p>
        </w:tc>
        <w:tc>
          <w:tcPr>
            <w:tcW w:w="1545" w:type="dxa"/>
            <w:shd w:val="clear" w:color="auto" w:fill="auto"/>
            <w:noWrap w:val="0"/>
            <w:vAlign w:val="center"/>
          </w:tcPr>
          <w:p w14:paraId="7258CF19">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s="宋体"/>
                <w:color w:val="000000"/>
                <w:sz w:val="18"/>
                <w:szCs w:val="18"/>
                <w:lang w:eastAsia="zh-CN"/>
              </w:rPr>
              <w:t>峨边彝族自治县教育局</w:t>
            </w:r>
          </w:p>
        </w:tc>
        <w:tc>
          <w:tcPr>
            <w:tcW w:w="1860" w:type="dxa"/>
            <w:shd w:val="clear" w:color="auto" w:fill="auto"/>
            <w:noWrap w:val="0"/>
            <w:vAlign w:val="center"/>
          </w:tcPr>
          <w:p w14:paraId="2B0D384C">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1148A042">
            <w:pPr>
              <w:rPr>
                <w:rFonts w:hint="eastAsia" w:ascii="仿宋_GB2312" w:hAnsi="仿宋" w:eastAsia="仿宋_GB2312" w:cs="Times New Roman"/>
                <w:kern w:val="2"/>
                <w:sz w:val="18"/>
                <w:szCs w:val="18"/>
                <w:lang w:val="en-US" w:eastAsia="zh-CN" w:bidi="ar-SA"/>
              </w:rPr>
            </w:pPr>
            <w:r>
              <w:rPr>
                <w:rFonts w:hint="eastAsia" w:ascii="仿宋_GB2312" w:hAnsi="仿宋" w:eastAsia="仿宋_GB2312"/>
                <w:sz w:val="18"/>
                <w:szCs w:val="18"/>
              </w:rPr>
              <w:t xml:space="preserve">■公开查阅点 </w:t>
            </w:r>
          </w:p>
        </w:tc>
        <w:tc>
          <w:tcPr>
            <w:tcW w:w="465" w:type="dxa"/>
            <w:shd w:val="clear" w:color="auto" w:fill="auto"/>
            <w:noWrap/>
            <w:vAlign w:val="center"/>
          </w:tcPr>
          <w:p w14:paraId="6576FF6D">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495" w:type="dxa"/>
            <w:shd w:val="clear" w:color="auto" w:fill="auto"/>
            <w:noWrap w:val="0"/>
            <w:vAlign w:val="center"/>
          </w:tcPr>
          <w:p w14:paraId="0AF3A651">
            <w:pP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　</w:t>
            </w:r>
          </w:p>
        </w:tc>
        <w:tc>
          <w:tcPr>
            <w:tcW w:w="525" w:type="dxa"/>
            <w:shd w:val="clear" w:color="auto" w:fill="auto"/>
            <w:noWrap/>
            <w:vAlign w:val="center"/>
          </w:tcPr>
          <w:p w14:paraId="4A292546">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450" w:type="dxa"/>
            <w:shd w:val="clear" w:color="auto" w:fill="auto"/>
            <w:noWrap w:val="0"/>
            <w:vAlign w:val="center"/>
          </w:tcPr>
          <w:p w14:paraId="3B2EAFC4">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　</w:t>
            </w:r>
          </w:p>
        </w:tc>
        <w:tc>
          <w:tcPr>
            <w:tcW w:w="510" w:type="dxa"/>
            <w:shd w:val="clear" w:color="auto" w:fill="auto"/>
            <w:noWrap/>
            <w:vAlign w:val="center"/>
          </w:tcPr>
          <w:p w14:paraId="60AD5C99">
            <w:pPr>
              <w:jc w:val="center"/>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495" w:type="dxa"/>
            <w:shd w:val="clear" w:color="auto" w:fill="auto"/>
            <w:noWrap w:val="0"/>
            <w:vAlign w:val="center"/>
          </w:tcPr>
          <w:p w14:paraId="311C41C5">
            <w:pPr>
              <w:jc w:val="center"/>
              <w:rPr>
                <w:rFonts w:hint="eastAsia" w:ascii="仿宋_GB2312" w:hAnsi="仿宋" w:eastAsia="仿宋_GB2312" w:cs="Times New Roman"/>
                <w:color w:val="000000"/>
                <w:kern w:val="2"/>
                <w:sz w:val="18"/>
                <w:szCs w:val="18"/>
                <w:lang w:val="en-US" w:eastAsia="zh-CN" w:bidi="ar-SA"/>
              </w:rPr>
            </w:pPr>
          </w:p>
        </w:tc>
      </w:tr>
      <w:tr w14:paraId="2CB0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1DE836A9">
            <w:pPr>
              <w:widowControl/>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25</w:t>
            </w:r>
          </w:p>
        </w:tc>
        <w:tc>
          <w:tcPr>
            <w:tcW w:w="540" w:type="dxa"/>
            <w:vMerge w:val="restart"/>
            <w:noWrap w:val="0"/>
            <w:vAlign w:val="center"/>
          </w:tcPr>
          <w:p w14:paraId="2E80304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1001" w:type="dxa"/>
            <w:vMerge w:val="restart"/>
            <w:noWrap w:val="0"/>
            <w:vAlign w:val="center"/>
          </w:tcPr>
          <w:p w14:paraId="611030E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2655" w:type="dxa"/>
            <w:noWrap w:val="0"/>
            <w:vAlign w:val="center"/>
          </w:tcPr>
          <w:p w14:paraId="246FB33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2730" w:type="dxa"/>
            <w:vMerge w:val="restart"/>
            <w:noWrap w:val="0"/>
            <w:vAlign w:val="center"/>
          </w:tcPr>
          <w:p w14:paraId="52C786A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地方预决算公开操作规程的通知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》等法律法规和文件规定</w:t>
            </w:r>
          </w:p>
        </w:tc>
        <w:tc>
          <w:tcPr>
            <w:tcW w:w="1875" w:type="dxa"/>
            <w:vMerge w:val="restart"/>
            <w:noWrap w:val="0"/>
            <w:vAlign w:val="center"/>
          </w:tcPr>
          <w:p w14:paraId="208D3B8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1545" w:type="dxa"/>
            <w:vMerge w:val="restart"/>
            <w:noWrap w:val="0"/>
            <w:vAlign w:val="center"/>
          </w:tcPr>
          <w:p w14:paraId="779445D3">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峨边彝族自治县教育局</w:t>
            </w:r>
          </w:p>
        </w:tc>
        <w:tc>
          <w:tcPr>
            <w:tcW w:w="1860" w:type="dxa"/>
            <w:vMerge w:val="restart"/>
            <w:noWrap w:val="0"/>
            <w:vAlign w:val="center"/>
          </w:tcPr>
          <w:p w14:paraId="28D21ED0">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11634E5D">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14:paraId="2C66F3C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465" w:type="dxa"/>
            <w:vMerge w:val="restart"/>
            <w:noWrap w:val="0"/>
            <w:vAlign w:val="center"/>
          </w:tcPr>
          <w:p w14:paraId="1B25051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vMerge w:val="restart"/>
            <w:noWrap w:val="0"/>
            <w:vAlign w:val="center"/>
          </w:tcPr>
          <w:p w14:paraId="4705403E">
            <w:pPr>
              <w:widowControl/>
              <w:jc w:val="center"/>
              <w:textAlignment w:val="center"/>
              <w:rPr>
                <w:rFonts w:ascii="仿宋_GB2312" w:hAnsi="宋体" w:eastAsia="仿宋_GB2312"/>
                <w:color w:val="000000"/>
                <w:sz w:val="18"/>
                <w:szCs w:val="18"/>
              </w:rPr>
            </w:pPr>
          </w:p>
        </w:tc>
        <w:tc>
          <w:tcPr>
            <w:tcW w:w="525" w:type="dxa"/>
            <w:vMerge w:val="restart"/>
            <w:noWrap w:val="0"/>
            <w:vAlign w:val="center"/>
          </w:tcPr>
          <w:p w14:paraId="5AAB678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0" w:type="dxa"/>
            <w:vMerge w:val="restart"/>
            <w:noWrap w:val="0"/>
            <w:vAlign w:val="center"/>
          </w:tcPr>
          <w:p w14:paraId="29D2C1E1">
            <w:pPr>
              <w:widowControl/>
              <w:jc w:val="center"/>
              <w:textAlignment w:val="center"/>
              <w:rPr>
                <w:rFonts w:ascii="仿宋_GB2312" w:hAnsi="宋体" w:eastAsia="仿宋_GB2312"/>
                <w:color w:val="000000"/>
                <w:sz w:val="18"/>
                <w:szCs w:val="18"/>
              </w:rPr>
            </w:pPr>
          </w:p>
        </w:tc>
        <w:tc>
          <w:tcPr>
            <w:tcW w:w="510" w:type="dxa"/>
            <w:vMerge w:val="restart"/>
            <w:noWrap w:val="0"/>
            <w:vAlign w:val="center"/>
          </w:tcPr>
          <w:p w14:paraId="48D5D08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vMerge w:val="restart"/>
            <w:noWrap w:val="0"/>
            <w:vAlign w:val="center"/>
          </w:tcPr>
          <w:p w14:paraId="1EDFC4C3">
            <w:pPr>
              <w:widowControl/>
              <w:jc w:val="center"/>
              <w:textAlignment w:val="center"/>
              <w:rPr>
                <w:rFonts w:ascii="仿宋_GB2312" w:hAnsi="宋体" w:eastAsia="仿宋_GB2312"/>
                <w:color w:val="000000"/>
                <w:sz w:val="18"/>
                <w:szCs w:val="18"/>
              </w:rPr>
            </w:pPr>
          </w:p>
        </w:tc>
      </w:tr>
      <w:tr w14:paraId="7A5A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A057D23">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2EFDC3AE">
            <w:pPr>
              <w:widowControl/>
              <w:jc w:val="center"/>
              <w:textAlignment w:val="center"/>
              <w:rPr>
                <w:rFonts w:hint="eastAsia" w:ascii="仿宋_GB2312" w:hAnsi="宋体" w:eastAsia="仿宋_GB2312"/>
                <w:color w:val="000000"/>
                <w:sz w:val="18"/>
                <w:szCs w:val="18"/>
              </w:rPr>
            </w:pPr>
          </w:p>
        </w:tc>
        <w:tc>
          <w:tcPr>
            <w:tcW w:w="1001" w:type="dxa"/>
            <w:vMerge w:val="continue"/>
            <w:noWrap w:val="0"/>
            <w:vAlign w:val="center"/>
          </w:tcPr>
          <w:p w14:paraId="21D0708A">
            <w:pPr>
              <w:widowControl/>
              <w:jc w:val="center"/>
              <w:textAlignment w:val="center"/>
              <w:rPr>
                <w:rFonts w:hint="eastAsia" w:ascii="仿宋_GB2312" w:hAnsi="宋体" w:eastAsia="仿宋_GB2312"/>
                <w:color w:val="000000"/>
                <w:sz w:val="18"/>
                <w:szCs w:val="18"/>
              </w:rPr>
            </w:pPr>
          </w:p>
        </w:tc>
        <w:tc>
          <w:tcPr>
            <w:tcW w:w="2655" w:type="dxa"/>
            <w:noWrap w:val="0"/>
            <w:vAlign w:val="center"/>
          </w:tcPr>
          <w:p w14:paraId="61FC0F1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2730" w:type="dxa"/>
            <w:vMerge w:val="continue"/>
            <w:noWrap w:val="0"/>
            <w:vAlign w:val="center"/>
          </w:tcPr>
          <w:p w14:paraId="09938811">
            <w:pPr>
              <w:widowControl/>
              <w:jc w:val="center"/>
              <w:textAlignment w:val="center"/>
              <w:rPr>
                <w:rFonts w:ascii="仿宋_GB2312" w:hAnsi="宋体" w:eastAsia="仿宋_GB2312"/>
                <w:color w:val="000000"/>
                <w:sz w:val="18"/>
                <w:szCs w:val="18"/>
              </w:rPr>
            </w:pPr>
          </w:p>
        </w:tc>
        <w:tc>
          <w:tcPr>
            <w:tcW w:w="1875" w:type="dxa"/>
            <w:vMerge w:val="continue"/>
            <w:noWrap w:val="0"/>
            <w:vAlign w:val="center"/>
          </w:tcPr>
          <w:p w14:paraId="22CA3ECC">
            <w:pPr>
              <w:widowControl/>
              <w:jc w:val="center"/>
              <w:textAlignment w:val="center"/>
              <w:rPr>
                <w:rFonts w:ascii="仿宋_GB2312" w:hAnsi="宋体" w:eastAsia="仿宋_GB2312"/>
                <w:color w:val="000000"/>
                <w:sz w:val="18"/>
                <w:szCs w:val="18"/>
              </w:rPr>
            </w:pPr>
          </w:p>
        </w:tc>
        <w:tc>
          <w:tcPr>
            <w:tcW w:w="1545" w:type="dxa"/>
            <w:vMerge w:val="continue"/>
            <w:noWrap w:val="0"/>
            <w:vAlign w:val="center"/>
          </w:tcPr>
          <w:p w14:paraId="74BD4E5F">
            <w:pPr>
              <w:widowControl/>
              <w:jc w:val="center"/>
              <w:textAlignment w:val="center"/>
              <w:rPr>
                <w:rFonts w:ascii="仿宋_GB2312" w:hAnsi="宋体" w:eastAsia="仿宋_GB2312"/>
                <w:color w:val="000000"/>
                <w:sz w:val="18"/>
                <w:szCs w:val="18"/>
              </w:rPr>
            </w:pPr>
          </w:p>
        </w:tc>
        <w:tc>
          <w:tcPr>
            <w:tcW w:w="1860" w:type="dxa"/>
            <w:vMerge w:val="continue"/>
            <w:noWrap w:val="0"/>
            <w:vAlign w:val="center"/>
          </w:tcPr>
          <w:p w14:paraId="06C400C0">
            <w:pPr>
              <w:widowControl/>
              <w:jc w:val="center"/>
              <w:textAlignment w:val="center"/>
              <w:rPr>
                <w:rFonts w:ascii="仿宋_GB2312" w:hAnsi="宋体" w:eastAsia="仿宋_GB2312"/>
                <w:color w:val="000000"/>
                <w:sz w:val="18"/>
                <w:szCs w:val="18"/>
              </w:rPr>
            </w:pPr>
          </w:p>
        </w:tc>
        <w:tc>
          <w:tcPr>
            <w:tcW w:w="465" w:type="dxa"/>
            <w:vMerge w:val="continue"/>
            <w:noWrap w:val="0"/>
            <w:vAlign w:val="center"/>
          </w:tcPr>
          <w:p w14:paraId="4641ECF0">
            <w:pPr>
              <w:widowControl/>
              <w:jc w:val="center"/>
              <w:textAlignment w:val="center"/>
              <w:rPr>
                <w:rFonts w:ascii="仿宋_GB2312" w:hAnsi="宋体" w:eastAsia="仿宋_GB2312"/>
                <w:color w:val="000000"/>
                <w:sz w:val="18"/>
                <w:szCs w:val="18"/>
              </w:rPr>
            </w:pPr>
          </w:p>
        </w:tc>
        <w:tc>
          <w:tcPr>
            <w:tcW w:w="495" w:type="dxa"/>
            <w:vMerge w:val="continue"/>
            <w:noWrap w:val="0"/>
            <w:vAlign w:val="center"/>
          </w:tcPr>
          <w:p w14:paraId="4DC5F49A">
            <w:pPr>
              <w:widowControl/>
              <w:jc w:val="center"/>
              <w:textAlignment w:val="center"/>
              <w:rPr>
                <w:rFonts w:ascii="仿宋_GB2312" w:hAnsi="宋体" w:eastAsia="仿宋_GB2312"/>
                <w:color w:val="000000"/>
                <w:sz w:val="18"/>
                <w:szCs w:val="18"/>
              </w:rPr>
            </w:pPr>
          </w:p>
        </w:tc>
        <w:tc>
          <w:tcPr>
            <w:tcW w:w="525" w:type="dxa"/>
            <w:vMerge w:val="continue"/>
            <w:noWrap w:val="0"/>
            <w:vAlign w:val="center"/>
          </w:tcPr>
          <w:p w14:paraId="19817406">
            <w:pPr>
              <w:widowControl/>
              <w:jc w:val="center"/>
              <w:textAlignment w:val="center"/>
              <w:rPr>
                <w:rFonts w:ascii="仿宋_GB2312" w:hAnsi="宋体" w:eastAsia="仿宋_GB2312"/>
                <w:color w:val="000000"/>
                <w:sz w:val="18"/>
                <w:szCs w:val="18"/>
              </w:rPr>
            </w:pPr>
          </w:p>
        </w:tc>
        <w:tc>
          <w:tcPr>
            <w:tcW w:w="450" w:type="dxa"/>
            <w:vMerge w:val="continue"/>
            <w:noWrap w:val="0"/>
            <w:vAlign w:val="center"/>
          </w:tcPr>
          <w:p w14:paraId="336C4967">
            <w:pPr>
              <w:widowControl/>
              <w:jc w:val="center"/>
              <w:textAlignment w:val="center"/>
              <w:rPr>
                <w:rFonts w:ascii="仿宋_GB2312" w:hAnsi="宋体" w:eastAsia="仿宋_GB2312"/>
                <w:color w:val="000000"/>
                <w:sz w:val="18"/>
                <w:szCs w:val="18"/>
              </w:rPr>
            </w:pPr>
          </w:p>
        </w:tc>
        <w:tc>
          <w:tcPr>
            <w:tcW w:w="510" w:type="dxa"/>
            <w:vMerge w:val="continue"/>
            <w:noWrap w:val="0"/>
            <w:vAlign w:val="center"/>
          </w:tcPr>
          <w:p w14:paraId="602F105E">
            <w:pPr>
              <w:widowControl/>
              <w:jc w:val="center"/>
              <w:textAlignment w:val="center"/>
              <w:rPr>
                <w:rFonts w:ascii="仿宋_GB2312" w:hAnsi="宋体" w:eastAsia="仿宋_GB2312"/>
                <w:color w:val="000000"/>
                <w:sz w:val="18"/>
                <w:szCs w:val="18"/>
              </w:rPr>
            </w:pPr>
          </w:p>
        </w:tc>
        <w:tc>
          <w:tcPr>
            <w:tcW w:w="495" w:type="dxa"/>
            <w:vMerge w:val="continue"/>
            <w:noWrap w:val="0"/>
            <w:vAlign w:val="center"/>
          </w:tcPr>
          <w:p w14:paraId="29AB3773">
            <w:pPr>
              <w:widowControl/>
              <w:jc w:val="center"/>
              <w:textAlignment w:val="center"/>
              <w:rPr>
                <w:rFonts w:ascii="仿宋_GB2312" w:hAnsi="宋体" w:eastAsia="仿宋_GB2312"/>
                <w:color w:val="000000"/>
                <w:sz w:val="18"/>
                <w:szCs w:val="18"/>
              </w:rPr>
            </w:pPr>
          </w:p>
        </w:tc>
      </w:tr>
      <w:tr w14:paraId="3A26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7790D6CD">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78E049A6">
            <w:pPr>
              <w:widowControl/>
              <w:jc w:val="center"/>
              <w:textAlignment w:val="center"/>
              <w:rPr>
                <w:rFonts w:hint="eastAsia" w:ascii="仿宋_GB2312" w:hAnsi="宋体" w:eastAsia="仿宋_GB2312"/>
                <w:color w:val="000000"/>
                <w:sz w:val="18"/>
                <w:szCs w:val="18"/>
              </w:rPr>
            </w:pPr>
          </w:p>
        </w:tc>
        <w:tc>
          <w:tcPr>
            <w:tcW w:w="1001" w:type="dxa"/>
            <w:vMerge w:val="continue"/>
            <w:noWrap w:val="0"/>
            <w:vAlign w:val="center"/>
          </w:tcPr>
          <w:p w14:paraId="38EF06AE">
            <w:pPr>
              <w:widowControl/>
              <w:jc w:val="center"/>
              <w:textAlignment w:val="center"/>
              <w:rPr>
                <w:rFonts w:hint="eastAsia" w:ascii="仿宋_GB2312" w:hAnsi="宋体" w:eastAsia="仿宋_GB2312"/>
                <w:color w:val="000000"/>
                <w:sz w:val="18"/>
                <w:szCs w:val="18"/>
              </w:rPr>
            </w:pPr>
          </w:p>
        </w:tc>
        <w:tc>
          <w:tcPr>
            <w:tcW w:w="2655" w:type="dxa"/>
            <w:noWrap w:val="0"/>
            <w:vAlign w:val="center"/>
          </w:tcPr>
          <w:p w14:paraId="7DD36E0C">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2730" w:type="dxa"/>
            <w:vMerge w:val="continue"/>
            <w:noWrap w:val="0"/>
            <w:vAlign w:val="center"/>
          </w:tcPr>
          <w:p w14:paraId="2BD0D423">
            <w:pPr>
              <w:widowControl/>
              <w:jc w:val="center"/>
              <w:textAlignment w:val="center"/>
              <w:rPr>
                <w:rFonts w:ascii="仿宋_GB2312" w:hAnsi="宋体" w:eastAsia="仿宋_GB2312"/>
                <w:color w:val="000000"/>
                <w:sz w:val="18"/>
                <w:szCs w:val="18"/>
              </w:rPr>
            </w:pPr>
          </w:p>
        </w:tc>
        <w:tc>
          <w:tcPr>
            <w:tcW w:w="1875" w:type="dxa"/>
            <w:vMerge w:val="continue"/>
            <w:noWrap w:val="0"/>
            <w:vAlign w:val="center"/>
          </w:tcPr>
          <w:p w14:paraId="5EDDF47E">
            <w:pPr>
              <w:widowControl/>
              <w:jc w:val="center"/>
              <w:textAlignment w:val="center"/>
              <w:rPr>
                <w:rFonts w:ascii="仿宋_GB2312" w:hAnsi="宋体" w:eastAsia="仿宋_GB2312"/>
                <w:color w:val="000000"/>
                <w:sz w:val="18"/>
                <w:szCs w:val="18"/>
              </w:rPr>
            </w:pPr>
          </w:p>
        </w:tc>
        <w:tc>
          <w:tcPr>
            <w:tcW w:w="1545" w:type="dxa"/>
            <w:vMerge w:val="continue"/>
            <w:noWrap w:val="0"/>
            <w:vAlign w:val="center"/>
          </w:tcPr>
          <w:p w14:paraId="727856C2">
            <w:pPr>
              <w:widowControl/>
              <w:jc w:val="center"/>
              <w:textAlignment w:val="center"/>
              <w:rPr>
                <w:rFonts w:ascii="仿宋_GB2312" w:hAnsi="宋体" w:eastAsia="仿宋_GB2312"/>
                <w:color w:val="000000"/>
                <w:sz w:val="18"/>
                <w:szCs w:val="18"/>
              </w:rPr>
            </w:pPr>
          </w:p>
        </w:tc>
        <w:tc>
          <w:tcPr>
            <w:tcW w:w="1860" w:type="dxa"/>
            <w:vMerge w:val="continue"/>
            <w:noWrap w:val="0"/>
            <w:vAlign w:val="center"/>
          </w:tcPr>
          <w:p w14:paraId="59B9ED74">
            <w:pPr>
              <w:widowControl/>
              <w:jc w:val="center"/>
              <w:textAlignment w:val="center"/>
              <w:rPr>
                <w:rFonts w:ascii="仿宋_GB2312" w:hAnsi="宋体" w:eastAsia="仿宋_GB2312"/>
                <w:color w:val="000000"/>
                <w:sz w:val="18"/>
                <w:szCs w:val="18"/>
              </w:rPr>
            </w:pPr>
          </w:p>
        </w:tc>
        <w:tc>
          <w:tcPr>
            <w:tcW w:w="465" w:type="dxa"/>
            <w:vMerge w:val="continue"/>
            <w:noWrap w:val="0"/>
            <w:vAlign w:val="center"/>
          </w:tcPr>
          <w:p w14:paraId="0BCC7A7C">
            <w:pPr>
              <w:widowControl/>
              <w:jc w:val="center"/>
              <w:textAlignment w:val="center"/>
              <w:rPr>
                <w:rFonts w:ascii="仿宋_GB2312" w:hAnsi="宋体" w:eastAsia="仿宋_GB2312"/>
                <w:color w:val="000000"/>
                <w:sz w:val="18"/>
                <w:szCs w:val="18"/>
              </w:rPr>
            </w:pPr>
          </w:p>
        </w:tc>
        <w:tc>
          <w:tcPr>
            <w:tcW w:w="495" w:type="dxa"/>
            <w:vMerge w:val="continue"/>
            <w:noWrap w:val="0"/>
            <w:vAlign w:val="center"/>
          </w:tcPr>
          <w:p w14:paraId="5A9A6D90">
            <w:pPr>
              <w:widowControl/>
              <w:jc w:val="center"/>
              <w:textAlignment w:val="center"/>
              <w:rPr>
                <w:rFonts w:ascii="仿宋_GB2312" w:hAnsi="宋体" w:eastAsia="仿宋_GB2312"/>
                <w:color w:val="000000"/>
                <w:sz w:val="18"/>
                <w:szCs w:val="18"/>
              </w:rPr>
            </w:pPr>
          </w:p>
        </w:tc>
        <w:tc>
          <w:tcPr>
            <w:tcW w:w="525" w:type="dxa"/>
            <w:vMerge w:val="continue"/>
            <w:noWrap w:val="0"/>
            <w:vAlign w:val="center"/>
          </w:tcPr>
          <w:p w14:paraId="495E39C0">
            <w:pPr>
              <w:widowControl/>
              <w:jc w:val="center"/>
              <w:textAlignment w:val="center"/>
              <w:rPr>
                <w:rFonts w:ascii="仿宋_GB2312" w:hAnsi="宋体" w:eastAsia="仿宋_GB2312"/>
                <w:color w:val="000000"/>
                <w:sz w:val="18"/>
                <w:szCs w:val="18"/>
              </w:rPr>
            </w:pPr>
          </w:p>
        </w:tc>
        <w:tc>
          <w:tcPr>
            <w:tcW w:w="450" w:type="dxa"/>
            <w:vMerge w:val="continue"/>
            <w:noWrap w:val="0"/>
            <w:vAlign w:val="center"/>
          </w:tcPr>
          <w:p w14:paraId="7F2ACF58">
            <w:pPr>
              <w:widowControl/>
              <w:jc w:val="center"/>
              <w:textAlignment w:val="center"/>
              <w:rPr>
                <w:rFonts w:ascii="仿宋_GB2312" w:hAnsi="宋体" w:eastAsia="仿宋_GB2312"/>
                <w:color w:val="000000"/>
                <w:sz w:val="18"/>
                <w:szCs w:val="18"/>
              </w:rPr>
            </w:pPr>
          </w:p>
        </w:tc>
        <w:tc>
          <w:tcPr>
            <w:tcW w:w="510" w:type="dxa"/>
            <w:vMerge w:val="continue"/>
            <w:noWrap w:val="0"/>
            <w:vAlign w:val="center"/>
          </w:tcPr>
          <w:p w14:paraId="63882F1D">
            <w:pPr>
              <w:widowControl/>
              <w:jc w:val="center"/>
              <w:textAlignment w:val="center"/>
              <w:rPr>
                <w:rFonts w:ascii="仿宋_GB2312" w:hAnsi="宋体" w:eastAsia="仿宋_GB2312"/>
                <w:color w:val="000000"/>
                <w:sz w:val="18"/>
                <w:szCs w:val="18"/>
              </w:rPr>
            </w:pPr>
          </w:p>
        </w:tc>
        <w:tc>
          <w:tcPr>
            <w:tcW w:w="495" w:type="dxa"/>
            <w:vMerge w:val="continue"/>
            <w:noWrap w:val="0"/>
            <w:vAlign w:val="center"/>
          </w:tcPr>
          <w:p w14:paraId="3FE067D6">
            <w:pPr>
              <w:widowControl/>
              <w:jc w:val="center"/>
              <w:textAlignment w:val="center"/>
              <w:rPr>
                <w:rFonts w:ascii="仿宋_GB2312" w:hAnsi="宋体" w:eastAsia="仿宋_GB2312"/>
                <w:color w:val="000000"/>
                <w:sz w:val="18"/>
                <w:szCs w:val="18"/>
              </w:rPr>
            </w:pPr>
          </w:p>
        </w:tc>
      </w:tr>
      <w:tr w14:paraId="5F0A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5CCA856D">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156E6617">
            <w:pPr>
              <w:widowControl/>
              <w:jc w:val="center"/>
              <w:textAlignment w:val="center"/>
              <w:rPr>
                <w:rFonts w:hint="eastAsia" w:ascii="仿宋_GB2312" w:hAnsi="宋体" w:eastAsia="仿宋_GB2312"/>
                <w:color w:val="000000"/>
                <w:sz w:val="18"/>
                <w:szCs w:val="18"/>
              </w:rPr>
            </w:pPr>
          </w:p>
        </w:tc>
        <w:tc>
          <w:tcPr>
            <w:tcW w:w="1001" w:type="dxa"/>
            <w:vMerge w:val="continue"/>
            <w:noWrap w:val="0"/>
            <w:vAlign w:val="center"/>
          </w:tcPr>
          <w:p w14:paraId="712A6024">
            <w:pPr>
              <w:widowControl/>
              <w:jc w:val="center"/>
              <w:textAlignment w:val="center"/>
              <w:rPr>
                <w:rFonts w:hint="eastAsia" w:ascii="仿宋_GB2312" w:hAnsi="宋体" w:eastAsia="仿宋_GB2312"/>
                <w:color w:val="000000"/>
                <w:sz w:val="18"/>
                <w:szCs w:val="18"/>
              </w:rPr>
            </w:pPr>
          </w:p>
        </w:tc>
        <w:tc>
          <w:tcPr>
            <w:tcW w:w="2655" w:type="dxa"/>
            <w:noWrap w:val="0"/>
            <w:vAlign w:val="center"/>
          </w:tcPr>
          <w:p w14:paraId="30522B9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2730" w:type="dxa"/>
            <w:vMerge w:val="continue"/>
            <w:noWrap w:val="0"/>
            <w:vAlign w:val="center"/>
          </w:tcPr>
          <w:p w14:paraId="37434FDC">
            <w:pPr>
              <w:widowControl/>
              <w:jc w:val="center"/>
              <w:textAlignment w:val="center"/>
              <w:rPr>
                <w:rFonts w:ascii="仿宋_GB2312" w:hAnsi="宋体" w:eastAsia="仿宋_GB2312"/>
                <w:color w:val="000000"/>
                <w:sz w:val="18"/>
                <w:szCs w:val="18"/>
              </w:rPr>
            </w:pPr>
          </w:p>
        </w:tc>
        <w:tc>
          <w:tcPr>
            <w:tcW w:w="1875" w:type="dxa"/>
            <w:vMerge w:val="continue"/>
            <w:noWrap w:val="0"/>
            <w:vAlign w:val="center"/>
          </w:tcPr>
          <w:p w14:paraId="05A09FA4">
            <w:pPr>
              <w:widowControl/>
              <w:jc w:val="center"/>
              <w:textAlignment w:val="center"/>
              <w:rPr>
                <w:rFonts w:ascii="仿宋_GB2312" w:hAnsi="宋体" w:eastAsia="仿宋_GB2312"/>
                <w:color w:val="000000"/>
                <w:sz w:val="18"/>
                <w:szCs w:val="18"/>
              </w:rPr>
            </w:pPr>
          </w:p>
        </w:tc>
        <w:tc>
          <w:tcPr>
            <w:tcW w:w="1545" w:type="dxa"/>
            <w:vMerge w:val="continue"/>
            <w:noWrap w:val="0"/>
            <w:vAlign w:val="center"/>
          </w:tcPr>
          <w:p w14:paraId="0A1DA629">
            <w:pPr>
              <w:widowControl/>
              <w:jc w:val="center"/>
              <w:textAlignment w:val="center"/>
              <w:rPr>
                <w:rFonts w:ascii="仿宋_GB2312" w:hAnsi="宋体" w:eastAsia="仿宋_GB2312"/>
                <w:color w:val="000000"/>
                <w:sz w:val="18"/>
                <w:szCs w:val="18"/>
              </w:rPr>
            </w:pPr>
          </w:p>
        </w:tc>
        <w:tc>
          <w:tcPr>
            <w:tcW w:w="1860" w:type="dxa"/>
            <w:vMerge w:val="continue"/>
            <w:noWrap w:val="0"/>
            <w:vAlign w:val="center"/>
          </w:tcPr>
          <w:p w14:paraId="4DCAF848">
            <w:pPr>
              <w:widowControl/>
              <w:jc w:val="center"/>
              <w:textAlignment w:val="center"/>
              <w:rPr>
                <w:rFonts w:ascii="仿宋_GB2312" w:hAnsi="宋体" w:eastAsia="仿宋_GB2312"/>
                <w:color w:val="000000"/>
                <w:sz w:val="18"/>
                <w:szCs w:val="18"/>
              </w:rPr>
            </w:pPr>
          </w:p>
        </w:tc>
        <w:tc>
          <w:tcPr>
            <w:tcW w:w="465" w:type="dxa"/>
            <w:vMerge w:val="continue"/>
            <w:noWrap w:val="0"/>
            <w:vAlign w:val="center"/>
          </w:tcPr>
          <w:p w14:paraId="5B45C667">
            <w:pPr>
              <w:widowControl/>
              <w:jc w:val="center"/>
              <w:textAlignment w:val="center"/>
              <w:rPr>
                <w:rFonts w:ascii="仿宋_GB2312" w:hAnsi="宋体" w:eastAsia="仿宋_GB2312"/>
                <w:color w:val="000000"/>
                <w:sz w:val="18"/>
                <w:szCs w:val="18"/>
              </w:rPr>
            </w:pPr>
          </w:p>
        </w:tc>
        <w:tc>
          <w:tcPr>
            <w:tcW w:w="495" w:type="dxa"/>
            <w:vMerge w:val="continue"/>
            <w:noWrap w:val="0"/>
            <w:vAlign w:val="center"/>
          </w:tcPr>
          <w:p w14:paraId="2222678C">
            <w:pPr>
              <w:widowControl/>
              <w:jc w:val="center"/>
              <w:textAlignment w:val="center"/>
              <w:rPr>
                <w:rFonts w:ascii="仿宋_GB2312" w:hAnsi="宋体" w:eastAsia="仿宋_GB2312"/>
                <w:color w:val="000000"/>
                <w:sz w:val="18"/>
                <w:szCs w:val="18"/>
              </w:rPr>
            </w:pPr>
          </w:p>
        </w:tc>
        <w:tc>
          <w:tcPr>
            <w:tcW w:w="525" w:type="dxa"/>
            <w:vMerge w:val="continue"/>
            <w:noWrap w:val="0"/>
            <w:vAlign w:val="center"/>
          </w:tcPr>
          <w:p w14:paraId="4013854C">
            <w:pPr>
              <w:widowControl/>
              <w:jc w:val="center"/>
              <w:textAlignment w:val="center"/>
              <w:rPr>
                <w:rFonts w:ascii="仿宋_GB2312" w:hAnsi="宋体" w:eastAsia="仿宋_GB2312"/>
                <w:color w:val="000000"/>
                <w:sz w:val="18"/>
                <w:szCs w:val="18"/>
              </w:rPr>
            </w:pPr>
          </w:p>
        </w:tc>
        <w:tc>
          <w:tcPr>
            <w:tcW w:w="450" w:type="dxa"/>
            <w:vMerge w:val="continue"/>
            <w:noWrap w:val="0"/>
            <w:vAlign w:val="center"/>
          </w:tcPr>
          <w:p w14:paraId="64AAD034">
            <w:pPr>
              <w:widowControl/>
              <w:jc w:val="center"/>
              <w:textAlignment w:val="center"/>
              <w:rPr>
                <w:rFonts w:ascii="仿宋_GB2312" w:hAnsi="宋体" w:eastAsia="仿宋_GB2312"/>
                <w:color w:val="000000"/>
                <w:sz w:val="18"/>
                <w:szCs w:val="18"/>
              </w:rPr>
            </w:pPr>
          </w:p>
        </w:tc>
        <w:tc>
          <w:tcPr>
            <w:tcW w:w="510" w:type="dxa"/>
            <w:vMerge w:val="continue"/>
            <w:noWrap w:val="0"/>
            <w:vAlign w:val="center"/>
          </w:tcPr>
          <w:p w14:paraId="44C62DAC">
            <w:pPr>
              <w:widowControl/>
              <w:jc w:val="center"/>
              <w:textAlignment w:val="center"/>
              <w:rPr>
                <w:rFonts w:ascii="仿宋_GB2312" w:hAnsi="宋体" w:eastAsia="仿宋_GB2312"/>
                <w:color w:val="000000"/>
                <w:sz w:val="18"/>
                <w:szCs w:val="18"/>
              </w:rPr>
            </w:pPr>
          </w:p>
        </w:tc>
        <w:tc>
          <w:tcPr>
            <w:tcW w:w="495" w:type="dxa"/>
            <w:vMerge w:val="continue"/>
            <w:noWrap w:val="0"/>
            <w:vAlign w:val="center"/>
          </w:tcPr>
          <w:p w14:paraId="4721FB7D">
            <w:pPr>
              <w:widowControl/>
              <w:jc w:val="center"/>
              <w:textAlignment w:val="center"/>
              <w:rPr>
                <w:rFonts w:ascii="仿宋_GB2312" w:hAnsi="宋体" w:eastAsia="仿宋_GB2312"/>
                <w:color w:val="000000"/>
                <w:sz w:val="18"/>
                <w:szCs w:val="18"/>
              </w:rPr>
            </w:pPr>
          </w:p>
        </w:tc>
      </w:tr>
      <w:tr w14:paraId="1D77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61E232C4">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054ECB5A">
            <w:pPr>
              <w:widowControl/>
              <w:jc w:val="center"/>
              <w:textAlignment w:val="center"/>
              <w:rPr>
                <w:rFonts w:hint="eastAsia" w:ascii="仿宋_GB2312" w:hAnsi="宋体" w:eastAsia="仿宋_GB2312"/>
                <w:color w:val="000000"/>
                <w:sz w:val="18"/>
                <w:szCs w:val="18"/>
              </w:rPr>
            </w:pPr>
          </w:p>
        </w:tc>
        <w:tc>
          <w:tcPr>
            <w:tcW w:w="1001" w:type="dxa"/>
            <w:vMerge w:val="continue"/>
            <w:noWrap w:val="0"/>
            <w:vAlign w:val="center"/>
          </w:tcPr>
          <w:p w14:paraId="6AAD7A83">
            <w:pPr>
              <w:widowControl/>
              <w:jc w:val="center"/>
              <w:textAlignment w:val="center"/>
              <w:rPr>
                <w:rFonts w:hint="eastAsia" w:ascii="仿宋_GB2312" w:hAnsi="宋体" w:eastAsia="仿宋_GB2312"/>
                <w:color w:val="000000"/>
                <w:sz w:val="18"/>
                <w:szCs w:val="18"/>
              </w:rPr>
            </w:pPr>
          </w:p>
        </w:tc>
        <w:tc>
          <w:tcPr>
            <w:tcW w:w="2655" w:type="dxa"/>
            <w:noWrap w:val="0"/>
            <w:vAlign w:val="center"/>
          </w:tcPr>
          <w:p w14:paraId="20C58115">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2730" w:type="dxa"/>
            <w:vMerge w:val="continue"/>
            <w:noWrap w:val="0"/>
            <w:vAlign w:val="center"/>
          </w:tcPr>
          <w:p w14:paraId="397DA820">
            <w:pPr>
              <w:widowControl/>
              <w:jc w:val="center"/>
              <w:textAlignment w:val="center"/>
              <w:rPr>
                <w:rFonts w:ascii="仿宋_GB2312" w:hAnsi="宋体" w:eastAsia="仿宋_GB2312"/>
                <w:color w:val="000000"/>
                <w:sz w:val="18"/>
                <w:szCs w:val="18"/>
              </w:rPr>
            </w:pPr>
          </w:p>
        </w:tc>
        <w:tc>
          <w:tcPr>
            <w:tcW w:w="1875" w:type="dxa"/>
            <w:vMerge w:val="continue"/>
            <w:noWrap w:val="0"/>
            <w:vAlign w:val="center"/>
          </w:tcPr>
          <w:p w14:paraId="345D42FD">
            <w:pPr>
              <w:widowControl/>
              <w:jc w:val="center"/>
              <w:textAlignment w:val="center"/>
              <w:rPr>
                <w:rFonts w:ascii="仿宋_GB2312" w:hAnsi="宋体" w:eastAsia="仿宋_GB2312"/>
                <w:color w:val="000000"/>
                <w:sz w:val="18"/>
                <w:szCs w:val="18"/>
              </w:rPr>
            </w:pPr>
          </w:p>
        </w:tc>
        <w:tc>
          <w:tcPr>
            <w:tcW w:w="1545" w:type="dxa"/>
            <w:vMerge w:val="continue"/>
            <w:noWrap w:val="0"/>
            <w:vAlign w:val="center"/>
          </w:tcPr>
          <w:p w14:paraId="0291A229">
            <w:pPr>
              <w:widowControl/>
              <w:jc w:val="center"/>
              <w:textAlignment w:val="center"/>
              <w:rPr>
                <w:rFonts w:ascii="仿宋_GB2312" w:hAnsi="宋体" w:eastAsia="仿宋_GB2312"/>
                <w:color w:val="000000"/>
                <w:sz w:val="18"/>
                <w:szCs w:val="18"/>
              </w:rPr>
            </w:pPr>
          </w:p>
        </w:tc>
        <w:tc>
          <w:tcPr>
            <w:tcW w:w="1860" w:type="dxa"/>
            <w:vMerge w:val="continue"/>
            <w:noWrap w:val="0"/>
            <w:vAlign w:val="center"/>
          </w:tcPr>
          <w:p w14:paraId="1E5A1735">
            <w:pPr>
              <w:widowControl/>
              <w:jc w:val="center"/>
              <w:textAlignment w:val="center"/>
              <w:rPr>
                <w:rFonts w:ascii="仿宋_GB2312" w:hAnsi="宋体" w:eastAsia="仿宋_GB2312"/>
                <w:color w:val="000000"/>
                <w:sz w:val="18"/>
                <w:szCs w:val="18"/>
              </w:rPr>
            </w:pPr>
          </w:p>
        </w:tc>
        <w:tc>
          <w:tcPr>
            <w:tcW w:w="465" w:type="dxa"/>
            <w:vMerge w:val="continue"/>
            <w:noWrap w:val="0"/>
            <w:vAlign w:val="center"/>
          </w:tcPr>
          <w:p w14:paraId="2D008363">
            <w:pPr>
              <w:widowControl/>
              <w:jc w:val="center"/>
              <w:textAlignment w:val="center"/>
              <w:rPr>
                <w:rFonts w:ascii="仿宋_GB2312" w:hAnsi="宋体" w:eastAsia="仿宋_GB2312"/>
                <w:color w:val="000000"/>
                <w:sz w:val="18"/>
                <w:szCs w:val="18"/>
              </w:rPr>
            </w:pPr>
          </w:p>
        </w:tc>
        <w:tc>
          <w:tcPr>
            <w:tcW w:w="495" w:type="dxa"/>
            <w:vMerge w:val="continue"/>
            <w:noWrap w:val="0"/>
            <w:vAlign w:val="center"/>
          </w:tcPr>
          <w:p w14:paraId="32D62B39">
            <w:pPr>
              <w:widowControl/>
              <w:jc w:val="center"/>
              <w:textAlignment w:val="center"/>
              <w:rPr>
                <w:rFonts w:ascii="仿宋_GB2312" w:hAnsi="宋体" w:eastAsia="仿宋_GB2312"/>
                <w:color w:val="000000"/>
                <w:sz w:val="18"/>
                <w:szCs w:val="18"/>
              </w:rPr>
            </w:pPr>
          </w:p>
        </w:tc>
        <w:tc>
          <w:tcPr>
            <w:tcW w:w="525" w:type="dxa"/>
            <w:vMerge w:val="continue"/>
            <w:noWrap w:val="0"/>
            <w:vAlign w:val="center"/>
          </w:tcPr>
          <w:p w14:paraId="1A9366BE">
            <w:pPr>
              <w:widowControl/>
              <w:jc w:val="center"/>
              <w:textAlignment w:val="center"/>
              <w:rPr>
                <w:rFonts w:ascii="仿宋_GB2312" w:hAnsi="宋体" w:eastAsia="仿宋_GB2312"/>
                <w:color w:val="000000"/>
                <w:sz w:val="18"/>
                <w:szCs w:val="18"/>
              </w:rPr>
            </w:pPr>
          </w:p>
        </w:tc>
        <w:tc>
          <w:tcPr>
            <w:tcW w:w="450" w:type="dxa"/>
            <w:vMerge w:val="continue"/>
            <w:noWrap w:val="0"/>
            <w:vAlign w:val="center"/>
          </w:tcPr>
          <w:p w14:paraId="28ED460C">
            <w:pPr>
              <w:widowControl/>
              <w:jc w:val="center"/>
              <w:textAlignment w:val="center"/>
              <w:rPr>
                <w:rFonts w:ascii="仿宋_GB2312" w:hAnsi="宋体" w:eastAsia="仿宋_GB2312"/>
                <w:color w:val="000000"/>
                <w:sz w:val="18"/>
                <w:szCs w:val="18"/>
              </w:rPr>
            </w:pPr>
          </w:p>
        </w:tc>
        <w:tc>
          <w:tcPr>
            <w:tcW w:w="510" w:type="dxa"/>
            <w:vMerge w:val="continue"/>
            <w:noWrap w:val="0"/>
            <w:vAlign w:val="center"/>
          </w:tcPr>
          <w:p w14:paraId="0F570E24">
            <w:pPr>
              <w:widowControl/>
              <w:jc w:val="center"/>
              <w:textAlignment w:val="center"/>
              <w:rPr>
                <w:rFonts w:ascii="仿宋_GB2312" w:hAnsi="宋体" w:eastAsia="仿宋_GB2312"/>
                <w:color w:val="000000"/>
                <w:sz w:val="18"/>
                <w:szCs w:val="18"/>
              </w:rPr>
            </w:pPr>
          </w:p>
        </w:tc>
        <w:tc>
          <w:tcPr>
            <w:tcW w:w="495" w:type="dxa"/>
            <w:vMerge w:val="continue"/>
            <w:noWrap w:val="0"/>
            <w:vAlign w:val="center"/>
          </w:tcPr>
          <w:p w14:paraId="4974FF02">
            <w:pPr>
              <w:widowControl/>
              <w:jc w:val="center"/>
              <w:textAlignment w:val="center"/>
              <w:rPr>
                <w:rFonts w:ascii="仿宋_GB2312" w:hAnsi="宋体" w:eastAsia="仿宋_GB2312"/>
                <w:color w:val="000000"/>
                <w:sz w:val="18"/>
                <w:szCs w:val="18"/>
              </w:rPr>
            </w:pPr>
          </w:p>
        </w:tc>
      </w:tr>
      <w:tr w14:paraId="0A2C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4D5DA539">
            <w:pPr>
              <w:widowControl/>
              <w:jc w:val="center"/>
              <w:textAlignment w:val="center"/>
              <w:rPr>
                <w:rFonts w:ascii="仿宋_GB2312" w:hAnsi="宋体" w:eastAsia="仿宋_GB2312"/>
                <w:color w:val="000000"/>
                <w:sz w:val="18"/>
                <w:szCs w:val="18"/>
              </w:rPr>
            </w:pPr>
          </w:p>
        </w:tc>
        <w:tc>
          <w:tcPr>
            <w:tcW w:w="540" w:type="dxa"/>
            <w:vMerge w:val="continue"/>
            <w:noWrap w:val="0"/>
            <w:vAlign w:val="center"/>
          </w:tcPr>
          <w:p w14:paraId="426DDBC0">
            <w:pPr>
              <w:widowControl/>
              <w:jc w:val="center"/>
              <w:textAlignment w:val="center"/>
              <w:rPr>
                <w:rFonts w:hint="eastAsia" w:ascii="仿宋_GB2312" w:hAnsi="宋体" w:eastAsia="仿宋_GB2312"/>
                <w:color w:val="000000"/>
                <w:sz w:val="18"/>
                <w:szCs w:val="18"/>
              </w:rPr>
            </w:pPr>
          </w:p>
        </w:tc>
        <w:tc>
          <w:tcPr>
            <w:tcW w:w="1001" w:type="dxa"/>
            <w:vMerge w:val="continue"/>
            <w:noWrap w:val="0"/>
            <w:vAlign w:val="center"/>
          </w:tcPr>
          <w:p w14:paraId="03FAF6A6">
            <w:pPr>
              <w:widowControl/>
              <w:jc w:val="center"/>
              <w:textAlignment w:val="center"/>
              <w:rPr>
                <w:rFonts w:hint="eastAsia" w:ascii="仿宋_GB2312" w:hAnsi="宋体" w:eastAsia="仿宋_GB2312"/>
                <w:color w:val="000000"/>
                <w:sz w:val="18"/>
                <w:szCs w:val="18"/>
              </w:rPr>
            </w:pPr>
          </w:p>
        </w:tc>
        <w:tc>
          <w:tcPr>
            <w:tcW w:w="2655" w:type="dxa"/>
            <w:noWrap w:val="0"/>
            <w:vAlign w:val="center"/>
          </w:tcPr>
          <w:p w14:paraId="5664FDB4">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2730" w:type="dxa"/>
            <w:vMerge w:val="continue"/>
            <w:noWrap w:val="0"/>
            <w:vAlign w:val="center"/>
          </w:tcPr>
          <w:p w14:paraId="07DD86A8">
            <w:pPr>
              <w:widowControl/>
              <w:jc w:val="center"/>
              <w:textAlignment w:val="center"/>
              <w:rPr>
                <w:rFonts w:ascii="仿宋_GB2312" w:hAnsi="宋体" w:eastAsia="仿宋_GB2312"/>
                <w:color w:val="000000"/>
                <w:sz w:val="18"/>
                <w:szCs w:val="18"/>
              </w:rPr>
            </w:pPr>
          </w:p>
        </w:tc>
        <w:tc>
          <w:tcPr>
            <w:tcW w:w="1875" w:type="dxa"/>
            <w:vMerge w:val="continue"/>
            <w:noWrap w:val="0"/>
            <w:vAlign w:val="center"/>
          </w:tcPr>
          <w:p w14:paraId="28A8DEDB">
            <w:pPr>
              <w:widowControl/>
              <w:jc w:val="center"/>
              <w:textAlignment w:val="center"/>
              <w:rPr>
                <w:rFonts w:ascii="仿宋_GB2312" w:hAnsi="宋体" w:eastAsia="仿宋_GB2312"/>
                <w:color w:val="000000"/>
                <w:sz w:val="18"/>
                <w:szCs w:val="18"/>
              </w:rPr>
            </w:pPr>
          </w:p>
        </w:tc>
        <w:tc>
          <w:tcPr>
            <w:tcW w:w="1545" w:type="dxa"/>
            <w:vMerge w:val="continue"/>
            <w:noWrap w:val="0"/>
            <w:vAlign w:val="center"/>
          </w:tcPr>
          <w:p w14:paraId="7D8D07C0">
            <w:pPr>
              <w:widowControl/>
              <w:jc w:val="center"/>
              <w:textAlignment w:val="center"/>
              <w:rPr>
                <w:rFonts w:ascii="仿宋_GB2312" w:hAnsi="宋体" w:eastAsia="仿宋_GB2312"/>
                <w:color w:val="000000"/>
                <w:sz w:val="18"/>
                <w:szCs w:val="18"/>
              </w:rPr>
            </w:pPr>
          </w:p>
        </w:tc>
        <w:tc>
          <w:tcPr>
            <w:tcW w:w="1860" w:type="dxa"/>
            <w:vMerge w:val="continue"/>
            <w:noWrap w:val="0"/>
            <w:vAlign w:val="center"/>
          </w:tcPr>
          <w:p w14:paraId="520AD591">
            <w:pPr>
              <w:widowControl/>
              <w:jc w:val="center"/>
              <w:textAlignment w:val="center"/>
              <w:rPr>
                <w:rFonts w:ascii="仿宋_GB2312" w:hAnsi="宋体" w:eastAsia="仿宋_GB2312"/>
                <w:color w:val="000000"/>
                <w:sz w:val="18"/>
                <w:szCs w:val="18"/>
              </w:rPr>
            </w:pPr>
          </w:p>
        </w:tc>
        <w:tc>
          <w:tcPr>
            <w:tcW w:w="465" w:type="dxa"/>
            <w:vMerge w:val="continue"/>
            <w:noWrap w:val="0"/>
            <w:vAlign w:val="center"/>
          </w:tcPr>
          <w:p w14:paraId="656D8367">
            <w:pPr>
              <w:widowControl/>
              <w:jc w:val="center"/>
              <w:textAlignment w:val="center"/>
              <w:rPr>
                <w:rFonts w:ascii="仿宋_GB2312" w:hAnsi="宋体" w:eastAsia="仿宋_GB2312"/>
                <w:color w:val="000000"/>
                <w:sz w:val="18"/>
                <w:szCs w:val="18"/>
              </w:rPr>
            </w:pPr>
          </w:p>
        </w:tc>
        <w:tc>
          <w:tcPr>
            <w:tcW w:w="495" w:type="dxa"/>
            <w:vMerge w:val="continue"/>
            <w:noWrap w:val="0"/>
            <w:vAlign w:val="center"/>
          </w:tcPr>
          <w:p w14:paraId="257A90A8">
            <w:pPr>
              <w:widowControl/>
              <w:jc w:val="center"/>
              <w:textAlignment w:val="center"/>
              <w:rPr>
                <w:rFonts w:ascii="仿宋_GB2312" w:hAnsi="宋体" w:eastAsia="仿宋_GB2312"/>
                <w:color w:val="000000"/>
                <w:sz w:val="18"/>
                <w:szCs w:val="18"/>
              </w:rPr>
            </w:pPr>
          </w:p>
        </w:tc>
        <w:tc>
          <w:tcPr>
            <w:tcW w:w="525" w:type="dxa"/>
            <w:vMerge w:val="continue"/>
            <w:noWrap w:val="0"/>
            <w:vAlign w:val="center"/>
          </w:tcPr>
          <w:p w14:paraId="57C90110">
            <w:pPr>
              <w:widowControl/>
              <w:jc w:val="center"/>
              <w:textAlignment w:val="center"/>
              <w:rPr>
                <w:rFonts w:ascii="仿宋_GB2312" w:hAnsi="宋体" w:eastAsia="仿宋_GB2312"/>
                <w:color w:val="000000"/>
                <w:sz w:val="18"/>
                <w:szCs w:val="18"/>
              </w:rPr>
            </w:pPr>
          </w:p>
        </w:tc>
        <w:tc>
          <w:tcPr>
            <w:tcW w:w="450" w:type="dxa"/>
            <w:vMerge w:val="continue"/>
            <w:noWrap w:val="0"/>
            <w:vAlign w:val="center"/>
          </w:tcPr>
          <w:p w14:paraId="263EA6AF">
            <w:pPr>
              <w:widowControl/>
              <w:jc w:val="center"/>
              <w:textAlignment w:val="center"/>
              <w:rPr>
                <w:rFonts w:ascii="仿宋_GB2312" w:hAnsi="宋体" w:eastAsia="仿宋_GB2312"/>
                <w:color w:val="000000"/>
                <w:sz w:val="18"/>
                <w:szCs w:val="18"/>
              </w:rPr>
            </w:pPr>
          </w:p>
        </w:tc>
        <w:tc>
          <w:tcPr>
            <w:tcW w:w="510" w:type="dxa"/>
            <w:vMerge w:val="continue"/>
            <w:noWrap w:val="0"/>
            <w:vAlign w:val="center"/>
          </w:tcPr>
          <w:p w14:paraId="2004E8A4">
            <w:pPr>
              <w:widowControl/>
              <w:jc w:val="center"/>
              <w:textAlignment w:val="center"/>
              <w:rPr>
                <w:rFonts w:ascii="仿宋_GB2312" w:hAnsi="宋体" w:eastAsia="仿宋_GB2312"/>
                <w:color w:val="000000"/>
                <w:sz w:val="18"/>
                <w:szCs w:val="18"/>
              </w:rPr>
            </w:pPr>
          </w:p>
        </w:tc>
        <w:tc>
          <w:tcPr>
            <w:tcW w:w="495" w:type="dxa"/>
            <w:vMerge w:val="continue"/>
            <w:noWrap w:val="0"/>
            <w:vAlign w:val="center"/>
          </w:tcPr>
          <w:p w14:paraId="7BADF0BB">
            <w:pPr>
              <w:widowControl/>
              <w:jc w:val="center"/>
              <w:textAlignment w:val="center"/>
              <w:rPr>
                <w:rFonts w:ascii="仿宋_GB2312" w:hAnsi="宋体" w:eastAsia="仿宋_GB2312"/>
                <w:color w:val="000000"/>
                <w:sz w:val="18"/>
                <w:szCs w:val="18"/>
              </w:rPr>
            </w:pPr>
          </w:p>
        </w:tc>
      </w:tr>
      <w:tr w14:paraId="548D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13ADF421">
            <w:pPr>
              <w:widowControl/>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26</w:t>
            </w:r>
          </w:p>
        </w:tc>
        <w:tc>
          <w:tcPr>
            <w:tcW w:w="540" w:type="dxa"/>
            <w:vMerge w:val="restart"/>
            <w:noWrap w:val="0"/>
            <w:vAlign w:val="center"/>
          </w:tcPr>
          <w:p w14:paraId="54AA76B2">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1001" w:type="dxa"/>
            <w:vMerge w:val="restart"/>
            <w:noWrap w:val="0"/>
            <w:vAlign w:val="center"/>
          </w:tcPr>
          <w:p w14:paraId="5F85584E">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2655" w:type="dxa"/>
            <w:noWrap w:val="0"/>
            <w:vAlign w:val="center"/>
          </w:tcPr>
          <w:p w14:paraId="33766E6F">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2730" w:type="dxa"/>
            <w:vMerge w:val="restart"/>
            <w:noWrap w:val="0"/>
            <w:vAlign w:val="center"/>
          </w:tcPr>
          <w:p w14:paraId="01AEC9A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地方预决算公开操作规程的通知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》等法律法规和文件规定</w:t>
            </w:r>
          </w:p>
        </w:tc>
        <w:tc>
          <w:tcPr>
            <w:tcW w:w="1875" w:type="dxa"/>
            <w:vMerge w:val="restart"/>
            <w:noWrap w:val="0"/>
            <w:vAlign w:val="center"/>
          </w:tcPr>
          <w:p w14:paraId="6D5ED30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1545" w:type="dxa"/>
            <w:vMerge w:val="restart"/>
            <w:noWrap w:val="0"/>
            <w:vAlign w:val="center"/>
          </w:tcPr>
          <w:p w14:paraId="6CE56C81">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峨边彝族自治县教育局</w:t>
            </w:r>
          </w:p>
        </w:tc>
        <w:tc>
          <w:tcPr>
            <w:tcW w:w="1860" w:type="dxa"/>
            <w:vMerge w:val="restart"/>
            <w:noWrap w:val="0"/>
            <w:vAlign w:val="center"/>
          </w:tcPr>
          <w:p w14:paraId="5ACB237F">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451F65CE">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14:paraId="596186C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465" w:type="dxa"/>
            <w:vMerge w:val="restart"/>
            <w:noWrap w:val="0"/>
            <w:vAlign w:val="center"/>
          </w:tcPr>
          <w:p w14:paraId="24CF9C6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vMerge w:val="restart"/>
            <w:noWrap w:val="0"/>
            <w:vAlign w:val="center"/>
          </w:tcPr>
          <w:p w14:paraId="70786583">
            <w:pPr>
              <w:widowControl/>
              <w:jc w:val="center"/>
              <w:textAlignment w:val="center"/>
              <w:rPr>
                <w:rFonts w:ascii="仿宋_GB2312" w:hAnsi="宋体" w:eastAsia="仿宋_GB2312"/>
                <w:color w:val="000000"/>
                <w:sz w:val="18"/>
                <w:szCs w:val="18"/>
              </w:rPr>
            </w:pPr>
          </w:p>
        </w:tc>
        <w:tc>
          <w:tcPr>
            <w:tcW w:w="525" w:type="dxa"/>
            <w:vMerge w:val="restart"/>
            <w:noWrap w:val="0"/>
            <w:vAlign w:val="center"/>
          </w:tcPr>
          <w:p w14:paraId="74629F2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0" w:type="dxa"/>
            <w:vMerge w:val="restart"/>
            <w:noWrap w:val="0"/>
            <w:vAlign w:val="center"/>
          </w:tcPr>
          <w:p w14:paraId="3676D6B4">
            <w:pPr>
              <w:widowControl/>
              <w:jc w:val="center"/>
              <w:textAlignment w:val="center"/>
              <w:rPr>
                <w:rFonts w:ascii="仿宋_GB2312" w:hAnsi="宋体" w:eastAsia="仿宋_GB2312"/>
                <w:color w:val="000000"/>
                <w:sz w:val="18"/>
                <w:szCs w:val="18"/>
              </w:rPr>
            </w:pPr>
          </w:p>
        </w:tc>
        <w:tc>
          <w:tcPr>
            <w:tcW w:w="510" w:type="dxa"/>
            <w:vMerge w:val="restart"/>
            <w:noWrap w:val="0"/>
            <w:vAlign w:val="center"/>
          </w:tcPr>
          <w:p w14:paraId="259A8C4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vMerge w:val="restart"/>
            <w:noWrap w:val="0"/>
            <w:vAlign w:val="center"/>
          </w:tcPr>
          <w:p w14:paraId="2A2253A0">
            <w:pPr>
              <w:widowControl/>
              <w:jc w:val="center"/>
              <w:textAlignment w:val="center"/>
              <w:rPr>
                <w:rFonts w:ascii="仿宋_GB2312" w:hAnsi="宋体" w:eastAsia="仿宋_GB2312"/>
                <w:color w:val="000000"/>
                <w:sz w:val="18"/>
                <w:szCs w:val="18"/>
              </w:rPr>
            </w:pPr>
          </w:p>
        </w:tc>
      </w:tr>
      <w:tr w14:paraId="6B08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7FACEC22">
            <w:pPr>
              <w:widowControl/>
              <w:jc w:val="center"/>
              <w:textAlignment w:val="center"/>
              <w:rPr>
                <w:rFonts w:hint="eastAsia" w:ascii="仿宋_GB2312" w:hAnsi="宋体" w:eastAsia="仿宋_GB2312"/>
                <w:color w:val="000000"/>
                <w:sz w:val="18"/>
                <w:szCs w:val="18"/>
              </w:rPr>
            </w:pPr>
          </w:p>
        </w:tc>
        <w:tc>
          <w:tcPr>
            <w:tcW w:w="540" w:type="dxa"/>
            <w:vMerge w:val="continue"/>
            <w:noWrap w:val="0"/>
            <w:vAlign w:val="center"/>
          </w:tcPr>
          <w:p w14:paraId="33E447C9">
            <w:pPr>
              <w:widowControl/>
              <w:jc w:val="center"/>
              <w:textAlignment w:val="center"/>
              <w:rPr>
                <w:rFonts w:hint="eastAsia" w:ascii="仿宋_GB2312" w:hAnsi="宋体" w:eastAsia="仿宋_GB2312"/>
                <w:color w:val="000000"/>
                <w:sz w:val="18"/>
                <w:szCs w:val="18"/>
              </w:rPr>
            </w:pPr>
          </w:p>
        </w:tc>
        <w:tc>
          <w:tcPr>
            <w:tcW w:w="1001" w:type="dxa"/>
            <w:vMerge w:val="continue"/>
            <w:noWrap w:val="0"/>
            <w:vAlign w:val="center"/>
          </w:tcPr>
          <w:p w14:paraId="7125735C">
            <w:pPr>
              <w:widowControl/>
              <w:jc w:val="center"/>
              <w:textAlignment w:val="center"/>
              <w:rPr>
                <w:rFonts w:hint="eastAsia" w:ascii="仿宋_GB2312" w:hAnsi="宋体" w:eastAsia="仿宋_GB2312"/>
                <w:color w:val="000000"/>
                <w:sz w:val="18"/>
                <w:szCs w:val="18"/>
              </w:rPr>
            </w:pPr>
          </w:p>
        </w:tc>
        <w:tc>
          <w:tcPr>
            <w:tcW w:w="2655" w:type="dxa"/>
            <w:noWrap w:val="0"/>
            <w:vAlign w:val="center"/>
          </w:tcPr>
          <w:p w14:paraId="6464F07F">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2730" w:type="dxa"/>
            <w:vMerge w:val="continue"/>
            <w:noWrap w:val="0"/>
            <w:vAlign w:val="center"/>
          </w:tcPr>
          <w:p w14:paraId="5CF53339">
            <w:pPr>
              <w:widowControl/>
              <w:jc w:val="center"/>
              <w:textAlignment w:val="center"/>
              <w:rPr>
                <w:rFonts w:ascii="仿宋_GB2312" w:hAnsi="宋体" w:eastAsia="仿宋_GB2312"/>
                <w:color w:val="000000"/>
                <w:sz w:val="18"/>
                <w:szCs w:val="18"/>
              </w:rPr>
            </w:pPr>
          </w:p>
        </w:tc>
        <w:tc>
          <w:tcPr>
            <w:tcW w:w="1875" w:type="dxa"/>
            <w:vMerge w:val="continue"/>
            <w:noWrap w:val="0"/>
            <w:vAlign w:val="center"/>
          </w:tcPr>
          <w:p w14:paraId="2AD03D74">
            <w:pPr>
              <w:widowControl/>
              <w:jc w:val="center"/>
              <w:textAlignment w:val="center"/>
              <w:rPr>
                <w:rFonts w:ascii="仿宋_GB2312" w:hAnsi="宋体" w:eastAsia="仿宋_GB2312"/>
                <w:color w:val="000000"/>
                <w:sz w:val="18"/>
                <w:szCs w:val="18"/>
              </w:rPr>
            </w:pPr>
          </w:p>
        </w:tc>
        <w:tc>
          <w:tcPr>
            <w:tcW w:w="1545" w:type="dxa"/>
            <w:vMerge w:val="continue"/>
            <w:noWrap w:val="0"/>
            <w:vAlign w:val="center"/>
          </w:tcPr>
          <w:p w14:paraId="2CC9731E">
            <w:pPr>
              <w:widowControl/>
              <w:jc w:val="center"/>
              <w:textAlignment w:val="center"/>
              <w:rPr>
                <w:rFonts w:ascii="仿宋_GB2312" w:hAnsi="宋体" w:eastAsia="仿宋_GB2312"/>
                <w:color w:val="000000"/>
                <w:sz w:val="18"/>
                <w:szCs w:val="18"/>
              </w:rPr>
            </w:pPr>
          </w:p>
        </w:tc>
        <w:tc>
          <w:tcPr>
            <w:tcW w:w="1860" w:type="dxa"/>
            <w:vMerge w:val="continue"/>
            <w:noWrap w:val="0"/>
            <w:vAlign w:val="center"/>
          </w:tcPr>
          <w:p w14:paraId="3D00363A">
            <w:pPr>
              <w:widowControl/>
              <w:jc w:val="center"/>
              <w:textAlignment w:val="center"/>
              <w:rPr>
                <w:rFonts w:ascii="仿宋_GB2312" w:hAnsi="宋体" w:eastAsia="仿宋_GB2312"/>
                <w:color w:val="000000"/>
                <w:sz w:val="18"/>
                <w:szCs w:val="18"/>
              </w:rPr>
            </w:pPr>
          </w:p>
        </w:tc>
        <w:tc>
          <w:tcPr>
            <w:tcW w:w="465" w:type="dxa"/>
            <w:vMerge w:val="continue"/>
            <w:noWrap w:val="0"/>
            <w:vAlign w:val="center"/>
          </w:tcPr>
          <w:p w14:paraId="3CA909BA">
            <w:pPr>
              <w:widowControl/>
              <w:jc w:val="center"/>
              <w:textAlignment w:val="center"/>
              <w:rPr>
                <w:rFonts w:ascii="仿宋_GB2312" w:hAnsi="宋体" w:eastAsia="仿宋_GB2312"/>
                <w:color w:val="000000"/>
                <w:sz w:val="18"/>
                <w:szCs w:val="18"/>
              </w:rPr>
            </w:pPr>
          </w:p>
        </w:tc>
        <w:tc>
          <w:tcPr>
            <w:tcW w:w="495" w:type="dxa"/>
            <w:vMerge w:val="continue"/>
            <w:noWrap w:val="0"/>
            <w:vAlign w:val="center"/>
          </w:tcPr>
          <w:p w14:paraId="642171A3">
            <w:pPr>
              <w:widowControl/>
              <w:jc w:val="center"/>
              <w:textAlignment w:val="center"/>
              <w:rPr>
                <w:rFonts w:ascii="仿宋_GB2312" w:hAnsi="宋体" w:eastAsia="仿宋_GB2312"/>
                <w:color w:val="000000"/>
                <w:sz w:val="18"/>
                <w:szCs w:val="18"/>
              </w:rPr>
            </w:pPr>
          </w:p>
        </w:tc>
        <w:tc>
          <w:tcPr>
            <w:tcW w:w="525" w:type="dxa"/>
            <w:vMerge w:val="continue"/>
            <w:noWrap w:val="0"/>
            <w:vAlign w:val="center"/>
          </w:tcPr>
          <w:p w14:paraId="0873F6CF">
            <w:pPr>
              <w:widowControl/>
              <w:jc w:val="center"/>
              <w:textAlignment w:val="center"/>
              <w:rPr>
                <w:rFonts w:ascii="仿宋_GB2312" w:hAnsi="宋体" w:eastAsia="仿宋_GB2312"/>
                <w:color w:val="000000"/>
                <w:sz w:val="18"/>
                <w:szCs w:val="18"/>
              </w:rPr>
            </w:pPr>
          </w:p>
        </w:tc>
        <w:tc>
          <w:tcPr>
            <w:tcW w:w="450" w:type="dxa"/>
            <w:vMerge w:val="continue"/>
            <w:noWrap w:val="0"/>
            <w:vAlign w:val="center"/>
          </w:tcPr>
          <w:p w14:paraId="61CC9A4F">
            <w:pPr>
              <w:widowControl/>
              <w:jc w:val="center"/>
              <w:textAlignment w:val="center"/>
              <w:rPr>
                <w:rFonts w:ascii="仿宋_GB2312" w:hAnsi="宋体" w:eastAsia="仿宋_GB2312"/>
                <w:color w:val="000000"/>
                <w:sz w:val="18"/>
                <w:szCs w:val="18"/>
              </w:rPr>
            </w:pPr>
          </w:p>
        </w:tc>
        <w:tc>
          <w:tcPr>
            <w:tcW w:w="510" w:type="dxa"/>
            <w:vMerge w:val="continue"/>
            <w:noWrap w:val="0"/>
            <w:vAlign w:val="center"/>
          </w:tcPr>
          <w:p w14:paraId="01593616">
            <w:pPr>
              <w:widowControl/>
              <w:jc w:val="center"/>
              <w:textAlignment w:val="center"/>
              <w:rPr>
                <w:rFonts w:ascii="仿宋_GB2312" w:hAnsi="宋体" w:eastAsia="仿宋_GB2312"/>
                <w:color w:val="000000"/>
                <w:sz w:val="18"/>
                <w:szCs w:val="18"/>
              </w:rPr>
            </w:pPr>
          </w:p>
        </w:tc>
        <w:tc>
          <w:tcPr>
            <w:tcW w:w="495" w:type="dxa"/>
            <w:vMerge w:val="continue"/>
            <w:noWrap w:val="0"/>
            <w:vAlign w:val="center"/>
          </w:tcPr>
          <w:p w14:paraId="2DEF1EB7">
            <w:pPr>
              <w:widowControl/>
              <w:jc w:val="center"/>
              <w:textAlignment w:val="center"/>
              <w:rPr>
                <w:rFonts w:ascii="仿宋_GB2312" w:hAnsi="宋体" w:eastAsia="仿宋_GB2312"/>
                <w:color w:val="000000"/>
                <w:sz w:val="18"/>
                <w:szCs w:val="18"/>
              </w:rPr>
            </w:pPr>
          </w:p>
        </w:tc>
      </w:tr>
      <w:tr w14:paraId="0689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6110A5A2">
            <w:pPr>
              <w:widowControl/>
              <w:jc w:val="center"/>
              <w:textAlignment w:val="center"/>
              <w:rPr>
                <w:rFonts w:hint="eastAsia" w:ascii="仿宋_GB2312" w:hAnsi="宋体" w:eastAsia="仿宋_GB2312"/>
                <w:color w:val="000000"/>
                <w:sz w:val="18"/>
                <w:szCs w:val="18"/>
              </w:rPr>
            </w:pPr>
          </w:p>
        </w:tc>
        <w:tc>
          <w:tcPr>
            <w:tcW w:w="540" w:type="dxa"/>
            <w:vMerge w:val="continue"/>
            <w:noWrap w:val="0"/>
            <w:vAlign w:val="center"/>
          </w:tcPr>
          <w:p w14:paraId="05CA851A">
            <w:pPr>
              <w:widowControl/>
              <w:jc w:val="center"/>
              <w:textAlignment w:val="center"/>
              <w:rPr>
                <w:rFonts w:hint="eastAsia" w:ascii="仿宋_GB2312" w:hAnsi="宋体" w:eastAsia="仿宋_GB2312"/>
                <w:color w:val="000000"/>
                <w:sz w:val="18"/>
                <w:szCs w:val="18"/>
              </w:rPr>
            </w:pPr>
          </w:p>
        </w:tc>
        <w:tc>
          <w:tcPr>
            <w:tcW w:w="1001" w:type="dxa"/>
            <w:vMerge w:val="continue"/>
            <w:noWrap w:val="0"/>
            <w:vAlign w:val="center"/>
          </w:tcPr>
          <w:p w14:paraId="2D39C62F">
            <w:pPr>
              <w:widowControl/>
              <w:jc w:val="center"/>
              <w:textAlignment w:val="center"/>
              <w:rPr>
                <w:rFonts w:hint="eastAsia" w:ascii="仿宋_GB2312" w:hAnsi="宋体" w:eastAsia="仿宋_GB2312"/>
                <w:color w:val="000000"/>
                <w:sz w:val="18"/>
                <w:szCs w:val="18"/>
              </w:rPr>
            </w:pPr>
          </w:p>
        </w:tc>
        <w:tc>
          <w:tcPr>
            <w:tcW w:w="2655" w:type="dxa"/>
            <w:noWrap w:val="0"/>
            <w:vAlign w:val="center"/>
          </w:tcPr>
          <w:p w14:paraId="749B66A5">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2730" w:type="dxa"/>
            <w:vMerge w:val="continue"/>
            <w:noWrap w:val="0"/>
            <w:vAlign w:val="center"/>
          </w:tcPr>
          <w:p w14:paraId="7794927B">
            <w:pPr>
              <w:widowControl/>
              <w:jc w:val="center"/>
              <w:textAlignment w:val="center"/>
              <w:rPr>
                <w:rFonts w:ascii="仿宋_GB2312" w:hAnsi="宋体" w:eastAsia="仿宋_GB2312"/>
                <w:color w:val="000000"/>
                <w:sz w:val="18"/>
                <w:szCs w:val="18"/>
              </w:rPr>
            </w:pPr>
          </w:p>
        </w:tc>
        <w:tc>
          <w:tcPr>
            <w:tcW w:w="1875" w:type="dxa"/>
            <w:vMerge w:val="continue"/>
            <w:noWrap w:val="0"/>
            <w:vAlign w:val="center"/>
          </w:tcPr>
          <w:p w14:paraId="5DE45415">
            <w:pPr>
              <w:widowControl/>
              <w:jc w:val="center"/>
              <w:textAlignment w:val="center"/>
              <w:rPr>
                <w:rFonts w:ascii="仿宋_GB2312" w:hAnsi="宋体" w:eastAsia="仿宋_GB2312"/>
                <w:color w:val="000000"/>
                <w:sz w:val="18"/>
                <w:szCs w:val="18"/>
              </w:rPr>
            </w:pPr>
          </w:p>
        </w:tc>
        <w:tc>
          <w:tcPr>
            <w:tcW w:w="1545" w:type="dxa"/>
            <w:vMerge w:val="continue"/>
            <w:noWrap w:val="0"/>
            <w:vAlign w:val="center"/>
          </w:tcPr>
          <w:p w14:paraId="00AB97E7">
            <w:pPr>
              <w:widowControl/>
              <w:jc w:val="center"/>
              <w:textAlignment w:val="center"/>
              <w:rPr>
                <w:rFonts w:ascii="仿宋_GB2312" w:hAnsi="宋体" w:eastAsia="仿宋_GB2312"/>
                <w:color w:val="000000"/>
                <w:sz w:val="18"/>
                <w:szCs w:val="18"/>
              </w:rPr>
            </w:pPr>
          </w:p>
        </w:tc>
        <w:tc>
          <w:tcPr>
            <w:tcW w:w="1860" w:type="dxa"/>
            <w:vMerge w:val="continue"/>
            <w:noWrap w:val="0"/>
            <w:vAlign w:val="center"/>
          </w:tcPr>
          <w:p w14:paraId="45D9BAA3">
            <w:pPr>
              <w:widowControl/>
              <w:jc w:val="center"/>
              <w:textAlignment w:val="center"/>
              <w:rPr>
                <w:rFonts w:ascii="仿宋_GB2312" w:hAnsi="宋体" w:eastAsia="仿宋_GB2312"/>
                <w:color w:val="000000"/>
                <w:sz w:val="18"/>
                <w:szCs w:val="18"/>
              </w:rPr>
            </w:pPr>
          </w:p>
        </w:tc>
        <w:tc>
          <w:tcPr>
            <w:tcW w:w="465" w:type="dxa"/>
            <w:vMerge w:val="continue"/>
            <w:noWrap w:val="0"/>
            <w:vAlign w:val="center"/>
          </w:tcPr>
          <w:p w14:paraId="7D595EC2">
            <w:pPr>
              <w:widowControl/>
              <w:jc w:val="center"/>
              <w:textAlignment w:val="center"/>
              <w:rPr>
                <w:rFonts w:ascii="仿宋_GB2312" w:hAnsi="宋体" w:eastAsia="仿宋_GB2312"/>
                <w:color w:val="000000"/>
                <w:sz w:val="18"/>
                <w:szCs w:val="18"/>
              </w:rPr>
            </w:pPr>
          </w:p>
        </w:tc>
        <w:tc>
          <w:tcPr>
            <w:tcW w:w="495" w:type="dxa"/>
            <w:vMerge w:val="continue"/>
            <w:noWrap w:val="0"/>
            <w:vAlign w:val="center"/>
          </w:tcPr>
          <w:p w14:paraId="3CE007AA">
            <w:pPr>
              <w:widowControl/>
              <w:jc w:val="center"/>
              <w:textAlignment w:val="center"/>
              <w:rPr>
                <w:rFonts w:ascii="仿宋_GB2312" w:hAnsi="宋体" w:eastAsia="仿宋_GB2312"/>
                <w:color w:val="000000"/>
                <w:sz w:val="18"/>
                <w:szCs w:val="18"/>
              </w:rPr>
            </w:pPr>
          </w:p>
        </w:tc>
        <w:tc>
          <w:tcPr>
            <w:tcW w:w="525" w:type="dxa"/>
            <w:vMerge w:val="continue"/>
            <w:noWrap w:val="0"/>
            <w:vAlign w:val="center"/>
          </w:tcPr>
          <w:p w14:paraId="03211CEF">
            <w:pPr>
              <w:widowControl/>
              <w:jc w:val="center"/>
              <w:textAlignment w:val="center"/>
              <w:rPr>
                <w:rFonts w:ascii="仿宋_GB2312" w:hAnsi="宋体" w:eastAsia="仿宋_GB2312"/>
                <w:color w:val="000000"/>
                <w:sz w:val="18"/>
                <w:szCs w:val="18"/>
              </w:rPr>
            </w:pPr>
          </w:p>
        </w:tc>
        <w:tc>
          <w:tcPr>
            <w:tcW w:w="450" w:type="dxa"/>
            <w:vMerge w:val="continue"/>
            <w:noWrap w:val="0"/>
            <w:vAlign w:val="center"/>
          </w:tcPr>
          <w:p w14:paraId="0DE0F89E">
            <w:pPr>
              <w:widowControl/>
              <w:jc w:val="center"/>
              <w:textAlignment w:val="center"/>
              <w:rPr>
                <w:rFonts w:ascii="仿宋_GB2312" w:hAnsi="宋体" w:eastAsia="仿宋_GB2312"/>
                <w:color w:val="000000"/>
                <w:sz w:val="18"/>
                <w:szCs w:val="18"/>
              </w:rPr>
            </w:pPr>
          </w:p>
        </w:tc>
        <w:tc>
          <w:tcPr>
            <w:tcW w:w="510" w:type="dxa"/>
            <w:vMerge w:val="continue"/>
            <w:noWrap w:val="0"/>
            <w:vAlign w:val="center"/>
          </w:tcPr>
          <w:p w14:paraId="46EC222A">
            <w:pPr>
              <w:widowControl/>
              <w:jc w:val="center"/>
              <w:textAlignment w:val="center"/>
              <w:rPr>
                <w:rFonts w:ascii="仿宋_GB2312" w:hAnsi="宋体" w:eastAsia="仿宋_GB2312"/>
                <w:color w:val="000000"/>
                <w:sz w:val="18"/>
                <w:szCs w:val="18"/>
              </w:rPr>
            </w:pPr>
          </w:p>
        </w:tc>
        <w:tc>
          <w:tcPr>
            <w:tcW w:w="495" w:type="dxa"/>
            <w:vMerge w:val="continue"/>
            <w:noWrap w:val="0"/>
            <w:vAlign w:val="center"/>
          </w:tcPr>
          <w:p w14:paraId="49AA324B">
            <w:pPr>
              <w:widowControl/>
              <w:jc w:val="center"/>
              <w:textAlignment w:val="center"/>
              <w:rPr>
                <w:rFonts w:ascii="仿宋_GB2312" w:hAnsi="宋体" w:eastAsia="仿宋_GB2312"/>
                <w:color w:val="000000"/>
                <w:sz w:val="18"/>
                <w:szCs w:val="18"/>
              </w:rPr>
            </w:pPr>
          </w:p>
        </w:tc>
      </w:tr>
      <w:tr w14:paraId="3D00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1D28E8C3">
            <w:pPr>
              <w:widowControl/>
              <w:jc w:val="center"/>
              <w:textAlignment w:val="center"/>
              <w:rPr>
                <w:rFonts w:hint="eastAsia" w:ascii="仿宋_GB2312" w:hAnsi="宋体" w:eastAsia="仿宋_GB2312"/>
                <w:color w:val="000000"/>
                <w:sz w:val="18"/>
                <w:szCs w:val="18"/>
              </w:rPr>
            </w:pPr>
          </w:p>
        </w:tc>
        <w:tc>
          <w:tcPr>
            <w:tcW w:w="540" w:type="dxa"/>
            <w:vMerge w:val="continue"/>
            <w:noWrap w:val="0"/>
            <w:vAlign w:val="center"/>
          </w:tcPr>
          <w:p w14:paraId="0566D8D1">
            <w:pPr>
              <w:widowControl/>
              <w:jc w:val="center"/>
              <w:textAlignment w:val="center"/>
              <w:rPr>
                <w:rFonts w:hint="eastAsia" w:ascii="仿宋_GB2312" w:hAnsi="宋体" w:eastAsia="仿宋_GB2312"/>
                <w:color w:val="000000"/>
                <w:sz w:val="18"/>
                <w:szCs w:val="18"/>
              </w:rPr>
            </w:pPr>
          </w:p>
        </w:tc>
        <w:tc>
          <w:tcPr>
            <w:tcW w:w="1001" w:type="dxa"/>
            <w:vMerge w:val="continue"/>
            <w:noWrap w:val="0"/>
            <w:vAlign w:val="center"/>
          </w:tcPr>
          <w:p w14:paraId="09FAC2CA">
            <w:pPr>
              <w:widowControl/>
              <w:jc w:val="center"/>
              <w:textAlignment w:val="center"/>
              <w:rPr>
                <w:rFonts w:hint="eastAsia" w:ascii="仿宋_GB2312" w:hAnsi="宋体" w:eastAsia="仿宋_GB2312"/>
                <w:color w:val="000000"/>
                <w:sz w:val="18"/>
                <w:szCs w:val="18"/>
              </w:rPr>
            </w:pPr>
          </w:p>
        </w:tc>
        <w:tc>
          <w:tcPr>
            <w:tcW w:w="2655" w:type="dxa"/>
            <w:noWrap w:val="0"/>
            <w:vAlign w:val="center"/>
          </w:tcPr>
          <w:p w14:paraId="281FF561">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2730" w:type="dxa"/>
            <w:vMerge w:val="continue"/>
            <w:noWrap w:val="0"/>
            <w:vAlign w:val="center"/>
          </w:tcPr>
          <w:p w14:paraId="02BBAD66">
            <w:pPr>
              <w:widowControl/>
              <w:jc w:val="center"/>
              <w:textAlignment w:val="center"/>
              <w:rPr>
                <w:rFonts w:ascii="仿宋_GB2312" w:hAnsi="宋体" w:eastAsia="仿宋_GB2312"/>
                <w:color w:val="000000"/>
                <w:sz w:val="18"/>
                <w:szCs w:val="18"/>
              </w:rPr>
            </w:pPr>
          </w:p>
        </w:tc>
        <w:tc>
          <w:tcPr>
            <w:tcW w:w="1875" w:type="dxa"/>
            <w:vMerge w:val="continue"/>
            <w:noWrap w:val="0"/>
            <w:vAlign w:val="center"/>
          </w:tcPr>
          <w:p w14:paraId="1F4E8F00">
            <w:pPr>
              <w:widowControl/>
              <w:jc w:val="center"/>
              <w:textAlignment w:val="center"/>
              <w:rPr>
                <w:rFonts w:ascii="仿宋_GB2312" w:hAnsi="宋体" w:eastAsia="仿宋_GB2312"/>
                <w:color w:val="000000"/>
                <w:sz w:val="18"/>
                <w:szCs w:val="18"/>
              </w:rPr>
            </w:pPr>
          </w:p>
        </w:tc>
        <w:tc>
          <w:tcPr>
            <w:tcW w:w="1545" w:type="dxa"/>
            <w:vMerge w:val="continue"/>
            <w:noWrap w:val="0"/>
            <w:vAlign w:val="center"/>
          </w:tcPr>
          <w:p w14:paraId="6084B1EF">
            <w:pPr>
              <w:widowControl/>
              <w:jc w:val="center"/>
              <w:textAlignment w:val="center"/>
              <w:rPr>
                <w:rFonts w:ascii="仿宋_GB2312" w:hAnsi="宋体" w:eastAsia="仿宋_GB2312"/>
                <w:color w:val="000000"/>
                <w:sz w:val="18"/>
                <w:szCs w:val="18"/>
              </w:rPr>
            </w:pPr>
          </w:p>
        </w:tc>
        <w:tc>
          <w:tcPr>
            <w:tcW w:w="1860" w:type="dxa"/>
            <w:vMerge w:val="continue"/>
            <w:noWrap w:val="0"/>
            <w:vAlign w:val="center"/>
          </w:tcPr>
          <w:p w14:paraId="6B75DD92">
            <w:pPr>
              <w:widowControl/>
              <w:jc w:val="center"/>
              <w:textAlignment w:val="center"/>
              <w:rPr>
                <w:rFonts w:ascii="仿宋_GB2312" w:hAnsi="宋体" w:eastAsia="仿宋_GB2312"/>
                <w:color w:val="000000"/>
                <w:sz w:val="18"/>
                <w:szCs w:val="18"/>
              </w:rPr>
            </w:pPr>
          </w:p>
        </w:tc>
        <w:tc>
          <w:tcPr>
            <w:tcW w:w="465" w:type="dxa"/>
            <w:vMerge w:val="continue"/>
            <w:noWrap w:val="0"/>
            <w:vAlign w:val="center"/>
          </w:tcPr>
          <w:p w14:paraId="131CBC72">
            <w:pPr>
              <w:widowControl/>
              <w:jc w:val="center"/>
              <w:textAlignment w:val="center"/>
              <w:rPr>
                <w:rFonts w:ascii="仿宋_GB2312" w:hAnsi="宋体" w:eastAsia="仿宋_GB2312"/>
                <w:color w:val="000000"/>
                <w:sz w:val="18"/>
                <w:szCs w:val="18"/>
              </w:rPr>
            </w:pPr>
          </w:p>
        </w:tc>
        <w:tc>
          <w:tcPr>
            <w:tcW w:w="495" w:type="dxa"/>
            <w:vMerge w:val="continue"/>
            <w:noWrap w:val="0"/>
            <w:vAlign w:val="center"/>
          </w:tcPr>
          <w:p w14:paraId="429D2F71">
            <w:pPr>
              <w:widowControl/>
              <w:jc w:val="center"/>
              <w:textAlignment w:val="center"/>
              <w:rPr>
                <w:rFonts w:ascii="仿宋_GB2312" w:hAnsi="宋体" w:eastAsia="仿宋_GB2312"/>
                <w:color w:val="000000"/>
                <w:sz w:val="18"/>
                <w:szCs w:val="18"/>
              </w:rPr>
            </w:pPr>
          </w:p>
        </w:tc>
        <w:tc>
          <w:tcPr>
            <w:tcW w:w="525" w:type="dxa"/>
            <w:vMerge w:val="continue"/>
            <w:noWrap w:val="0"/>
            <w:vAlign w:val="center"/>
          </w:tcPr>
          <w:p w14:paraId="018AC5AD">
            <w:pPr>
              <w:widowControl/>
              <w:jc w:val="center"/>
              <w:textAlignment w:val="center"/>
              <w:rPr>
                <w:rFonts w:ascii="仿宋_GB2312" w:hAnsi="宋体" w:eastAsia="仿宋_GB2312"/>
                <w:color w:val="000000"/>
                <w:sz w:val="18"/>
                <w:szCs w:val="18"/>
              </w:rPr>
            </w:pPr>
          </w:p>
        </w:tc>
        <w:tc>
          <w:tcPr>
            <w:tcW w:w="450" w:type="dxa"/>
            <w:vMerge w:val="continue"/>
            <w:noWrap w:val="0"/>
            <w:vAlign w:val="center"/>
          </w:tcPr>
          <w:p w14:paraId="58C32F8F">
            <w:pPr>
              <w:widowControl/>
              <w:jc w:val="center"/>
              <w:textAlignment w:val="center"/>
              <w:rPr>
                <w:rFonts w:ascii="仿宋_GB2312" w:hAnsi="宋体" w:eastAsia="仿宋_GB2312"/>
                <w:color w:val="000000"/>
                <w:sz w:val="18"/>
                <w:szCs w:val="18"/>
              </w:rPr>
            </w:pPr>
          </w:p>
        </w:tc>
        <w:tc>
          <w:tcPr>
            <w:tcW w:w="510" w:type="dxa"/>
            <w:vMerge w:val="continue"/>
            <w:noWrap w:val="0"/>
            <w:vAlign w:val="center"/>
          </w:tcPr>
          <w:p w14:paraId="4E9E08F7">
            <w:pPr>
              <w:widowControl/>
              <w:jc w:val="center"/>
              <w:textAlignment w:val="center"/>
              <w:rPr>
                <w:rFonts w:ascii="仿宋_GB2312" w:hAnsi="宋体" w:eastAsia="仿宋_GB2312"/>
                <w:color w:val="000000"/>
                <w:sz w:val="18"/>
                <w:szCs w:val="18"/>
              </w:rPr>
            </w:pPr>
          </w:p>
        </w:tc>
        <w:tc>
          <w:tcPr>
            <w:tcW w:w="495" w:type="dxa"/>
            <w:vMerge w:val="continue"/>
            <w:noWrap w:val="0"/>
            <w:vAlign w:val="center"/>
          </w:tcPr>
          <w:p w14:paraId="735C8308">
            <w:pPr>
              <w:widowControl/>
              <w:jc w:val="center"/>
              <w:textAlignment w:val="center"/>
              <w:rPr>
                <w:rFonts w:ascii="仿宋_GB2312" w:hAnsi="宋体" w:eastAsia="仿宋_GB2312"/>
                <w:color w:val="000000"/>
                <w:sz w:val="18"/>
                <w:szCs w:val="18"/>
              </w:rPr>
            </w:pPr>
          </w:p>
        </w:tc>
      </w:tr>
      <w:tr w14:paraId="0619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A121833">
            <w:pPr>
              <w:widowControl/>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27</w:t>
            </w:r>
          </w:p>
        </w:tc>
        <w:tc>
          <w:tcPr>
            <w:tcW w:w="540" w:type="dxa"/>
            <w:noWrap w:val="0"/>
            <w:vAlign w:val="center"/>
          </w:tcPr>
          <w:p w14:paraId="32C9DFE6">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1001" w:type="dxa"/>
            <w:noWrap w:val="0"/>
            <w:vAlign w:val="center"/>
          </w:tcPr>
          <w:p w14:paraId="31D351E2">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2655" w:type="dxa"/>
            <w:noWrap w:val="0"/>
            <w:vAlign w:val="center"/>
          </w:tcPr>
          <w:p w14:paraId="5C2ABA29">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2730" w:type="dxa"/>
            <w:noWrap w:val="0"/>
            <w:vAlign w:val="center"/>
          </w:tcPr>
          <w:p w14:paraId="6C9FC0F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w:t>
            </w:r>
            <w:r>
              <w:rPr>
                <w:rFonts w:hint="eastAsia" w:ascii="仿宋_GB2312" w:hAnsi="宋体" w:eastAsia="仿宋_GB2312"/>
                <w:color w:val="000000"/>
                <w:sz w:val="18"/>
                <w:szCs w:val="18"/>
              </w:rPr>
              <w:t>财政部关于印发</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地方预决算公开操作规程的通知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》等法律法规和文件规定</w:t>
            </w:r>
          </w:p>
        </w:tc>
        <w:tc>
          <w:tcPr>
            <w:tcW w:w="1875" w:type="dxa"/>
            <w:noWrap w:val="0"/>
            <w:vAlign w:val="center"/>
          </w:tcPr>
          <w:p w14:paraId="0820D45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1545" w:type="dxa"/>
            <w:noWrap w:val="0"/>
            <w:vAlign w:val="center"/>
          </w:tcPr>
          <w:p w14:paraId="28004C16">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峨边彝族自治县教育局</w:t>
            </w:r>
          </w:p>
        </w:tc>
        <w:tc>
          <w:tcPr>
            <w:tcW w:w="1860" w:type="dxa"/>
            <w:noWrap w:val="0"/>
            <w:vAlign w:val="center"/>
          </w:tcPr>
          <w:p w14:paraId="27EB3A44">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594E5840">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14:paraId="2385E2C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465" w:type="dxa"/>
            <w:noWrap w:val="0"/>
            <w:vAlign w:val="center"/>
          </w:tcPr>
          <w:p w14:paraId="492A548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noWrap w:val="0"/>
            <w:vAlign w:val="center"/>
          </w:tcPr>
          <w:p w14:paraId="74583B0F">
            <w:pPr>
              <w:widowControl/>
              <w:jc w:val="center"/>
              <w:textAlignment w:val="center"/>
              <w:rPr>
                <w:rFonts w:ascii="仿宋_GB2312" w:hAnsi="宋体" w:eastAsia="仿宋_GB2312"/>
                <w:color w:val="000000"/>
                <w:sz w:val="18"/>
                <w:szCs w:val="18"/>
              </w:rPr>
            </w:pPr>
          </w:p>
        </w:tc>
        <w:tc>
          <w:tcPr>
            <w:tcW w:w="525" w:type="dxa"/>
            <w:noWrap w:val="0"/>
            <w:vAlign w:val="center"/>
          </w:tcPr>
          <w:p w14:paraId="507E613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0" w:type="dxa"/>
            <w:noWrap w:val="0"/>
            <w:vAlign w:val="center"/>
          </w:tcPr>
          <w:p w14:paraId="146D8C03">
            <w:pPr>
              <w:widowControl/>
              <w:jc w:val="center"/>
              <w:textAlignment w:val="center"/>
              <w:rPr>
                <w:rFonts w:ascii="仿宋_GB2312" w:hAnsi="宋体" w:eastAsia="仿宋_GB2312"/>
                <w:color w:val="000000"/>
                <w:sz w:val="18"/>
                <w:szCs w:val="18"/>
              </w:rPr>
            </w:pPr>
          </w:p>
        </w:tc>
        <w:tc>
          <w:tcPr>
            <w:tcW w:w="510" w:type="dxa"/>
            <w:noWrap w:val="0"/>
            <w:vAlign w:val="center"/>
          </w:tcPr>
          <w:p w14:paraId="14BBD7B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noWrap w:val="0"/>
            <w:vAlign w:val="center"/>
          </w:tcPr>
          <w:p w14:paraId="78C3C446">
            <w:pPr>
              <w:widowControl/>
              <w:jc w:val="center"/>
              <w:textAlignment w:val="center"/>
              <w:rPr>
                <w:rFonts w:ascii="仿宋_GB2312" w:hAnsi="宋体" w:eastAsia="仿宋_GB2312"/>
                <w:color w:val="000000"/>
                <w:sz w:val="18"/>
                <w:szCs w:val="18"/>
              </w:rPr>
            </w:pPr>
          </w:p>
        </w:tc>
      </w:tr>
    </w:tbl>
    <w:p w14:paraId="6C9B6C89">
      <w:pPr>
        <w:jc w:val="center"/>
        <w:rPr>
          <w:rFonts w:ascii="Times New Roman" w:hAnsi="Times New Roman" w:eastAsia="方正小标宋_GBK"/>
          <w:sz w:val="28"/>
          <w:szCs w:val="28"/>
        </w:rPr>
      </w:pPr>
    </w:p>
    <w:p w14:paraId="27EE3F39"/>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A1D4">
    <w:pPr>
      <w:pStyle w:val="4"/>
      <w:tabs>
        <w:tab w:val="left" w:pos="833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9CB4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79CB4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000000"/>
    <w:rsid w:val="031A60A6"/>
    <w:rsid w:val="04683B23"/>
    <w:rsid w:val="06F9098C"/>
    <w:rsid w:val="136C076F"/>
    <w:rsid w:val="14DE3AD6"/>
    <w:rsid w:val="1ABC251F"/>
    <w:rsid w:val="1B5A7178"/>
    <w:rsid w:val="2067063B"/>
    <w:rsid w:val="25553977"/>
    <w:rsid w:val="27B30E28"/>
    <w:rsid w:val="27E46367"/>
    <w:rsid w:val="289626E0"/>
    <w:rsid w:val="2F3D27DF"/>
    <w:rsid w:val="2FC70C09"/>
    <w:rsid w:val="30F05F59"/>
    <w:rsid w:val="3179662A"/>
    <w:rsid w:val="31980F0E"/>
    <w:rsid w:val="38F73D85"/>
    <w:rsid w:val="3A277B17"/>
    <w:rsid w:val="3B667C18"/>
    <w:rsid w:val="446F7A2D"/>
    <w:rsid w:val="49311755"/>
    <w:rsid w:val="52F474D7"/>
    <w:rsid w:val="534C5A51"/>
    <w:rsid w:val="544C72BB"/>
    <w:rsid w:val="55A62C57"/>
    <w:rsid w:val="578D66F1"/>
    <w:rsid w:val="5CF81667"/>
    <w:rsid w:val="5D634430"/>
    <w:rsid w:val="5E8B1BDC"/>
    <w:rsid w:val="702F17F2"/>
    <w:rsid w:val="78CB37C3"/>
    <w:rsid w:val="7F341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400" w:leftChars="400"/>
    </w:pPr>
    <w:rPr>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7481</Words>
  <Characters>7571</Characters>
  <Lines>0</Lines>
  <Paragraphs>0</Paragraphs>
  <TotalTime>8</TotalTime>
  <ScaleCrop>false</ScaleCrop>
  <LinksUpToDate>false</LinksUpToDate>
  <CharactersWithSpaces>8054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2023-07-03T05:36:00Z</dcterms:created>
  <dc:creator>Administrator</dc:creator>
  <cp:lastModifiedBy>醉纸一坛秋</cp:lastModifiedBy>
  <cp:lastPrinted>2023-07-04T03:38:00Z</cp:lastPrinted>
  <dcterms:modified xsi:type="dcterms:W3CDTF">2024-09-11T07:16:27Z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9C5E7D5CEA374AEC89D502E733A3D424_13</vt:lpwstr>
  </property>
</Properties>
</file>