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峨边彝族自治县老城区棚户区（城中村）</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改造项目</w:t>
      </w:r>
      <w:r>
        <w:rPr>
          <w:rFonts w:hint="eastAsia" w:ascii="方正小标宋简体" w:hAnsi="方正小标宋简体" w:eastAsia="方正小标宋简体" w:cs="方正小标宋简体"/>
          <w:b w:val="0"/>
          <w:bCs w:val="0"/>
          <w:sz w:val="44"/>
          <w:szCs w:val="44"/>
          <w:lang w:eastAsia="zh-CN"/>
        </w:rPr>
        <w:t>三</w:t>
      </w:r>
      <w:r>
        <w:rPr>
          <w:rFonts w:hint="eastAsia" w:ascii="方正小标宋简体" w:hAnsi="方正小标宋简体" w:eastAsia="方正小标宋简体" w:cs="方正小标宋简体"/>
          <w:b w:val="0"/>
          <w:bCs w:val="0"/>
          <w:sz w:val="44"/>
          <w:szCs w:val="44"/>
        </w:rPr>
        <w:t>期房屋征收补偿安置方案</w:t>
      </w:r>
    </w:p>
    <w:p>
      <w:pPr>
        <w:spacing w:line="560" w:lineRule="exact"/>
        <w:jc w:val="center"/>
        <w:rPr>
          <w:rFonts w:hint="eastAsia" w:ascii="方正小标宋简体" w:hAnsi="方正小标宋简体" w:eastAsia="方正小标宋简体" w:cs="方正小标宋简体"/>
          <w:b w:val="0"/>
          <w:bCs w:val="0"/>
          <w:sz w:val="44"/>
          <w:szCs w:val="44"/>
          <w:lang w:eastAsia="zh-CN"/>
        </w:rPr>
      </w:pPr>
    </w:p>
    <w:p>
      <w:pPr>
        <w:spacing w:line="560" w:lineRule="exact"/>
        <w:jc w:val="center"/>
        <w:rPr>
          <w:rFonts w:ascii="方正小标宋_GBK"/>
          <w:sz w:val="44"/>
          <w:szCs w:val="44"/>
        </w:rPr>
      </w:pPr>
    </w:p>
    <w:p>
      <w:pPr>
        <w:spacing w:line="560" w:lineRule="exact"/>
        <w:ind w:firstLine="640" w:firstLineChars="200"/>
        <w:rPr>
          <w:rFonts w:ascii="仿宋_GB2312" w:hAnsi="仿宋_GB2312" w:eastAsia="仿宋_GB2312" w:cs="仿宋_GB2312"/>
          <w:b/>
          <w:bCs/>
          <w:sz w:val="44"/>
          <w:szCs w:val="44"/>
        </w:rPr>
      </w:pPr>
      <w:r>
        <w:rPr>
          <w:rFonts w:hint="eastAsia" w:ascii="仿宋_GB2312" w:hAnsi="仿宋_GB2312" w:eastAsia="仿宋_GB2312" w:cs="仿宋_GB2312"/>
          <w:color w:val="FF0000"/>
          <w:sz w:val="32"/>
          <w:szCs w:val="32"/>
        </w:rPr>
        <w:t>为加快推进峨边彝族自治县老城区棚户区（城中村）改造项目三期项目</w:t>
      </w:r>
      <w:r>
        <w:rPr>
          <w:rFonts w:hint="eastAsia" w:ascii="仿宋_GB2312" w:hAnsi="仿宋_GB2312" w:eastAsia="仿宋_GB2312" w:cs="仿宋_GB2312"/>
          <w:sz w:val="32"/>
          <w:szCs w:val="32"/>
        </w:rPr>
        <w:t>，现结合项目实际，制定房屋征收补偿安置方案如下：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一、征收目的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为加快全县危旧房棚户区改造步伐，</w:t>
      </w:r>
      <w:r>
        <w:rPr>
          <w:rFonts w:hint="eastAsia" w:ascii="仿宋_GB2312" w:hAnsi="仿宋_GB2312" w:eastAsia="仿宋_GB2312" w:cs="仿宋_GB2312"/>
          <w:sz w:val="32"/>
          <w:szCs w:val="32"/>
          <w:lang w:eastAsia="zh-CN"/>
        </w:rPr>
        <w:t>消除城镇危房安全隐患</w:t>
      </w:r>
      <w:r>
        <w:rPr>
          <w:rFonts w:hint="eastAsia" w:ascii="仿宋_GB2312" w:hAnsi="仿宋_GB2312" w:eastAsia="仿宋_GB2312" w:cs="仿宋_GB2312"/>
          <w:sz w:val="32"/>
          <w:szCs w:val="32"/>
        </w:rPr>
        <w:t>，完善市政基础设施建设，全面提升城市功能，拟对老城区棚户区（城中村）进行改造，以国有土地上房屋征收方式实施。</w:t>
      </w:r>
    </w:p>
    <w:p>
      <w:pPr>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rPr>
        <w:t>二、房屋征收范围及征收补偿对象</w:t>
      </w:r>
    </w:p>
    <w:p>
      <w:pPr>
        <w:spacing w:line="560" w:lineRule="exact"/>
        <w:ind w:firstLine="640" w:firstLineChars="200"/>
        <w:rPr>
          <w:rFonts w:ascii="仿宋" w:hAnsi="仿宋" w:eastAsia="仿宋" w:cs="Arial"/>
          <w:sz w:val="32"/>
          <w:szCs w:val="32"/>
        </w:rPr>
      </w:pPr>
      <w:r>
        <w:rPr>
          <w:rFonts w:hint="eastAsia" w:ascii="楷体_GB2312" w:hAnsi="楷体_GB2312" w:eastAsia="楷体_GB2312" w:cs="楷体_GB2312"/>
          <w:sz w:val="32"/>
          <w:szCs w:val="32"/>
        </w:rPr>
        <w:t>（一）房屋征收范围</w:t>
      </w:r>
      <w:r>
        <w:rPr>
          <w:rFonts w:hint="eastAsia" w:ascii="仿宋" w:hAnsi="仿宋" w:eastAsia="仿宋" w:cs="Arial"/>
          <w:sz w:val="32"/>
          <w:szCs w:val="32"/>
        </w:rPr>
        <w:t>：</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大坪路</w:t>
      </w:r>
      <w:r>
        <w:rPr>
          <w:rFonts w:hint="eastAsia" w:ascii="仿宋_GB2312" w:hAnsi="仿宋_GB2312" w:eastAsia="仿宋_GB2312" w:cs="仿宋_GB2312"/>
          <w:color w:val="000000"/>
          <w:sz w:val="32"/>
          <w:szCs w:val="32"/>
          <w:lang w:val="en-US" w:eastAsia="zh-CN"/>
        </w:rPr>
        <w:t>36号、大坪路54号、大坪路82号、大坪路84号、大坪路二坪一巷7号、大坪路119号附1号、顺河路57号附18号、顺河路57号附19号、顺河路57号附20号、顺河路57号附21号、双河街14号、双河街40号、双河街42号、双河街44号</w:t>
      </w:r>
      <w:r>
        <w:rPr>
          <w:rFonts w:hint="eastAsia" w:ascii="仿宋_GB2312" w:hAnsi="仿宋_GB2312" w:eastAsia="仿宋_GB2312" w:cs="仿宋_GB2312"/>
          <w:color w:val="FF0000"/>
          <w:sz w:val="32"/>
          <w:szCs w:val="32"/>
          <w:lang w:val="en-US" w:eastAsia="zh-CN"/>
        </w:rPr>
        <w:t>和大坪路以东、老人民医院以南至城南新区片区可以纳入的部分。</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（二）安置补偿对象：</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本范围内的被征收房屋所有权人（以下简称：被征收人）为征收补偿安置对象。</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三、征收补偿依据</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 xml:space="preserve">国务院《国有土地上房屋征收与补偿条例》（国务院令第590号）、《四川省国有土地上房屋征收与补偿条例》以及《中华人民共和国住房和城乡建设部关于印发〈国有土地上房屋征收评估办法〉的通知》（建房〔2011〕77号）等有关规定。 </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、房屋征收部门和实施单位</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峨边彝族自治县住房和城乡建设局为本项目房屋征收部门。</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沙坪镇人民政府为本项目的实施单位。</w:t>
      </w:r>
    </w:p>
    <w:p>
      <w:pPr>
        <w:spacing w:line="560" w:lineRule="exact"/>
        <w:ind w:firstLine="640" w:firstLineChars="200"/>
        <w:rPr>
          <w:rFonts w:ascii="黑体" w:hAnsi="黑体" w:eastAsia="黑体"/>
          <w:sz w:val="32"/>
          <w:szCs w:val="32"/>
        </w:rPr>
      </w:pPr>
      <w:r>
        <w:rPr>
          <w:rFonts w:hint="eastAsia" w:ascii="黑体" w:hAnsi="黑体" w:eastAsia="黑体" w:cs="Arial"/>
          <w:sz w:val="32"/>
          <w:szCs w:val="32"/>
        </w:rPr>
        <w:t>五、</w:t>
      </w:r>
      <w:r>
        <w:rPr>
          <w:rFonts w:hint="eastAsia" w:ascii="黑体" w:hAnsi="黑体" w:eastAsia="黑体"/>
          <w:sz w:val="32"/>
          <w:szCs w:val="32"/>
        </w:rPr>
        <w:t>签约期限</w:t>
      </w:r>
    </w:p>
    <w:p>
      <w:pPr>
        <w:spacing w:line="56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房屋征收补偿安置签约期限以自治县人民政府征收决定公告的签约期限为准</w:t>
      </w:r>
      <w:r>
        <w:rPr>
          <w:rFonts w:hint="eastAsia" w:ascii="仿宋_GB2312" w:hAnsi="宋体" w:eastAsia="仿宋_GB2312"/>
          <w:sz w:val="32"/>
          <w:szCs w:val="32"/>
        </w:rPr>
        <w:t>。在签约期限内达不成补偿协议的，由自治县人民政府依法作出补偿决定</w:t>
      </w:r>
    </w:p>
    <w:p>
      <w:pPr>
        <w:spacing w:line="560" w:lineRule="exact"/>
        <w:ind w:firstLine="640" w:firstLineChars="200"/>
        <w:rPr>
          <w:rFonts w:ascii="黑体" w:hAnsi="黑体" w:eastAsia="黑体" w:cs="黑体"/>
          <w:sz w:val="32"/>
          <w:szCs w:val="32"/>
        </w:rPr>
      </w:pPr>
      <w:r>
        <w:rPr>
          <w:rFonts w:hint="eastAsia" w:ascii="黑体" w:hAnsi="黑体" w:eastAsia="黑体"/>
          <w:sz w:val="32"/>
          <w:szCs w:val="32"/>
          <w:lang w:eastAsia="zh-CN"/>
        </w:rPr>
        <w:t>六</w:t>
      </w:r>
      <w:r>
        <w:rPr>
          <w:rFonts w:hint="eastAsia" w:ascii="黑体" w:hAnsi="黑体" w:eastAsia="黑体"/>
          <w:sz w:val="32"/>
          <w:szCs w:val="32"/>
        </w:rPr>
        <w:t>、</w:t>
      </w:r>
      <w:r>
        <w:rPr>
          <w:rFonts w:hint="eastAsia" w:ascii="黑体" w:hAnsi="黑体" w:eastAsia="黑体" w:cs="黑体"/>
          <w:sz w:val="32"/>
          <w:szCs w:val="32"/>
        </w:rPr>
        <w:t>被征收人的确定，被征收房屋面积、结构、规划用途及未经登记房屋的认定</w:t>
      </w:r>
    </w:p>
    <w:p>
      <w:pPr>
        <w:spacing w:line="560" w:lineRule="exact"/>
        <w:ind w:firstLine="592" w:firstLineChars="18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（一）被征收人的确定。被征收房屋不动产证载明的产权人为被征收人。被征收房屋已转让未办理不动产登记过户手续的，受让方应按照《中华人民共和国</w:t>
      </w:r>
      <w:r>
        <w:rPr>
          <w:rFonts w:hint="eastAsia" w:ascii="仿宋_GB2312" w:hAnsi="仿宋_GB2312" w:eastAsia="仿宋_GB2312" w:cs="仿宋_GB2312"/>
          <w:sz w:val="32"/>
          <w:szCs w:val="32"/>
          <w:lang w:eastAsia="zh-CN"/>
        </w:rPr>
        <w:t>民法典</w:t>
      </w:r>
      <w:r>
        <w:rPr>
          <w:rFonts w:hint="eastAsia" w:ascii="仿宋_GB2312" w:hAnsi="仿宋_GB2312" w:eastAsia="仿宋_GB2312" w:cs="仿宋_GB2312"/>
          <w:sz w:val="32"/>
          <w:szCs w:val="32"/>
        </w:rPr>
        <w:t>》规定，到不动产登记部门完善不动产登记过户手续后给予补偿；未完善或拒绝完善不动产登记过户手续的，以</w:t>
      </w:r>
      <w:r>
        <w:rPr>
          <w:rFonts w:hint="eastAsia" w:ascii="仿宋_GB2312" w:hAnsi="仿宋_GB2312" w:eastAsia="仿宋_GB2312" w:cs="仿宋_GB2312"/>
          <w:sz w:val="32"/>
          <w:szCs w:val="32"/>
          <w:shd w:val="clear" w:color="auto" w:fill="FFFFFF"/>
        </w:rPr>
        <w:t>不动产登记簿记载的产权人为被征收人进行补偿。</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二）被征收房屋面积和结构的认定。原则上依据被征收房屋所有权证或不动产权证记载的面积和结构为准。被征收人认为房屋所有权证或不动产权证记载的建筑面积与实际建筑面积不一致的，以具有相应资质的房屋测绘机构实际测绘的建筑面积为准。被征收人可自行选择房屋所有权证或不动产权证记载的建筑面积或实际测绘的建筑面积进行补偿。</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三）被征收房屋的规划用途，以房屋所有权证或不动产权证记载的规划用途为准。房屋征收公告发布前规划用途为住宅的，已经依法取得规划和土地行政主管部门改变用途批准文件的，按照批准后的规划用途进行补偿。</w:t>
      </w:r>
    </w:p>
    <w:p>
      <w:pPr>
        <w:spacing w:line="560" w:lineRule="exact"/>
        <w:ind w:firstLine="592" w:firstLineChars="18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登记的房屋（建筑物、构筑物）权属和规划用途，以自治县政府批准的有关部门出具的认定和处理意见为准。对认定为主体住房的，按住宅标准给予补偿安置；对主体住房以外的房屋按相应标准给予货币补偿；对认定为违法建筑和超过批准期限的临时建筑不予补偿。</w:t>
      </w:r>
    </w:p>
    <w:p>
      <w:pPr>
        <w:spacing w:line="560" w:lineRule="exact"/>
        <w:ind w:firstLine="592" w:firstLineChars="185"/>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上述</w:t>
      </w:r>
      <w:r>
        <w:rPr>
          <w:rFonts w:hint="eastAsia" w:ascii="仿宋_GB2312" w:hAnsi="仿宋_GB2312" w:eastAsia="仿宋_GB2312" w:cs="仿宋_GB2312"/>
          <w:color w:val="FF0000"/>
          <w:sz w:val="32"/>
          <w:szCs w:val="32"/>
          <w:lang w:val="en-US" w:eastAsia="zh-CN"/>
        </w:rPr>
        <w:t>具体名单及情况，</w:t>
      </w:r>
      <w:r>
        <w:rPr>
          <w:rFonts w:hint="eastAsia" w:ascii="仿宋_GB2312" w:hAnsi="仿宋_GB2312" w:eastAsia="仿宋_GB2312" w:cs="仿宋_GB2312"/>
          <w:color w:val="FF0000"/>
          <w:sz w:val="32"/>
          <w:szCs w:val="32"/>
          <w:lang w:eastAsia="zh-CN"/>
        </w:rPr>
        <w:t>均需</w:t>
      </w:r>
      <w:r>
        <w:rPr>
          <w:rFonts w:hint="eastAsia" w:ascii="仿宋_GB2312" w:hAnsi="仿宋_GB2312" w:eastAsia="仿宋_GB2312" w:cs="仿宋_GB2312"/>
          <w:color w:val="FF0000"/>
          <w:sz w:val="32"/>
          <w:szCs w:val="32"/>
          <w:lang w:val="en-US" w:eastAsia="zh-CN"/>
        </w:rPr>
        <w:t>报</w:t>
      </w:r>
      <w:r>
        <w:rPr>
          <w:rFonts w:hint="eastAsia" w:ascii="仿宋_GB2312" w:hAnsi="仿宋_GB2312" w:eastAsia="仿宋_GB2312" w:cs="仿宋_GB2312"/>
          <w:color w:val="FF0000"/>
          <w:sz w:val="32"/>
          <w:szCs w:val="32"/>
          <w:lang w:eastAsia="zh-CN"/>
        </w:rPr>
        <w:t>经</w:t>
      </w:r>
      <w:r>
        <w:rPr>
          <w:rFonts w:hint="eastAsia" w:ascii="仿宋_GB2312" w:hAnsi="仿宋_GB2312" w:eastAsia="仿宋_GB2312" w:cs="仿宋_GB2312"/>
          <w:color w:val="FF0000"/>
          <w:sz w:val="32"/>
          <w:szCs w:val="32"/>
          <w:lang w:val="en-US" w:eastAsia="zh-CN"/>
        </w:rPr>
        <w:t>县</w:t>
      </w:r>
      <w:r>
        <w:rPr>
          <w:rFonts w:hint="eastAsia" w:ascii="仿宋_GB2312" w:hAnsi="仿宋_GB2312" w:eastAsia="仿宋_GB2312" w:cs="仿宋_GB2312"/>
          <w:color w:val="FF0000"/>
          <w:sz w:val="32"/>
          <w:szCs w:val="32"/>
          <w:lang w:eastAsia="zh-CN"/>
        </w:rPr>
        <w:t>棚改领导小组审定</w:t>
      </w:r>
      <w:r>
        <w:rPr>
          <w:rFonts w:hint="eastAsia" w:ascii="仿宋_GB2312" w:hAnsi="仿宋_GB2312" w:eastAsia="仿宋_GB2312" w:cs="仿宋_GB2312"/>
          <w:color w:val="FF0000"/>
          <w:sz w:val="32"/>
          <w:szCs w:val="32"/>
          <w:lang w:val="en-US" w:eastAsia="zh-CN"/>
        </w:rPr>
        <w:t>为准</w:t>
      </w:r>
      <w:r>
        <w:rPr>
          <w:rFonts w:hint="eastAsia" w:ascii="仿宋_GB2312" w:hAnsi="仿宋_GB2312" w:eastAsia="仿宋_GB2312" w:cs="仿宋_GB2312"/>
          <w:color w:val="FF0000"/>
          <w:sz w:val="32"/>
          <w:szCs w:val="32"/>
          <w:lang w:eastAsia="zh-CN"/>
        </w:rPr>
        <w:t>。</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eastAsia" w:ascii="黑体" w:hAnsi="黑体" w:eastAsia="黑体"/>
          <w:sz w:val="32"/>
          <w:szCs w:val="32"/>
        </w:rPr>
        <w:t>被征收房屋价值及评估时点的确定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被征收房屋价值的补偿，不低于房屋征收决定公告之日被征收房屋类似房地产的市场价格。被征收房屋的价值，由具有相应资质的房地产价格评估机构评估确定。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产权调换房屋（以下简称：安置房屋）的价值由房地产价格评估机构评估确定，其评估时点应与被征收房屋价值评估时点一致。</w:t>
      </w:r>
    </w:p>
    <w:p>
      <w:pPr>
        <w:kinsoku w:val="0"/>
        <w:overflowPunct w:val="0"/>
        <w:spacing w:line="560" w:lineRule="exact"/>
        <w:ind w:firstLine="640" w:firstLineChars="200"/>
        <w:rPr>
          <w:rFonts w:ascii="黑体" w:hAnsi="黑体" w:eastAsia="黑体" w:cs="Arial"/>
          <w:sz w:val="32"/>
          <w:szCs w:val="32"/>
        </w:rPr>
      </w:pPr>
      <w:r>
        <w:rPr>
          <w:rFonts w:hint="eastAsia" w:ascii="黑体" w:hAnsi="黑体" w:eastAsia="黑体" w:cs="Arial"/>
          <w:sz w:val="32"/>
          <w:szCs w:val="32"/>
          <w:lang w:eastAsia="zh-CN"/>
        </w:rPr>
        <w:t>八</w:t>
      </w:r>
      <w:r>
        <w:rPr>
          <w:rFonts w:hint="eastAsia" w:ascii="黑体" w:hAnsi="黑体" w:eastAsia="黑体" w:cs="Arial"/>
          <w:sz w:val="32"/>
          <w:szCs w:val="32"/>
        </w:rPr>
        <w:t>、补偿方式和补偿标准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被征收人可以选择货币补偿，也可以选择房屋产权调换，非住宅实行货币补偿方式。选择房屋产权调换的实行县城区内现房或期房产权调换。</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（一）住宅货币补偿</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1.房屋价值补偿。</w:t>
      </w:r>
    </w:p>
    <w:p>
      <w:pPr>
        <w:spacing w:line="560" w:lineRule="exact"/>
        <w:ind w:firstLine="640" w:firstLineChars="200"/>
        <w:rPr>
          <w:rFonts w:ascii="仿宋_GB2312" w:hAnsi="仿宋_GB2312" w:eastAsia="仿宋_GB2312" w:cs="仿宋_GB2312"/>
          <w:sz w:val="32"/>
          <w:szCs w:val="32"/>
          <w:highlight w:val="red"/>
        </w:rPr>
      </w:pPr>
      <w:r>
        <w:rPr>
          <w:rFonts w:hint="eastAsia" w:ascii="仿宋_GB2312" w:hAnsi="仿宋_GB2312" w:eastAsia="仿宋_GB2312" w:cs="仿宋_GB2312"/>
          <w:sz w:val="32"/>
          <w:szCs w:val="32"/>
        </w:rPr>
        <w:t>纳入危旧房棚户区改造房屋的价值，除集体土地上房屋中生活用房的简易结构及农业生产用房的彩钢房、小青瓦房、石棉瓦房外，实行市场评估，但需体现国有（含划拨、出让）和集体两种性质土地上房屋价格差异。原集体土地上房屋征收参照国有土地上房屋征收标准执行，土地使用权一并征收。不再给予土地征用的补偿</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2.临时安置补偿。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被征收主体房按8元/</w:t>
      </w:r>
      <w:r>
        <w:rPr>
          <w:rFonts w:hint="eastAsia" w:ascii="宋体" w:hAnsi="宋体"/>
          <w:sz w:val="32"/>
          <w:szCs w:val="32"/>
        </w:rPr>
        <w:t>㎡</w:t>
      </w:r>
      <w:r>
        <w:rPr>
          <w:rFonts w:hint="eastAsia" w:ascii="仿宋_GB2312" w:hAnsi="仿宋_GB2312" w:eastAsia="仿宋_GB2312" w:cs="仿宋_GB2312"/>
          <w:sz w:val="32"/>
          <w:szCs w:val="32"/>
        </w:rPr>
        <w:t>·月的标准计发，不足</w:t>
      </w:r>
      <w:r>
        <w:rPr>
          <w:rFonts w:ascii="仿宋_GB2312" w:hAnsi="仿宋_GB2312" w:eastAsia="仿宋_GB2312" w:cs="仿宋_GB2312"/>
          <w:sz w:val="32"/>
          <w:szCs w:val="32"/>
        </w:rPr>
        <w:t>600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月·户的按</w:t>
      </w:r>
      <w:r>
        <w:rPr>
          <w:rFonts w:ascii="仿宋_GB2312" w:hAnsi="仿宋_GB2312" w:eastAsia="仿宋_GB2312" w:cs="仿宋_GB2312"/>
          <w:sz w:val="32"/>
          <w:szCs w:val="32"/>
        </w:rPr>
        <w:t>600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月·户计发，最高不超过</w:t>
      </w:r>
      <w:r>
        <w:rPr>
          <w:rFonts w:ascii="仿宋_GB2312" w:hAnsi="仿宋_GB2312" w:eastAsia="仿宋_GB2312" w:cs="仿宋_GB2312"/>
          <w:sz w:val="32"/>
          <w:szCs w:val="32"/>
        </w:rPr>
        <w:t>1500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月·户，一次性支付1个半月。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3.搬迁补偿。</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原主体住房建筑面积在</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㎡（含</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㎡）以内的，搬迁补助费按</w:t>
      </w:r>
      <w:r>
        <w:rPr>
          <w:rFonts w:ascii="仿宋_GB2312" w:hAnsi="仿宋_GB2312" w:eastAsia="仿宋_GB2312" w:cs="仿宋_GB2312"/>
          <w:sz w:val="32"/>
          <w:szCs w:val="32"/>
        </w:rPr>
        <w:t>600</w:t>
      </w:r>
      <w:r>
        <w:rPr>
          <w:rFonts w:hint="eastAsia" w:ascii="仿宋_GB2312" w:hAnsi="仿宋_GB2312" w:eastAsia="仿宋_GB2312" w:cs="仿宋_GB2312"/>
          <w:sz w:val="32"/>
          <w:szCs w:val="32"/>
        </w:rPr>
        <w:t>元/户·次计发；建筑面积在</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㎡以上的，搬迁补助费按</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㎡·户·次计发；每户单次最高不超过3000元，支付</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4.空调拆装补偿。</w:t>
      </w:r>
    </w:p>
    <w:p>
      <w:pPr>
        <w:spacing w:line="560" w:lineRule="exact"/>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sz w:val="32"/>
          <w:szCs w:val="32"/>
        </w:rPr>
        <w:t>原房屋有空调</w:t>
      </w:r>
      <w:r>
        <w:rPr>
          <w:rFonts w:hint="eastAsia" w:ascii="仿宋_GB2312" w:hAnsi="宋体" w:eastAsia="仿宋_GB2312" w:cs="仿宋_GB2312"/>
          <w:sz w:val="32"/>
          <w:szCs w:val="32"/>
        </w:rPr>
        <w:t>的，由征收人按</w:t>
      </w:r>
      <w:r>
        <w:rPr>
          <w:rFonts w:ascii="仿宋_GB2312" w:hAnsi="宋体" w:eastAsia="仿宋_GB2312" w:cs="仿宋_GB2312"/>
          <w:sz w:val="32"/>
          <w:szCs w:val="32"/>
        </w:rPr>
        <w:t>200</w:t>
      </w:r>
      <w:r>
        <w:rPr>
          <w:rFonts w:hint="eastAsia" w:ascii="仿宋_GB2312" w:hAnsi="宋体" w:eastAsia="仿宋_GB2312" w:cs="仿宋_GB2312"/>
          <w:sz w:val="32"/>
          <w:szCs w:val="32"/>
        </w:rPr>
        <w:t>元</w:t>
      </w:r>
      <w:r>
        <w:rPr>
          <w:rFonts w:ascii="仿宋_GB2312" w:hAnsi="宋体" w:eastAsia="仿宋_GB2312" w:cs="仿宋_GB2312"/>
          <w:sz w:val="32"/>
          <w:szCs w:val="32"/>
        </w:rPr>
        <w:t>/</w:t>
      </w:r>
      <w:r>
        <w:rPr>
          <w:rFonts w:hint="eastAsia" w:ascii="仿宋_GB2312" w:hAnsi="宋体" w:eastAsia="仿宋_GB2312" w:cs="仿宋_GB2312"/>
          <w:sz w:val="32"/>
          <w:szCs w:val="32"/>
        </w:rPr>
        <w:t>台的标准一次性补助拆装费。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（二）住宅产权调换</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1.安置房源</w:t>
      </w:r>
    </w:p>
    <w:p>
      <w:pPr>
        <w:spacing w:line="560" w:lineRule="exact"/>
        <w:ind w:firstLine="640" w:firstLineChars="200"/>
        <w:rPr>
          <w:rFonts w:ascii="仿宋_GB2312" w:hAnsi="宋体" w:eastAsia="仿宋_GB2312" w:cs="仿宋_GB2312"/>
          <w:sz w:val="32"/>
          <w:szCs w:val="32"/>
        </w:rPr>
      </w:pPr>
      <w:r>
        <w:rPr>
          <w:rFonts w:hint="eastAsia" w:ascii="仿宋_GB2312" w:hAnsi="仿宋_GB2312" w:eastAsia="仿宋_GB2312" w:cs="仿宋_GB2312"/>
          <w:sz w:val="32"/>
          <w:szCs w:val="32"/>
        </w:rPr>
        <w:t>大坪路141号棉麻厂安置房（现房）、古今寺片区安置房（期房）</w:t>
      </w:r>
      <w:r>
        <w:rPr>
          <w:rFonts w:hint="eastAsia" w:ascii="仿宋_GB2312" w:hAnsi="仿宋_GB2312" w:eastAsia="仿宋_GB2312" w:cs="仿宋_GB2312"/>
          <w:color w:val="FF0000"/>
          <w:sz w:val="32"/>
          <w:szCs w:val="32"/>
          <w:lang w:val="en-US" w:eastAsia="zh-CN"/>
        </w:rPr>
        <w:t>以及城区周边规划修建的安置还房。自征收期满为计，</w:t>
      </w:r>
      <w:r>
        <w:rPr>
          <w:rFonts w:hint="eastAsia" w:ascii="仿宋_GB2312" w:hAnsi="仿宋_GB2312" w:eastAsia="仿宋_GB2312" w:cs="仿宋_GB2312"/>
          <w:sz w:val="32"/>
          <w:szCs w:val="32"/>
        </w:rPr>
        <w:t>期房不超过36个月交房。</w:t>
      </w:r>
    </w:p>
    <w:p>
      <w:pPr>
        <w:kinsoku w:val="0"/>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2.补偿标准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（1）房屋</w:t>
      </w:r>
      <w:r>
        <w:rPr>
          <w:rFonts w:hint="eastAsia" w:ascii="仿宋_GB2312" w:hAnsi="仿宋_GB2312" w:eastAsia="仿宋_GB2312" w:cs="仿宋_GB2312"/>
          <w:sz w:val="32"/>
          <w:szCs w:val="32"/>
        </w:rPr>
        <w:t>面积补偿。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被征收人以户为单位选择安置房，每户只能选择与本户实际还房面积最接近的一套或多套安置房。按照经认定的原主体住房建筑面积，与安置房建筑面积按1:1进行产权调换，等面积不补差价。其中属于集体土地性质的</w:t>
      </w:r>
      <w:r>
        <w:rPr>
          <w:rFonts w:hint="eastAsia" w:ascii="仿宋_GB2312" w:hAnsi="仿宋_GB2312" w:eastAsia="仿宋_GB2312" w:cs="仿宋_GB2312"/>
          <w:color w:val="FF0000"/>
          <w:sz w:val="32"/>
          <w:szCs w:val="32"/>
          <w:lang w:eastAsia="zh-CN"/>
        </w:rPr>
        <w:t>合法</w:t>
      </w:r>
      <w:r>
        <w:rPr>
          <w:rFonts w:hint="eastAsia" w:ascii="仿宋_GB2312" w:hAnsi="仿宋_GB2312" w:eastAsia="仿宋_GB2312" w:cs="仿宋_GB2312"/>
          <w:sz w:val="32"/>
          <w:szCs w:val="32"/>
        </w:rPr>
        <w:t>房屋，在享受棚改政策后，</w:t>
      </w:r>
      <w:r>
        <w:rPr>
          <w:rFonts w:hint="eastAsia" w:ascii="仿宋_GB2312" w:hAnsi="仿宋_GB2312" w:eastAsia="仿宋_GB2312" w:cs="仿宋_GB2312"/>
          <w:color w:val="FF0000"/>
          <w:sz w:val="32"/>
          <w:szCs w:val="32"/>
          <w:lang w:eastAsia="zh-CN"/>
        </w:rPr>
        <w:t>自</w:t>
      </w:r>
      <w:r>
        <w:rPr>
          <w:rFonts w:hint="eastAsia" w:ascii="仿宋_GB2312" w:hAnsi="仿宋_GB2312" w:eastAsia="仿宋_GB2312" w:cs="仿宋_GB2312"/>
          <w:color w:val="FF0000"/>
          <w:sz w:val="32"/>
          <w:szCs w:val="32"/>
          <w:lang w:val="en-US" w:eastAsia="zh-CN"/>
        </w:rPr>
        <w:t>动</w:t>
      </w:r>
      <w:r>
        <w:rPr>
          <w:rFonts w:hint="eastAsia" w:ascii="仿宋_GB2312" w:hAnsi="仿宋_GB2312" w:eastAsia="仿宋_GB2312" w:cs="仿宋_GB2312"/>
          <w:color w:val="FF0000"/>
          <w:sz w:val="32"/>
          <w:szCs w:val="32"/>
          <w:lang w:eastAsia="zh-CN"/>
        </w:rPr>
        <w:t>放弃宅基地资格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不给予土地征收补偿，</w:t>
      </w:r>
      <w:r>
        <w:rPr>
          <w:rFonts w:hint="eastAsia" w:ascii="仿宋_GB2312" w:hAnsi="仿宋_GB2312" w:eastAsia="仿宋_GB2312" w:cs="仿宋_GB2312"/>
          <w:color w:val="FF0000"/>
          <w:sz w:val="32"/>
          <w:szCs w:val="32"/>
          <w:lang w:val="en-US" w:eastAsia="zh-CN"/>
        </w:rPr>
        <w:t>同时</w:t>
      </w:r>
      <w:r>
        <w:rPr>
          <w:rFonts w:hint="eastAsia" w:ascii="仿宋_GB2312" w:hAnsi="仿宋_GB2312" w:eastAsia="仿宋_GB2312" w:cs="仿宋_GB2312"/>
          <w:sz w:val="32"/>
          <w:szCs w:val="32"/>
        </w:rPr>
        <w:t>补交安置房屋</w:t>
      </w:r>
      <w:r>
        <w:rPr>
          <w:rFonts w:hint="eastAsia" w:ascii="仿宋_GB2312" w:hAnsi="仿宋_GB2312" w:eastAsia="仿宋_GB2312" w:cs="仿宋_GB2312"/>
          <w:color w:val="FF0000"/>
          <w:sz w:val="32"/>
          <w:szCs w:val="32"/>
          <w:lang w:eastAsia="zh-CN"/>
        </w:rPr>
        <w:t>对应面积的</w:t>
      </w:r>
      <w:r>
        <w:rPr>
          <w:rFonts w:hint="eastAsia" w:ascii="仿宋_GB2312" w:hAnsi="仿宋_GB2312" w:eastAsia="仿宋_GB2312" w:cs="仿宋_GB2312"/>
          <w:sz w:val="32"/>
          <w:szCs w:val="32"/>
        </w:rPr>
        <w:t>土地出让金;原属于国有划拨用地的房屋也应补交</w:t>
      </w:r>
      <w:r>
        <w:rPr>
          <w:rFonts w:hint="eastAsia" w:ascii="仿宋_GB2312" w:hAnsi="仿宋_GB2312" w:eastAsia="仿宋_GB2312" w:cs="仿宋_GB2312"/>
          <w:color w:val="FF0000"/>
          <w:sz w:val="32"/>
          <w:szCs w:val="32"/>
          <w:lang w:eastAsia="zh-CN"/>
        </w:rPr>
        <w:t>对</w:t>
      </w:r>
      <w:r>
        <w:rPr>
          <w:rFonts w:hint="eastAsia" w:ascii="仿宋_GB2312" w:hAnsi="仿宋_GB2312" w:eastAsia="仿宋_GB2312" w:cs="仿宋_GB2312"/>
          <w:sz w:val="32"/>
          <w:szCs w:val="32"/>
        </w:rPr>
        <w:t>应的土地出让金。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2.对征收私有住宅房屋产权建筑面积低于五十平方米，经房管部门核查</w:t>
      </w:r>
      <w:r>
        <w:rPr>
          <w:rFonts w:hint="eastAsia" w:ascii="仿宋_GB2312" w:hAnsi="仿宋_GB2312" w:eastAsia="仿宋_GB2312" w:cs="仿宋_GB2312"/>
          <w:sz w:val="32"/>
          <w:szCs w:val="32"/>
          <w:lang w:eastAsia="zh-CN"/>
        </w:rPr>
        <w:t>在我县城区征收范围外无其他住房</w:t>
      </w:r>
      <w:r>
        <w:rPr>
          <w:rFonts w:hint="eastAsia" w:ascii="仿宋_GB2312" w:hAnsi="仿宋_GB2312" w:eastAsia="仿宋_GB2312" w:cs="仿宋_GB2312"/>
          <w:sz w:val="32"/>
          <w:szCs w:val="32"/>
        </w:rPr>
        <w:t>且符合我县城镇住房保障条件的被征收人，按与实际还房面积最接近的一套安置房进行安置，被征收人不再支付五十平方米以内的补差款，五十平方米以外的补差款按条款“超出和不足面积结算标准”的相关规定计算。</w:t>
      </w:r>
      <w:r>
        <w:rPr>
          <w:rFonts w:hint="eastAsia" w:ascii="仿宋_GB2312" w:hAnsi="仿宋_GB2312" w:eastAsia="仿宋_GB2312" w:cs="仿宋_GB2312"/>
          <w:sz w:val="32"/>
          <w:szCs w:val="32"/>
          <w:lang w:eastAsia="zh-CN"/>
        </w:rPr>
        <w:t>被征收人有多套低于五十平方米的住房，由被征收人自行选择一套享受本款优惠。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（2）临时安置补偿。</w:t>
      </w:r>
    </w:p>
    <w:p>
      <w:pPr>
        <w:spacing w:line="560" w:lineRule="exact"/>
        <w:ind w:firstLine="640" w:firstLineChars="200"/>
        <w:rPr>
          <w:rFonts w:ascii="仿宋_GB2312" w:hAnsi="仿宋_GB2312" w:eastAsia="仿宋_GB2312" w:cs="仿宋_GB2312"/>
          <w:sz w:val="32"/>
          <w:szCs w:val="32"/>
          <w:u w:val="single" w:color="FFFFFF" w:themeColor="background1"/>
        </w:rPr>
      </w:pPr>
      <w:r>
        <w:rPr>
          <w:rFonts w:hint="eastAsia" w:ascii="仿宋_GB2312" w:hAnsi="仿宋_GB2312" w:eastAsia="仿宋_GB2312" w:cs="仿宋_GB2312"/>
          <w:sz w:val="32"/>
          <w:szCs w:val="32"/>
        </w:rPr>
        <w:t>1.选择期房安置的，按被征收主体房面积8元/</w:t>
      </w:r>
      <w:r>
        <w:rPr>
          <w:rFonts w:hint="eastAsia" w:ascii="宋体" w:hAnsi="宋体"/>
          <w:sz w:val="32"/>
          <w:szCs w:val="32"/>
        </w:rPr>
        <w:t>㎡</w:t>
      </w:r>
      <w:r>
        <w:rPr>
          <w:rFonts w:hint="eastAsia" w:ascii="仿宋_GB2312" w:hAnsi="仿宋_GB2312" w:eastAsia="仿宋_GB2312" w:cs="仿宋_GB2312"/>
          <w:sz w:val="32"/>
          <w:szCs w:val="32"/>
        </w:rPr>
        <w:t>·月的标准计发，不足600元/月·户的按600元/月·户标准计发，最高不超过1500元/月·户，自被征收人签订安置补偿协议并搬迁交房之日起计发，至交房公告发布之日停发。</w:t>
      </w:r>
      <w:r>
        <w:rPr>
          <w:rFonts w:hint="eastAsia" w:ascii="仿宋_GB2312" w:hAnsi="仿宋_GB2312" w:eastAsia="仿宋_GB2312" w:cs="仿宋_GB2312"/>
          <w:sz w:val="32"/>
          <w:szCs w:val="32"/>
          <w:u w:val="single" w:color="FFFFFF" w:themeColor="background1"/>
        </w:rPr>
        <w:t>安置房交房日期超过24个月的，过渡费由征收人按</w:t>
      </w:r>
      <w:r>
        <w:rPr>
          <w:rFonts w:ascii="仿宋_GB2312" w:hAnsi="仿宋_GB2312" w:eastAsia="仿宋_GB2312" w:cs="仿宋_GB2312"/>
          <w:sz w:val="32"/>
          <w:szCs w:val="32"/>
          <w:u w:val="single" w:color="FFFFFF" w:themeColor="background1"/>
        </w:rPr>
        <w:t>13</w:t>
      </w:r>
      <w:r>
        <w:rPr>
          <w:rFonts w:hint="eastAsia" w:ascii="仿宋_GB2312" w:hAnsi="仿宋_GB2312" w:eastAsia="仿宋_GB2312" w:cs="仿宋_GB2312"/>
          <w:sz w:val="32"/>
          <w:szCs w:val="32"/>
          <w:u w:val="single" w:color="FFFFFF" w:themeColor="background1"/>
        </w:rPr>
        <w:t>元/</w:t>
      </w:r>
      <w:r>
        <w:rPr>
          <w:rFonts w:hint="eastAsia" w:ascii="宋体" w:hAnsi="宋体"/>
          <w:sz w:val="32"/>
          <w:szCs w:val="32"/>
          <w:u w:val="single" w:color="FFFFFF" w:themeColor="background1"/>
        </w:rPr>
        <w:t>㎡</w:t>
      </w:r>
      <w:r>
        <w:rPr>
          <w:rFonts w:hint="eastAsia" w:ascii="仿宋_GB2312" w:hAnsi="仿宋_GB2312" w:eastAsia="仿宋_GB2312" w:cs="仿宋_GB2312"/>
          <w:sz w:val="32"/>
          <w:szCs w:val="32"/>
          <w:u w:val="single" w:color="FFFFFF" w:themeColor="background1"/>
        </w:rPr>
        <w:t>·月标准支付被征收人，每户最高不超过2300元/月。</w:t>
      </w:r>
    </w:p>
    <w:p>
      <w:pPr>
        <w:spacing w:line="560" w:lineRule="exact"/>
        <w:ind w:firstLine="640" w:firstLineChars="200"/>
        <w:rPr>
          <w:rFonts w:ascii="仿宋_GB2312" w:hAnsi="仿宋_GB2312" w:eastAsia="仿宋_GB2312" w:cs="仿宋_GB2312"/>
          <w:b/>
          <w:bCs/>
          <w:color w:val="000000" w:themeColor="text1"/>
          <w:sz w:val="32"/>
          <w:szCs w:val="32"/>
          <w:u w:val="single" w:color="FFFFFF" w:themeColor="background1"/>
          <w14:textFill>
            <w14:solidFill>
              <w14:schemeClr w14:val="tx1"/>
            </w14:solidFill>
          </w14:textFill>
        </w:rPr>
      </w:pPr>
      <w:r>
        <w:rPr>
          <w:rFonts w:hint="eastAsia" w:ascii="仿宋_GB2312" w:hAnsi="仿宋_GB2312" w:eastAsia="仿宋_GB2312" w:cs="仿宋_GB2312"/>
          <w:sz w:val="32"/>
          <w:szCs w:val="32"/>
          <w:u w:val="single" w:color="FFFFFF" w:themeColor="background1"/>
        </w:rPr>
        <w:t>2.选择现房安置的，参照选择期房安置的补偿标准，一次性支付1个半月的临时安置补偿费。</w:t>
      </w: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（3）</w:t>
      </w:r>
      <w:r>
        <w:rPr>
          <w:rFonts w:hint="eastAsia" w:ascii="仿宋_GB2312" w:hAnsi="仿宋_GB2312" w:eastAsia="仿宋_GB2312" w:cs="仿宋_GB2312"/>
          <w:sz w:val="32"/>
          <w:szCs w:val="32"/>
        </w:rPr>
        <w:t>搬迁补偿。原主体住房建筑面积在</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㎡（含</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㎡）以内的，搬迁补助费按</w:t>
      </w:r>
      <w:r>
        <w:rPr>
          <w:rFonts w:ascii="仿宋_GB2312" w:hAnsi="仿宋_GB2312" w:eastAsia="仿宋_GB2312" w:cs="仿宋_GB2312"/>
          <w:sz w:val="32"/>
          <w:szCs w:val="32"/>
        </w:rPr>
        <w:t>600</w:t>
      </w:r>
      <w:r>
        <w:rPr>
          <w:rFonts w:hint="eastAsia" w:ascii="仿宋_GB2312" w:hAnsi="仿宋_GB2312" w:eastAsia="仿宋_GB2312" w:cs="仿宋_GB2312"/>
          <w:sz w:val="32"/>
          <w:szCs w:val="32"/>
        </w:rPr>
        <w:t>元/户·次计发；建筑面积在</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㎡以上的，搬迁补助费按</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㎡·户·次计发；每户单次最高不超过3000元，支付两次（搬出和搬入）。</w:t>
      </w:r>
    </w:p>
    <w:p>
      <w:pPr>
        <w:kinsoku w:val="0"/>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配套设施补偿。被征收人的水、电、气、光纤线路安装，已有户头凭有效证件进行恢复，不补差价。被征收人新增1套及1套以上，相关单位不收取开户费，但被征收人需根据相关单位要求交纳材料费、人工费等费用。</w:t>
      </w:r>
    </w:p>
    <w:p>
      <w:pPr>
        <w:kinsoku w:val="0"/>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（5）空调拆装补偿。原房屋有空调的，由征收人按200元/台的标准一次性补助拆装费。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（6）土地出让金缴纳。原证载为国有土地出让性质的房屋，互不补差价；原证载为国有土地划拨性质的房屋，应补缴安置房屋的土地出让金；原是集体土地性质的房屋，应补缴安置房屋的土地出让金。</w:t>
      </w:r>
    </w:p>
    <w:p>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3.相关补助。</w:t>
      </w:r>
    </w:p>
    <w:p>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（1）超出和不足面积结算标准。</w:t>
      </w:r>
    </w:p>
    <w:p>
      <w:pPr>
        <w:spacing w:line="560" w:lineRule="exact"/>
        <w:ind w:firstLine="800" w:firstLineChars="25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1.安置房建筑面积超过原主体住房建筑面积10㎡以内（含10㎡）的部分，被征收人按</w:t>
      </w:r>
      <w:r>
        <w:rPr>
          <w:rFonts w:hint="eastAsia" w:ascii="仿宋_GB2312" w:hAnsi="仿宋_GB2312" w:eastAsia="仿宋_GB2312" w:cs="仿宋_GB2312"/>
          <w:color w:val="FF0000"/>
          <w:sz w:val="32"/>
          <w:szCs w:val="32"/>
          <w:lang w:val="en-US" w:eastAsia="zh-CN"/>
        </w:rPr>
        <w:t>安置还房建设成本</w:t>
      </w:r>
      <w:r>
        <w:rPr>
          <w:rFonts w:hint="eastAsia" w:ascii="仿宋_GB2312" w:hAnsi="仿宋_GB2312" w:eastAsia="仿宋_GB2312" w:cs="仿宋_GB2312"/>
          <w:sz w:val="32"/>
          <w:szCs w:val="32"/>
        </w:rPr>
        <w:t>结算给征收人; 安置房建筑面积超过原主体住房建筑面积10㎡至20㎡（含20㎡）的，被征收人按</w:t>
      </w:r>
      <w:r>
        <w:rPr>
          <w:rFonts w:hint="eastAsia" w:ascii="仿宋_GB2312" w:hAnsi="仿宋_GB2312" w:eastAsia="仿宋_GB2312" w:cs="仿宋_GB2312"/>
          <w:color w:val="FF0000"/>
          <w:sz w:val="32"/>
          <w:szCs w:val="32"/>
          <w:lang w:val="en-US" w:eastAsia="zh-CN"/>
        </w:rPr>
        <w:t>安置还房建设成本上浮20%</w:t>
      </w:r>
      <w:r>
        <w:rPr>
          <w:rFonts w:hint="eastAsia" w:ascii="仿宋_GB2312" w:hAnsi="仿宋_GB2312" w:eastAsia="仿宋_GB2312" w:cs="仿宋_GB2312"/>
          <w:sz w:val="32"/>
          <w:szCs w:val="32"/>
        </w:rPr>
        <w:t>结算给征收人；安置房建筑面积超过原主体住房建筑面积20㎡以上的，被征收人按</w:t>
      </w:r>
      <w:r>
        <w:rPr>
          <w:rFonts w:hint="eastAsia" w:ascii="仿宋_GB2312" w:hAnsi="仿宋_GB2312" w:eastAsia="仿宋_GB2312" w:cs="仿宋_GB2312"/>
          <w:color w:val="FF0000"/>
          <w:sz w:val="32"/>
          <w:szCs w:val="32"/>
          <w:lang w:val="en-US" w:eastAsia="zh-CN"/>
        </w:rPr>
        <w:t>安置还房建设成本上浮30%</w:t>
      </w:r>
      <w:r>
        <w:rPr>
          <w:rFonts w:hint="eastAsia" w:ascii="仿宋_GB2312" w:hAnsi="仿宋_GB2312" w:eastAsia="仿宋_GB2312" w:cs="仿宋_GB2312"/>
          <w:sz w:val="32"/>
          <w:szCs w:val="32"/>
        </w:rPr>
        <w:t>结算给征收人。</w:t>
      </w:r>
      <w:r>
        <w:rPr>
          <w:rFonts w:hint="eastAsia" w:ascii="仿宋_GB2312" w:hAnsi="仿宋_GB2312" w:eastAsia="仿宋_GB2312" w:cs="仿宋_GB2312"/>
          <w:color w:val="FF0000"/>
          <w:sz w:val="32"/>
          <w:szCs w:val="32"/>
          <w:lang w:val="en-US" w:eastAsia="zh-CN"/>
        </w:rPr>
        <w:t>安置还房建设成本包括土地费用、建安费用、税费等相关建设费用在内，由安置还房建设单位提供相应成本核算，并经建设行政主管部门审核后确认。</w:t>
      </w:r>
    </w:p>
    <w:p>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2.安置房建筑面积小于原主体住房建筑面积的部分，征收人按第三方房屋价格评估机构出具的房屋评估价格对被征收人进行补偿。</w:t>
      </w:r>
    </w:p>
    <w:p>
      <w:pPr>
        <w:kinsoku w:val="0"/>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物业服务补助。被征收人负责缴纳安置房维修资金。安置房小区按《物业管理条例》规定实行物业管理，由被征收人自行缴纳物管费，并凭缴费票据报征收人核实后按“免二减三”予以补贴。即自通知交房之日起前两年的物管费实行全额补贴，后三年的物管费按50%补贴。</w:t>
      </w:r>
    </w:p>
    <w:p>
      <w:pPr>
        <w:kinsoku w:val="0"/>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w:t>
      </w:r>
    </w:p>
    <w:p>
      <w:pPr>
        <w:kinsoku w:val="0"/>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选房原则。依据腾空房屋并交付钥匙先后的原则领取选房序号，在规定时间、地点依序选房（若出现多户同一时点一起来交钥匙的情况，则采取抽签方式确定选房顺序）。超过规定选房时间未选房或放弃选房的，进入末尾重新排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（2）安置入住。安置房建筑面积待工程竣工验收后，以专业测绘单位实测为准。因建筑面积增减变化引起费用变化的，在征收人与被征收人费用互补结清后，征收人将房屋交付给被征收人使用。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办理不动产权证。征收人在交房后18个月内负责办理安置还房的不动产权证书，被征收人应配合；安置还房面积超过被征收人原主体面积的超出面积，由被征收人按相关政策缴纳契税；被征收人选择多套安置还房的，第2套（含）及以换房上所产生的登记费用由被征收人自行缴纳相关费用。</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（三）非住宅货币补偿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1.房屋价值补偿。</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按有相应资质的房地产评估机构评估的价格给予补偿。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2.临时安置补偿。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被征收非住宅房按8元/㎡·月的标准计发，不足600元/月·户的按600元/月·户计发，最高不超过1500元/月·户（非住宅与住宅为同一幢房屋时，临时安置补偿按一户给予补偿）。一次性支付1个半月。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3.搬迁补偿。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按产权调换的搬迁补偿标准计发1次（非住宅与住宅为同一幢房屋时，临时安置补偿按一户给予补偿）。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空调拆装补偿。</w:t>
      </w:r>
    </w:p>
    <w:p>
      <w:pPr>
        <w:spacing w:line="560" w:lineRule="exact"/>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sz w:val="32"/>
          <w:szCs w:val="32"/>
        </w:rPr>
        <w:t>原房屋有空调的，由征</w:t>
      </w:r>
      <w:r>
        <w:rPr>
          <w:rFonts w:hint="eastAsia" w:ascii="仿宋_GB2312" w:hAnsi="宋体" w:eastAsia="仿宋_GB2312" w:cs="仿宋_GB2312"/>
          <w:sz w:val="32"/>
          <w:szCs w:val="32"/>
        </w:rPr>
        <w:t>收人按</w:t>
      </w:r>
      <w:r>
        <w:rPr>
          <w:rFonts w:ascii="仿宋_GB2312" w:hAnsi="宋体" w:eastAsia="仿宋_GB2312" w:cs="仿宋_GB2312"/>
          <w:sz w:val="32"/>
          <w:szCs w:val="32"/>
        </w:rPr>
        <w:t>200</w:t>
      </w:r>
      <w:r>
        <w:rPr>
          <w:rFonts w:hint="eastAsia" w:ascii="仿宋_GB2312" w:hAnsi="宋体" w:eastAsia="仿宋_GB2312" w:cs="仿宋_GB2312"/>
          <w:sz w:val="32"/>
          <w:szCs w:val="32"/>
        </w:rPr>
        <w:t>元</w:t>
      </w:r>
      <w:r>
        <w:rPr>
          <w:rFonts w:ascii="仿宋_GB2312" w:hAnsi="宋体" w:eastAsia="仿宋_GB2312" w:cs="仿宋_GB2312"/>
          <w:sz w:val="32"/>
          <w:szCs w:val="32"/>
        </w:rPr>
        <w:t>/</w:t>
      </w:r>
      <w:r>
        <w:rPr>
          <w:rFonts w:hint="eastAsia" w:ascii="仿宋_GB2312" w:hAnsi="宋体" w:eastAsia="仿宋_GB2312" w:cs="仿宋_GB2312"/>
          <w:sz w:val="32"/>
          <w:szCs w:val="32"/>
        </w:rPr>
        <w:t>台的标准一次性补助拆装费。</w:t>
      </w:r>
    </w:p>
    <w:p>
      <w:pPr>
        <w:spacing w:line="56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（四）大坪路</w:t>
      </w:r>
      <w:r>
        <w:rPr>
          <w:rFonts w:hint="eastAsia" w:ascii="楷体_GB2312" w:hAnsi="楷体_GB2312" w:eastAsia="楷体_GB2312" w:cs="楷体_GB2312"/>
          <w:color w:val="auto"/>
          <w:sz w:val="32"/>
          <w:szCs w:val="32"/>
          <w:lang w:val="en-US" w:eastAsia="zh-CN"/>
        </w:rPr>
        <w:t>36号有限产权问题</w:t>
      </w:r>
    </w:p>
    <w:p>
      <w:pPr>
        <w:numPr>
          <w:ilvl w:val="0"/>
          <w:numId w:val="0"/>
        </w:numPr>
        <w:spacing w:line="560" w:lineRule="exact"/>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 xml:space="preserve">    大坪路36号产权所有人实际主体房面积应该为现主体房面积乘以所占产权比例。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九、停产停业损失补偿标准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被征收经营性房屋在纳入危旧房棚户区改造公告发布之日前连续用于实体生产、销售或服务两年以上，具有营业执照、相关行业许可等证照，且当前仍处于经营状态的，对被征收的经营用房一次性给予</w:t>
      </w:r>
      <w:r>
        <w:rPr>
          <w:rFonts w:hint="eastAsia" w:ascii="仿宋_GB2312" w:hAnsi="仿宋_GB2312" w:eastAsia="仿宋_GB2312" w:cs="仿宋_GB2312"/>
          <w:sz w:val="32"/>
          <w:szCs w:val="32"/>
        </w:rPr>
        <w:t>500元/㎡</w:t>
      </w:r>
      <w:r>
        <w:rPr>
          <w:rFonts w:hint="eastAsia" w:ascii="仿宋_GB2312" w:hAnsi="仿宋_GB2312" w:eastAsia="仿宋_GB2312" w:cs="仿宋_GB2312"/>
          <w:kern w:val="0"/>
          <w:sz w:val="32"/>
          <w:szCs w:val="32"/>
        </w:rPr>
        <w:t>停产停业补偿。</w:t>
      </w:r>
    </w:p>
    <w:p>
      <w:pPr>
        <w:spacing w:line="560" w:lineRule="exact"/>
        <w:ind w:firstLine="640" w:firstLineChars="200"/>
        <w:rPr>
          <w:rFonts w:hint="eastAsia" w:ascii="仿宋_GB2312" w:hAnsi="宋体" w:eastAsia="仿宋_GB2312" w:cs="仿宋_GB2312"/>
          <w:sz w:val="32"/>
          <w:szCs w:val="32"/>
          <w:lang w:eastAsia="zh-CN"/>
        </w:rPr>
      </w:pPr>
      <w:r>
        <w:rPr>
          <w:rFonts w:hint="eastAsia" w:ascii="仿宋_GB2312" w:hAnsi="仿宋_GB2312" w:eastAsia="仿宋_GB2312" w:cs="仿宋_GB2312"/>
          <w:sz w:val="32"/>
          <w:szCs w:val="32"/>
        </w:rPr>
        <w:t>经认定为经营性用房的参照经营性房屋标准予以补偿</w:t>
      </w:r>
      <w:r>
        <w:rPr>
          <w:rFonts w:hint="eastAsia" w:ascii="仿宋_GB2312" w:hAnsi="仿宋_GB2312" w:eastAsia="仿宋_GB2312" w:cs="仿宋_GB2312"/>
          <w:sz w:val="32"/>
          <w:szCs w:val="32"/>
          <w:lang w:eastAsia="zh-CN"/>
        </w:rPr>
        <w:t>。</w:t>
      </w:r>
    </w:p>
    <w:p>
      <w:pPr>
        <w:spacing w:line="560" w:lineRule="exact"/>
        <w:ind w:firstLine="640" w:firstLineChars="200"/>
        <w:rPr>
          <w:rFonts w:ascii="黑体" w:hAnsi="黑体" w:eastAsia="黑体"/>
          <w:sz w:val="32"/>
          <w:szCs w:val="32"/>
          <w:highlight w:val="yellow"/>
        </w:rPr>
      </w:pPr>
      <w:r>
        <w:rPr>
          <w:rFonts w:hint="eastAsia" w:ascii="黑体" w:hAnsi="黑体" w:eastAsia="黑体"/>
          <w:sz w:val="32"/>
          <w:szCs w:val="32"/>
          <w:lang w:eastAsia="zh-CN"/>
        </w:rPr>
        <w:t>十</w:t>
      </w:r>
      <w:r>
        <w:rPr>
          <w:rFonts w:hint="eastAsia" w:ascii="黑体" w:hAnsi="黑体" w:eastAsia="黑体"/>
          <w:sz w:val="32"/>
          <w:szCs w:val="32"/>
        </w:rPr>
        <w:t>、签约奖励</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征收公告发布后，被征收人10日（含10日）内签订征收补偿协议的，</w:t>
      </w:r>
      <w:r>
        <w:rPr>
          <w:rFonts w:hint="eastAsia" w:ascii="仿宋_GB2312" w:hAnsi="仿宋_GB2312" w:eastAsia="仿宋_GB2312" w:cs="仿宋_GB2312"/>
          <w:color w:val="000000" w:themeColor="text1"/>
          <w:sz w:val="32"/>
          <w:szCs w:val="32"/>
          <w14:textFill>
            <w14:solidFill>
              <w14:schemeClr w14:val="tx1"/>
            </w14:solidFill>
          </w14:textFill>
        </w:rPr>
        <w:t>按原主体房建筑面积300元/㎡标准奖励；11至20日（含20日）内签订征收补偿协议的，按原主体房建筑面积200元/㎡标准奖励；21至30日（含30日）内签订征收补偿协议的，按原主体房建筑面积100元/㎡标准奖励。</w:t>
      </w:r>
      <w:r>
        <w:rPr>
          <w:rFonts w:hint="eastAsia" w:ascii="仿宋_GB2312" w:hAnsi="仿宋_GB2312" w:eastAsia="仿宋_GB2312" w:cs="仿宋_GB2312"/>
          <w:sz w:val="32"/>
          <w:szCs w:val="32"/>
        </w:rPr>
        <w:t>超过以上规定期限的，不予奖励。</w:t>
      </w:r>
    </w:p>
    <w:p>
      <w:pPr>
        <w:autoSpaceDE w:val="0"/>
        <w:autoSpaceDN w:val="0"/>
        <w:adjustRightIn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十一</w:t>
      </w:r>
      <w:r>
        <w:rPr>
          <w:rFonts w:hint="eastAsia" w:ascii="黑体" w:hAnsi="黑体" w:eastAsia="黑体" w:cs="黑体"/>
          <w:sz w:val="32"/>
          <w:szCs w:val="32"/>
        </w:rPr>
        <w:t>、住房安置以外的附着物等补偿执行标准</w:t>
      </w:r>
    </w:p>
    <w:p>
      <w:pPr>
        <w:spacing w:line="560" w:lineRule="exact"/>
        <w:ind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地上构筑物及附属设施、零星树木、被征收主体住房以外的各类附属房屋、房屋装饰装修</w:t>
      </w:r>
      <w:r>
        <w:rPr>
          <w:rFonts w:hint="eastAsia" w:ascii="仿宋_GB2312" w:hAnsi="仿宋_GB2312" w:eastAsia="仿宋_GB2312" w:cs="仿宋_GB2312"/>
          <w:w w:val="99"/>
          <w:sz w:val="32"/>
          <w:szCs w:val="32"/>
        </w:rPr>
        <w:t>项目按</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补偿标准执行。</w:t>
      </w:r>
    </w:p>
    <w:p>
      <w:pPr>
        <w:spacing w:line="560" w:lineRule="exact"/>
        <w:ind w:firstLine="640" w:firstLineChars="200"/>
        <w:rPr>
          <w:rFonts w:ascii="黑体" w:hAnsi="黑体" w:eastAsia="黑体" w:cs="宋体"/>
          <w:sz w:val="32"/>
          <w:szCs w:val="32"/>
        </w:rPr>
      </w:pPr>
      <w:r>
        <w:rPr>
          <w:rFonts w:hint="eastAsia" w:ascii="黑体" w:hAnsi="黑体" w:eastAsia="黑体" w:cs="黑体"/>
          <w:sz w:val="32"/>
          <w:szCs w:val="32"/>
          <w:lang w:eastAsia="zh-CN"/>
        </w:rPr>
        <w:t>十二</w:t>
      </w:r>
      <w:r>
        <w:rPr>
          <w:rFonts w:hint="eastAsia" w:ascii="黑体" w:hAnsi="黑体" w:eastAsia="黑体" w:cs="黑体"/>
          <w:sz w:val="32"/>
          <w:szCs w:val="32"/>
        </w:rPr>
        <w:t>、</w:t>
      </w:r>
      <w:r>
        <w:rPr>
          <w:rFonts w:hint="eastAsia" w:ascii="黑体" w:hAnsi="黑体" w:eastAsia="黑体" w:cs="宋体"/>
          <w:sz w:val="32"/>
          <w:szCs w:val="32"/>
        </w:rPr>
        <w:t>房屋征收争议解决及法律责任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房屋征收部门与被征收人在规定的签约搬迁期限内达不成补偿协议，或者被征收房屋所有权人不明确的，由房屋征收部门报请峨边彝族自治县人民政府根据国务院《国有土地上房屋征收与补偿条例》和《四川省国有土地上房屋征收与补偿条例》，按照本征收补偿方案作出补偿决定，并在房屋征收范围内予以公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被征收人对补偿决定不服的，可以依法向乐山市人民政府申请行政复议，也可以依法向有管辖权的人民法院提起行政诉讼。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（二）被征收人在法定期限内不申请行政复议或者不提起行政诉讼，在补偿决定规定的期限内又不搬迁的，由峨边彝族自治县人民政府依法申请人民法院强制执行。</w:t>
      </w: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（三）</w:t>
      </w:r>
      <w:r>
        <w:rPr>
          <w:rFonts w:hint="eastAsia" w:ascii="仿宋_GB2312" w:hAnsi="仿宋_GB2312" w:eastAsia="仿宋_GB2312" w:cs="仿宋_GB2312"/>
          <w:sz w:val="32"/>
          <w:szCs w:val="32"/>
        </w:rPr>
        <w:t>在安置过程中，被征收人、房屋承租人有下列情形之一，情节轻微的，由公安机关根据《治安管理处罚法》给予治安处罚；情节严重构成犯罪的，依法追究刑事责任；造成经济损失的，当事人还应承担赔偿责任。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1.敲诈勒索财物的；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2.煽动、组织或参与闹事，影响社会稳定的；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3.阻碍房屋拆除工作，妨碍依法执行公务的；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4.阻挠工程建设的。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5.其他违法行为。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三</w:t>
      </w:r>
      <w:r>
        <w:rPr>
          <w:rFonts w:hint="eastAsia" w:ascii="黑体" w:hAnsi="黑体" w:eastAsia="黑体"/>
          <w:sz w:val="32"/>
          <w:szCs w:val="32"/>
        </w:rPr>
        <w:t>、本方案未尽事宜，按有关法律法规执行。</w:t>
      </w:r>
    </w:p>
    <w:p>
      <w:pPr>
        <w:spacing w:line="560" w:lineRule="exact"/>
        <w:ind w:left="1598" w:leftChars="304" w:hanging="960" w:hangingChars="300"/>
        <w:rPr>
          <w:rFonts w:ascii="仿宋" w:hAnsi="仿宋" w:eastAsia="仿宋" w:cs="仿宋"/>
          <w:color w:val="000000"/>
          <w:kern w:val="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ascii="仿宋" w:hAnsi="仿宋" w:eastAsia="仿宋" w:cs="仿宋"/>
          <w:color w:val="000000"/>
          <w:kern w:val="0"/>
          <w:sz w:val="32"/>
          <w:szCs w:val="32"/>
        </w:rPr>
        <w:t>峨边彝族自治县地上构筑物及其附属设施补偿标准</w:t>
      </w:r>
    </w:p>
    <w:p>
      <w:pPr>
        <w:spacing w:line="560" w:lineRule="exact"/>
        <w:ind w:firstLine="1600" w:firstLineChars="500"/>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峨边彝族自治县零星树木补偿标准</w:t>
      </w:r>
    </w:p>
    <w:p>
      <w:pPr>
        <w:spacing w:line="560" w:lineRule="exact"/>
        <w:ind w:firstLine="1600" w:firstLineChars="500"/>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峨边彝族自治县各类房屋补偿标准</w:t>
      </w:r>
    </w:p>
    <w:p>
      <w:pPr>
        <w:spacing w:line="560" w:lineRule="exact"/>
        <w:ind w:firstLine="1600" w:firstLineChars="500"/>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峨边彝族自治县房屋装修补助标准</w:t>
      </w:r>
    </w:p>
    <w:p>
      <w:pPr>
        <w:spacing w:line="500" w:lineRule="exact"/>
        <w:ind w:firstLine="1600" w:firstLineChars="500"/>
        <w:rPr>
          <w:rFonts w:ascii="仿宋" w:hAnsi="仿宋" w:eastAsia="仿宋" w:cs="仿宋"/>
          <w:color w:val="000000"/>
          <w:kern w:val="0"/>
          <w:sz w:val="32"/>
          <w:szCs w:val="32"/>
        </w:rPr>
      </w:pPr>
    </w:p>
    <w:p>
      <w:pPr>
        <w:spacing w:line="500" w:lineRule="exact"/>
        <w:ind w:firstLine="1600" w:firstLineChars="500"/>
        <w:rPr>
          <w:rFonts w:ascii="仿宋" w:hAnsi="仿宋" w:eastAsia="仿宋" w:cs="仿宋"/>
          <w:color w:val="000000"/>
          <w:kern w:val="0"/>
          <w:sz w:val="32"/>
          <w:szCs w:val="32"/>
        </w:rPr>
      </w:pPr>
    </w:p>
    <w:p>
      <w:pPr>
        <w:spacing w:line="500" w:lineRule="exact"/>
        <w:ind w:firstLine="1600" w:firstLineChars="500"/>
        <w:rPr>
          <w:rFonts w:ascii="仿宋" w:hAnsi="仿宋" w:eastAsia="仿宋" w:cs="仿宋"/>
          <w:color w:val="000000"/>
          <w:kern w:val="0"/>
          <w:sz w:val="32"/>
          <w:szCs w:val="32"/>
        </w:rPr>
      </w:pPr>
    </w:p>
    <w:p>
      <w:pPr>
        <w:spacing w:line="500" w:lineRule="exact"/>
        <w:ind w:firstLine="1600" w:firstLineChars="500"/>
        <w:rPr>
          <w:rFonts w:ascii="仿宋" w:hAnsi="仿宋" w:eastAsia="仿宋" w:cs="仿宋"/>
          <w:color w:val="000000"/>
          <w:kern w:val="0"/>
          <w:sz w:val="32"/>
          <w:szCs w:val="32"/>
        </w:rPr>
      </w:pPr>
    </w:p>
    <w:p>
      <w:pPr>
        <w:spacing w:line="500" w:lineRule="exact"/>
        <w:ind w:firstLine="1600" w:firstLineChars="500"/>
        <w:rPr>
          <w:rFonts w:ascii="仿宋" w:hAnsi="仿宋" w:eastAsia="仿宋" w:cs="仿宋"/>
          <w:color w:val="000000"/>
          <w:kern w:val="0"/>
          <w:sz w:val="32"/>
          <w:szCs w:val="32"/>
        </w:rPr>
      </w:pPr>
    </w:p>
    <w:p>
      <w:pPr>
        <w:spacing w:line="500" w:lineRule="exact"/>
        <w:ind w:firstLine="1600" w:firstLineChars="500"/>
        <w:rPr>
          <w:rFonts w:ascii="仿宋" w:hAnsi="仿宋" w:eastAsia="仿宋" w:cs="仿宋"/>
          <w:color w:val="000000"/>
          <w:kern w:val="0"/>
          <w:sz w:val="32"/>
          <w:szCs w:val="32"/>
        </w:rPr>
      </w:pPr>
    </w:p>
    <w:p>
      <w:pPr>
        <w:spacing w:line="500" w:lineRule="exact"/>
        <w:ind w:firstLine="1600" w:firstLineChars="500"/>
        <w:rPr>
          <w:rFonts w:ascii="仿宋" w:hAnsi="仿宋" w:eastAsia="仿宋" w:cs="仿宋"/>
          <w:color w:val="000000"/>
          <w:kern w:val="0"/>
          <w:sz w:val="32"/>
          <w:szCs w:val="32"/>
        </w:rPr>
      </w:pPr>
    </w:p>
    <w:p>
      <w:pPr>
        <w:spacing w:line="500" w:lineRule="exact"/>
        <w:rPr>
          <w:rFonts w:ascii="仿宋" w:hAnsi="仿宋" w:eastAsia="仿宋" w:cs="仿宋"/>
          <w:color w:val="000000"/>
          <w:kern w:val="0"/>
          <w:sz w:val="32"/>
          <w:szCs w:val="32"/>
        </w:rPr>
      </w:pPr>
    </w:p>
    <w:tbl>
      <w:tblPr>
        <w:tblStyle w:val="3"/>
        <w:tblW w:w="10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2130"/>
        <w:gridCol w:w="2940"/>
        <w:gridCol w:w="1485"/>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080"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附件1：</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峨边彝族自治县地上构筑物及其附属设施补偿标准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补偿项目</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补偿标准（元）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围墙</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乱石垒、土围墙</w:t>
            </w:r>
          </w:p>
        </w:tc>
        <w:tc>
          <w:tcPr>
            <w:tcW w:w="14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砖、石围墙</w:t>
            </w:r>
          </w:p>
        </w:tc>
        <w:tc>
          <w:tcPr>
            <w:tcW w:w="14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院（晒）坝</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三合土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砖、石、水泥砂浆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土坝</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石板坝</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堡坎</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石堡坎</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砼</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水缸</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地窖</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粪池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土粪池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水泥、三合土粪池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条石粪池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水窖</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土水窖</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三合土水窖</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条石及砼水窖</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砣石、条石池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石砌、砖砌、混凝土池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造型水池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水井</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土水井</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条石水井</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压水井（含机械取水）</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机井(含抗旱井)</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灶台</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红砖砌灶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瓷砖灶、水泥灶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节能灶（含设施）</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坟墓</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普通土堆坟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砖、石、水泥修砌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砖、石、水泥修砌加有花岗石、其他材料刻成的墓碑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沼气池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粮仓</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砖、石、混凝土柜</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排灌沟渠</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衬砌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未衬砌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围墙大门</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铁大门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木大门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大棚(花棚、蔬菜大棚、蘑菇棚等)</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塑钢</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水塔</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bl>
    <w:p>
      <w:pPr>
        <w:spacing w:line="500" w:lineRule="exact"/>
        <w:rPr>
          <w:rFonts w:ascii="仿宋" w:hAnsi="仿宋" w:eastAsia="仿宋" w:cs="仿宋"/>
          <w:color w:val="000000"/>
          <w:kern w:val="0"/>
          <w:sz w:val="32"/>
          <w:szCs w:val="32"/>
        </w:rPr>
      </w:pPr>
    </w:p>
    <w:p>
      <w:pPr>
        <w:spacing w:line="500" w:lineRule="exact"/>
        <w:ind w:firstLine="1600" w:firstLineChars="500"/>
        <w:rPr>
          <w:rFonts w:ascii="仿宋" w:hAnsi="仿宋" w:eastAsia="仿宋" w:cs="仿宋"/>
          <w:color w:val="000000"/>
          <w:kern w:val="0"/>
          <w:sz w:val="32"/>
          <w:szCs w:val="32"/>
        </w:rPr>
      </w:pPr>
    </w:p>
    <w:p>
      <w:pPr>
        <w:spacing w:line="500" w:lineRule="exact"/>
        <w:rPr>
          <w:rFonts w:ascii="仿宋" w:hAnsi="仿宋" w:eastAsia="仿宋" w:cs="仿宋"/>
          <w:color w:val="000000"/>
          <w:kern w:val="0"/>
          <w:sz w:val="32"/>
          <w:szCs w:val="32"/>
        </w:rPr>
      </w:pPr>
    </w:p>
    <w:p>
      <w:pPr>
        <w:spacing w:line="500" w:lineRule="exact"/>
        <w:rPr>
          <w:rFonts w:ascii="仿宋" w:hAnsi="仿宋" w:eastAsia="仿宋" w:cs="仿宋"/>
          <w:color w:val="000000"/>
          <w:kern w:val="0"/>
          <w:sz w:val="32"/>
          <w:szCs w:val="32"/>
        </w:rPr>
      </w:pPr>
    </w:p>
    <w:p>
      <w:pPr>
        <w:spacing w:line="500" w:lineRule="exact"/>
        <w:rPr>
          <w:rFonts w:ascii="仿宋" w:hAnsi="仿宋" w:eastAsia="仿宋" w:cs="仿宋"/>
          <w:color w:val="000000"/>
          <w:kern w:val="0"/>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hint="eastAsia" w:ascii="黑体" w:hAnsi="黑体" w:eastAsia="黑体"/>
          <w:sz w:val="32"/>
          <w:szCs w:val="32"/>
          <w:lang w:val="en-US" w:eastAsia="zh-CN"/>
        </w:rPr>
      </w:pPr>
    </w:p>
    <w:p>
      <w:pPr>
        <w:spacing w:line="580" w:lineRule="exact"/>
        <w:rPr>
          <w:rFonts w:hint="eastAsia" w:ascii="黑体" w:hAnsi="黑体" w:eastAsia="黑体"/>
          <w:sz w:val="32"/>
          <w:szCs w:val="32"/>
          <w:lang w:val="en-US" w:eastAsia="zh-CN"/>
        </w:rPr>
      </w:pPr>
    </w:p>
    <w:tbl>
      <w:tblPr>
        <w:tblStyle w:val="3"/>
        <w:tblW w:w="10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1698"/>
        <w:gridCol w:w="1335"/>
        <w:gridCol w:w="1185"/>
        <w:gridCol w:w="2085"/>
        <w:gridCol w:w="1035"/>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05"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p>
          <w:p>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32"/>
                <w:szCs w:val="32"/>
                <w:u w:val="none"/>
                <w:lang w:val="en-US" w:eastAsia="zh-CN" w:bidi="ar"/>
              </w:rPr>
              <w:t>附件2：</w:t>
            </w:r>
          </w:p>
        </w:tc>
        <w:tc>
          <w:tcPr>
            <w:tcW w:w="133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6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峨边彝族自治县零星树木补偿标准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补偿标准（元）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生产期</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锦橙、血橙、 </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脐橙、夏橙、</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碰柑、香柚、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柑桔</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产果期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挂果3─9年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挂果10年以上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衰果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定植3年内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定植3年以上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桃子、樱桃、李子、梨子、</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苹果、杏子、柿子、青枣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产果期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挂果3─11年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挂果12年以上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衰果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离地面高度1米以下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离地面高</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度1米及以上未产果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荔枝、桂圆、枇杷、板栗、坚果、花椒</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产果期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挂果3─9年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挂果10年以上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衰果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定植未挂果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定植3年以上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定植嫁接幼树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定植3年内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地径在</w:t>
            </w:r>
            <w:bookmarkStart w:id="0" w:name="_GoBack"/>
            <w:bookmarkEnd w:id="0"/>
            <w:r>
              <w:rPr>
                <w:rFonts w:hint="eastAsia" w:ascii="宋体" w:hAnsi="宋体" w:eastAsia="宋体" w:cs="宋体"/>
                <w:i w:val="0"/>
                <w:iCs w:val="0"/>
                <w:color w:val="000000"/>
                <w:kern w:val="0"/>
                <w:sz w:val="22"/>
                <w:szCs w:val="22"/>
                <w:u w:val="none"/>
                <w:lang w:val="en-US" w:eastAsia="zh-CN" w:bidi="ar"/>
              </w:rPr>
              <w:t>5厘米以上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中产</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地径在2─5厘米(含2厘米)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地径在1-2厘米(含1厘米)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地径在1厘米以下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香(芭)蕉</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离地面高度1米以下 </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产叶（果）桑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初产叶（果）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中产叶（果）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盛产叶（果）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老化树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油茶、油桐、乌柏、梅子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未产果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初产果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中产期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盛产期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老化树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笋竹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25根以上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10根及以下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杂树（松、杉、柏、椿芽等）</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干胸径2厘米以下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干胸径2─5厘米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干胸径5─16厘米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干胸径16厘米以上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其他杂树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离地高度0.5─1米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离地面高度1米以上，主干胸径5厘米以下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离地面高度2米以上，主干胸径5—16厘米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大树</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离地面高度3米以上，主干胸径16 厘米以上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银杏、桂花其他园林乔木树种</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胸径5厘米以下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胸径5─10厘米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胸径10厘米以上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bl>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p>
      <w:pPr>
        <w:spacing w:line="580" w:lineRule="exact"/>
        <w:rPr>
          <w:rFonts w:ascii="黑体" w:hAnsi="黑体" w:eastAsia="黑体"/>
          <w:sz w:val="32"/>
          <w:szCs w:val="32"/>
        </w:rPr>
      </w:pPr>
    </w:p>
    <w:tbl>
      <w:tblPr>
        <w:tblStyle w:val="3"/>
        <w:tblpPr w:leftFromText="180" w:rightFromText="180" w:vertAnchor="text" w:horzAnchor="page" w:tblpX="1463" w:tblpY="224"/>
        <w:tblOverlap w:val="never"/>
        <w:tblW w:w="8998" w:type="dxa"/>
        <w:tblInd w:w="0" w:type="dxa"/>
        <w:tblLayout w:type="fixed"/>
        <w:tblCellMar>
          <w:top w:w="0" w:type="dxa"/>
          <w:left w:w="0" w:type="dxa"/>
          <w:bottom w:w="0" w:type="dxa"/>
          <w:right w:w="0" w:type="dxa"/>
        </w:tblCellMar>
      </w:tblPr>
      <w:tblGrid>
        <w:gridCol w:w="855"/>
        <w:gridCol w:w="1155"/>
        <w:gridCol w:w="1560"/>
        <w:gridCol w:w="3510"/>
        <w:gridCol w:w="1918"/>
      </w:tblGrid>
      <w:tr>
        <w:tblPrEx>
          <w:tblCellMar>
            <w:top w:w="0" w:type="dxa"/>
            <w:left w:w="0" w:type="dxa"/>
            <w:bottom w:w="0" w:type="dxa"/>
            <w:right w:w="0" w:type="dxa"/>
          </w:tblCellMar>
        </w:tblPrEx>
        <w:trPr>
          <w:trHeight w:val="90" w:hRule="atLeast"/>
        </w:trPr>
        <w:tc>
          <w:tcPr>
            <w:tcW w:w="8998" w:type="dxa"/>
            <w:gridSpan w:val="5"/>
            <w:tcBorders>
              <w:top w:val="nil"/>
              <w:left w:val="nil"/>
              <w:bottom w:val="nil"/>
              <w:right w:val="nil"/>
            </w:tcBorders>
            <w:tcMar>
              <w:top w:w="15" w:type="dxa"/>
              <w:left w:w="15" w:type="dxa"/>
              <w:right w:w="15" w:type="dxa"/>
            </w:tcMar>
            <w:vAlign w:val="center"/>
          </w:tcPr>
          <w:p>
            <w:pPr>
              <w:widowControl/>
              <w:textAlignment w:val="center"/>
              <w:rPr>
                <w:rFonts w:ascii="方正小标宋简体" w:hAnsi="方正小标宋简体" w:eastAsia="方正小标宋简体" w:cs="方正小标宋简体"/>
                <w:color w:val="000000"/>
                <w:kern w:val="0"/>
                <w:sz w:val="10"/>
                <w:szCs w:val="10"/>
              </w:rPr>
            </w:pPr>
          </w:p>
          <w:tbl>
            <w:tblPr>
              <w:tblStyle w:val="3"/>
              <w:tblW w:w="8963" w:type="dxa"/>
              <w:tblInd w:w="0" w:type="dxa"/>
              <w:tblLayout w:type="fixed"/>
              <w:tblCellMar>
                <w:top w:w="0" w:type="dxa"/>
                <w:left w:w="0" w:type="dxa"/>
                <w:bottom w:w="0" w:type="dxa"/>
                <w:right w:w="0" w:type="dxa"/>
              </w:tblCellMar>
            </w:tblPr>
            <w:tblGrid>
              <w:gridCol w:w="5"/>
              <w:gridCol w:w="1029"/>
              <w:gridCol w:w="2843"/>
              <w:gridCol w:w="1923"/>
              <w:gridCol w:w="1584"/>
              <w:gridCol w:w="1579"/>
              <w:gridCol w:w="5"/>
            </w:tblGrid>
            <w:tr>
              <w:tblPrEx>
                <w:tblCellMar>
                  <w:top w:w="0" w:type="dxa"/>
                  <w:left w:w="0" w:type="dxa"/>
                  <w:bottom w:w="0" w:type="dxa"/>
                  <w:right w:w="0" w:type="dxa"/>
                </w:tblCellMar>
              </w:tblPrEx>
              <w:trPr>
                <w:gridAfter w:val="1"/>
                <w:wAfter w:w="5" w:type="dxa"/>
                <w:trHeight w:val="600" w:hRule="atLeast"/>
              </w:trPr>
              <w:tc>
                <w:tcPr>
                  <w:tcW w:w="8963" w:type="dxa"/>
                  <w:gridSpan w:val="6"/>
                  <w:tcBorders>
                    <w:top w:val="nil"/>
                    <w:left w:val="nil"/>
                    <w:bottom w:val="nil"/>
                    <w:right w:val="nil"/>
                  </w:tcBorders>
                  <w:tcMar>
                    <w:top w:w="15" w:type="dxa"/>
                    <w:left w:w="15" w:type="dxa"/>
                    <w:right w:w="15" w:type="dxa"/>
                  </w:tcMar>
                  <w:vAlign w:val="center"/>
                </w:tcPr>
                <w:p>
                  <w:pPr>
                    <w:widowControl/>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val="en-US" w:eastAsia="zh-CN"/>
                    </w:rPr>
                    <w:t>3：</w:t>
                  </w:r>
                </w:p>
                <w:p>
                  <w:pPr>
                    <w:widowControl/>
                    <w:jc w:val="center"/>
                    <w:textAlignment w:val="center"/>
                    <w:rPr>
                      <w:rFonts w:ascii="方正小标宋简体" w:hAnsi="方正小标宋简体" w:eastAsia="方正小标宋简体" w:cs="方正小标宋简体"/>
                      <w:color w:val="000000"/>
                      <w:sz w:val="40"/>
                      <w:szCs w:val="40"/>
                    </w:rPr>
                  </w:pPr>
                  <w:r>
                    <w:rPr>
                      <w:rFonts w:hint="eastAsia" w:ascii="仿宋_GB2312" w:hAnsi="仿宋_GB2312" w:eastAsia="仿宋_GB2312" w:cs="仿宋_GB2312"/>
                      <w:color w:val="000000"/>
                      <w:kern w:val="0"/>
                      <w:sz w:val="32"/>
                      <w:szCs w:val="32"/>
                    </w:rPr>
                    <w:t>峨边彝族自治县各类房屋补偿标准</w:t>
                  </w:r>
                </w:p>
              </w:tc>
            </w:tr>
            <w:tr>
              <w:tblPrEx>
                <w:tblCellMar>
                  <w:top w:w="0" w:type="dxa"/>
                  <w:left w:w="0" w:type="dxa"/>
                  <w:bottom w:w="0" w:type="dxa"/>
                  <w:right w:w="0" w:type="dxa"/>
                </w:tblCellMar>
              </w:tblPrEx>
              <w:trPr>
                <w:gridBefore w:val="1"/>
                <w:wBefore w:w="5" w:type="dxa"/>
                <w:trHeight w:val="43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6"/>
                      <w:szCs w:val="26"/>
                    </w:rPr>
                  </w:pPr>
                  <w:r>
                    <w:rPr>
                      <w:rFonts w:ascii="楷体_GB2312" w:hAnsi="宋体" w:eastAsia="楷体_GB2312" w:cs="楷体_GB2312"/>
                      <w:color w:val="000000"/>
                      <w:kern w:val="0"/>
                      <w:sz w:val="26"/>
                      <w:szCs w:val="26"/>
                    </w:rPr>
                    <w:t>序号</w:t>
                  </w:r>
                </w:p>
              </w:tc>
              <w:tc>
                <w:tcPr>
                  <w:tcW w:w="2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6"/>
                      <w:szCs w:val="26"/>
                    </w:rPr>
                  </w:pPr>
                  <w:r>
                    <w:rPr>
                      <w:rFonts w:ascii="楷体_GB2312" w:hAnsi="宋体" w:eastAsia="楷体_GB2312" w:cs="楷体_GB2312"/>
                      <w:color w:val="000000"/>
                      <w:kern w:val="0"/>
                      <w:sz w:val="26"/>
                      <w:szCs w:val="26"/>
                    </w:rPr>
                    <w:t>项目</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6"/>
                      <w:szCs w:val="26"/>
                    </w:rPr>
                  </w:pPr>
                  <w:r>
                    <w:rPr>
                      <w:rFonts w:ascii="楷体_GB2312" w:hAnsi="宋体" w:eastAsia="楷体_GB2312" w:cs="楷体_GB2312"/>
                      <w:color w:val="000000"/>
                      <w:kern w:val="0"/>
                      <w:sz w:val="26"/>
                      <w:szCs w:val="26"/>
                    </w:rPr>
                    <w:t>单位</w:t>
                  </w:r>
                </w:p>
              </w:tc>
              <w:tc>
                <w:tcPr>
                  <w:tcW w:w="1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6"/>
                      <w:szCs w:val="26"/>
                    </w:rPr>
                  </w:pPr>
                  <w:r>
                    <w:rPr>
                      <w:rFonts w:ascii="楷体_GB2312" w:hAnsi="宋体" w:eastAsia="楷体_GB2312" w:cs="楷体_GB2312"/>
                      <w:color w:val="000000"/>
                      <w:kern w:val="0"/>
                      <w:sz w:val="26"/>
                      <w:szCs w:val="26"/>
                    </w:rPr>
                    <w:t xml:space="preserve"> 单价（元）</w:t>
                  </w:r>
                </w:p>
              </w:tc>
              <w:tc>
                <w:tcPr>
                  <w:tcW w:w="15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6"/>
                      <w:szCs w:val="26"/>
                    </w:rPr>
                  </w:pPr>
                  <w:r>
                    <w:rPr>
                      <w:rFonts w:ascii="楷体_GB2312" w:hAnsi="宋体" w:eastAsia="楷体_GB2312" w:cs="楷体_GB2312"/>
                      <w:color w:val="000000"/>
                      <w:kern w:val="0"/>
                      <w:sz w:val="26"/>
                      <w:szCs w:val="26"/>
                    </w:rPr>
                    <w:t>备注</w:t>
                  </w:r>
                </w:p>
              </w:tc>
            </w:tr>
            <w:tr>
              <w:tblPrEx>
                <w:tblCellMar>
                  <w:top w:w="0" w:type="dxa"/>
                  <w:left w:w="0" w:type="dxa"/>
                  <w:bottom w:w="0" w:type="dxa"/>
                  <w:right w:w="0" w:type="dxa"/>
                </w:tblCellMar>
              </w:tblPrEx>
              <w:trPr>
                <w:gridBefore w:val="1"/>
                <w:wBefore w:w="5" w:type="dxa"/>
                <w:trHeight w:val="439" w:hRule="atLeast"/>
              </w:trPr>
              <w:tc>
                <w:tcPr>
                  <w:tcW w:w="10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一</w:t>
                  </w:r>
                </w:p>
              </w:tc>
              <w:tc>
                <w:tcPr>
                  <w:tcW w:w="7934" w:type="dxa"/>
                  <w:gridSpan w:val="5"/>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生活住房</w:t>
                  </w:r>
                </w:p>
              </w:tc>
            </w:tr>
            <w:tr>
              <w:tblPrEx>
                <w:tblCellMar>
                  <w:top w:w="0" w:type="dxa"/>
                  <w:left w:w="0" w:type="dxa"/>
                  <w:bottom w:w="0" w:type="dxa"/>
                  <w:right w:w="0" w:type="dxa"/>
                </w:tblCellMar>
              </w:tblPrEx>
              <w:trPr>
                <w:gridBefore w:val="1"/>
                <w:wBefore w:w="5" w:type="dxa"/>
                <w:trHeight w:val="43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6"/>
                      <w:szCs w:val="26"/>
                    </w:rPr>
                  </w:pPr>
                  <w:r>
                    <w:rPr>
                      <w:rFonts w:hint="eastAsia" w:ascii="仿宋_GB2312" w:hAnsi="宋体" w:eastAsia="仿宋_GB2312" w:cs="仿宋_GB2312"/>
                      <w:color w:val="000000"/>
                      <w:kern w:val="0"/>
                      <w:sz w:val="26"/>
                      <w:szCs w:val="26"/>
                    </w:rPr>
                    <w:t>1</w:t>
                  </w:r>
                </w:p>
              </w:tc>
              <w:tc>
                <w:tcPr>
                  <w:tcW w:w="2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6"/>
                      <w:szCs w:val="26"/>
                    </w:rPr>
                  </w:pPr>
                  <w:r>
                    <w:rPr>
                      <w:rFonts w:hint="eastAsia" w:ascii="仿宋_GB2312" w:hAnsi="宋体" w:eastAsia="仿宋_GB2312" w:cs="仿宋_GB2312"/>
                      <w:color w:val="000000"/>
                      <w:kern w:val="0"/>
                      <w:sz w:val="26"/>
                      <w:szCs w:val="26"/>
                    </w:rPr>
                    <w:t>主体住房</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6"/>
                      <w:szCs w:val="26"/>
                    </w:rPr>
                  </w:pPr>
                </w:p>
              </w:tc>
              <w:tc>
                <w:tcPr>
                  <w:tcW w:w="1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6"/>
                      <w:szCs w:val="26"/>
                    </w:rPr>
                  </w:pPr>
                </w:p>
              </w:tc>
              <w:tc>
                <w:tcPr>
                  <w:tcW w:w="15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r>
                    <w:rPr>
                      <w:rFonts w:hint="eastAsia" w:ascii="仿宋_GB2312" w:hAnsi="宋体" w:eastAsia="仿宋_GB2312" w:cs="仿宋_GB2312"/>
                      <w:color w:val="000000"/>
                      <w:sz w:val="26"/>
                      <w:szCs w:val="26"/>
                    </w:rPr>
                    <w:t>以评估为准</w:t>
                  </w:r>
                </w:p>
              </w:tc>
            </w:tr>
            <w:tr>
              <w:tblPrEx>
                <w:tblCellMar>
                  <w:top w:w="0" w:type="dxa"/>
                  <w:left w:w="0" w:type="dxa"/>
                  <w:bottom w:w="0" w:type="dxa"/>
                  <w:right w:w="0" w:type="dxa"/>
                </w:tblCellMar>
              </w:tblPrEx>
              <w:trPr>
                <w:gridBefore w:val="1"/>
                <w:wBefore w:w="5" w:type="dxa"/>
                <w:trHeight w:val="43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hint="eastAsia" w:ascii="仿宋_GB2312" w:hAnsi="宋体" w:eastAsia="仿宋_GB2312" w:cs="仿宋_GB2312"/>
                      <w:color w:val="000000"/>
                      <w:sz w:val="26"/>
                      <w:szCs w:val="26"/>
                    </w:rPr>
                    <w:t>2</w:t>
                  </w:r>
                </w:p>
              </w:tc>
              <w:tc>
                <w:tcPr>
                  <w:tcW w:w="2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 xml:space="preserve">简易结构 </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元/㎡</w:t>
                  </w:r>
                </w:p>
              </w:tc>
              <w:tc>
                <w:tcPr>
                  <w:tcW w:w="1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300</w:t>
                  </w:r>
                </w:p>
              </w:tc>
              <w:tc>
                <w:tcPr>
                  <w:tcW w:w="15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r>
            <w:tr>
              <w:tblPrEx>
                <w:tblCellMar>
                  <w:top w:w="0" w:type="dxa"/>
                  <w:left w:w="0" w:type="dxa"/>
                  <w:bottom w:w="0" w:type="dxa"/>
                  <w:right w:w="0" w:type="dxa"/>
                </w:tblCellMar>
              </w:tblPrEx>
              <w:trPr>
                <w:gridBefore w:val="1"/>
                <w:wBefore w:w="5" w:type="dxa"/>
                <w:trHeight w:val="711"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二</w:t>
                  </w:r>
                </w:p>
              </w:tc>
              <w:tc>
                <w:tcPr>
                  <w:tcW w:w="793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 xml:space="preserve"> 农业生产用房</w:t>
                  </w:r>
                </w:p>
              </w:tc>
            </w:tr>
            <w:tr>
              <w:tblPrEx>
                <w:tblCellMar>
                  <w:top w:w="0" w:type="dxa"/>
                  <w:left w:w="0" w:type="dxa"/>
                  <w:bottom w:w="0" w:type="dxa"/>
                  <w:right w:w="0" w:type="dxa"/>
                </w:tblCellMar>
              </w:tblPrEx>
              <w:trPr>
                <w:gridBefore w:val="1"/>
                <w:wBefore w:w="5" w:type="dxa"/>
                <w:trHeight w:val="624" w:hRule="atLeast"/>
              </w:trPr>
              <w:tc>
                <w:tcPr>
                  <w:tcW w:w="10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1</w:t>
                  </w:r>
                </w:p>
              </w:tc>
              <w:tc>
                <w:tcPr>
                  <w:tcW w:w="28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彩钢房</w:t>
                  </w:r>
                </w:p>
              </w:tc>
              <w:tc>
                <w:tcPr>
                  <w:tcW w:w="19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元/㎡</w:t>
                  </w:r>
                </w:p>
              </w:tc>
              <w:tc>
                <w:tcPr>
                  <w:tcW w:w="15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150</w:t>
                  </w:r>
                </w:p>
              </w:tc>
              <w:tc>
                <w:tcPr>
                  <w:tcW w:w="158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r>
            <w:tr>
              <w:tblPrEx>
                <w:tblCellMar>
                  <w:top w:w="0" w:type="dxa"/>
                  <w:left w:w="0" w:type="dxa"/>
                  <w:bottom w:w="0" w:type="dxa"/>
                  <w:right w:w="0" w:type="dxa"/>
                </w:tblCellMar>
              </w:tblPrEx>
              <w:trPr>
                <w:gridBefore w:val="1"/>
                <w:wBefore w:w="5" w:type="dxa"/>
                <w:trHeight w:val="624" w:hRule="atLeast"/>
              </w:trPr>
              <w:tc>
                <w:tcPr>
                  <w:tcW w:w="10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28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19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15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r>
            <w:tr>
              <w:tblPrEx>
                <w:tblCellMar>
                  <w:top w:w="0" w:type="dxa"/>
                  <w:left w:w="0" w:type="dxa"/>
                  <w:bottom w:w="0" w:type="dxa"/>
                  <w:right w:w="0" w:type="dxa"/>
                </w:tblCellMar>
              </w:tblPrEx>
              <w:trPr>
                <w:gridBefore w:val="1"/>
                <w:wBefore w:w="5" w:type="dxa"/>
                <w:trHeight w:val="624" w:hRule="atLeast"/>
              </w:trPr>
              <w:tc>
                <w:tcPr>
                  <w:tcW w:w="10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28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小青瓦房</w:t>
                  </w:r>
                </w:p>
              </w:tc>
              <w:tc>
                <w:tcPr>
                  <w:tcW w:w="19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15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250</w:t>
                  </w:r>
                </w:p>
              </w:tc>
              <w:tc>
                <w:tcPr>
                  <w:tcW w:w="158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r>
            <w:tr>
              <w:tblPrEx>
                <w:tblCellMar>
                  <w:top w:w="0" w:type="dxa"/>
                  <w:left w:w="0" w:type="dxa"/>
                  <w:bottom w:w="0" w:type="dxa"/>
                  <w:right w:w="0" w:type="dxa"/>
                </w:tblCellMar>
              </w:tblPrEx>
              <w:trPr>
                <w:gridBefore w:val="1"/>
                <w:wBefore w:w="5" w:type="dxa"/>
                <w:trHeight w:val="624" w:hRule="atLeast"/>
              </w:trPr>
              <w:tc>
                <w:tcPr>
                  <w:tcW w:w="10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28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19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15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r>
            <w:tr>
              <w:tblPrEx>
                <w:tblCellMar>
                  <w:top w:w="0" w:type="dxa"/>
                  <w:left w:w="0" w:type="dxa"/>
                  <w:bottom w:w="0" w:type="dxa"/>
                  <w:right w:w="0" w:type="dxa"/>
                </w:tblCellMar>
              </w:tblPrEx>
              <w:trPr>
                <w:gridBefore w:val="1"/>
                <w:wBefore w:w="5" w:type="dxa"/>
                <w:trHeight w:val="624" w:hRule="atLeast"/>
              </w:trPr>
              <w:tc>
                <w:tcPr>
                  <w:tcW w:w="10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28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石棉瓦房</w:t>
                  </w:r>
                </w:p>
              </w:tc>
              <w:tc>
                <w:tcPr>
                  <w:tcW w:w="19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15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150</w:t>
                  </w:r>
                </w:p>
              </w:tc>
              <w:tc>
                <w:tcPr>
                  <w:tcW w:w="158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r>
            <w:tr>
              <w:tblPrEx>
                <w:tblCellMar>
                  <w:top w:w="0" w:type="dxa"/>
                  <w:left w:w="0" w:type="dxa"/>
                  <w:bottom w:w="0" w:type="dxa"/>
                  <w:right w:w="0" w:type="dxa"/>
                </w:tblCellMar>
              </w:tblPrEx>
              <w:trPr>
                <w:gridBefore w:val="1"/>
                <w:wBefore w:w="5" w:type="dxa"/>
                <w:trHeight w:val="724" w:hRule="atLeast"/>
              </w:trPr>
              <w:tc>
                <w:tcPr>
                  <w:tcW w:w="10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28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19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15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r>
            <w:tr>
              <w:tblPrEx>
                <w:tblCellMar>
                  <w:top w:w="0" w:type="dxa"/>
                  <w:left w:w="0" w:type="dxa"/>
                  <w:bottom w:w="0" w:type="dxa"/>
                  <w:right w:w="0" w:type="dxa"/>
                </w:tblCellMar>
              </w:tblPrEx>
              <w:trPr>
                <w:gridBefore w:val="1"/>
                <w:wBefore w:w="5" w:type="dxa"/>
                <w:trHeight w:val="439" w:hRule="atLeast"/>
              </w:trPr>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三</w:t>
                  </w:r>
                </w:p>
              </w:tc>
              <w:tc>
                <w:tcPr>
                  <w:tcW w:w="63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工业生产用房</w:t>
                  </w:r>
                </w:p>
              </w:tc>
              <w:tc>
                <w:tcPr>
                  <w:tcW w:w="15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以评估为准</w:t>
                  </w:r>
                </w:p>
              </w:tc>
            </w:tr>
            <w:tr>
              <w:tblPrEx>
                <w:tblCellMar>
                  <w:top w:w="0" w:type="dxa"/>
                  <w:left w:w="0" w:type="dxa"/>
                  <w:bottom w:w="0" w:type="dxa"/>
                  <w:right w:w="0" w:type="dxa"/>
                </w:tblCellMar>
              </w:tblPrEx>
              <w:trPr>
                <w:gridAfter w:val="1"/>
                <w:wAfter w:w="5" w:type="dxa"/>
                <w:trHeight w:val="884" w:hRule="atLeast"/>
              </w:trPr>
              <w:tc>
                <w:tcPr>
                  <w:tcW w:w="8963" w:type="dxa"/>
                  <w:gridSpan w:val="6"/>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after="260"/>
                    <w:jc w:val="left"/>
                    <w:textAlignment w:val="center"/>
                    <w:rPr>
                      <w:rFonts w:hint="eastAsia" w:ascii="仿宋_GB2312" w:hAnsi="宋体" w:eastAsia="仿宋_GB2312" w:cs="仿宋_GB2312"/>
                      <w:color w:val="000000"/>
                      <w:kern w:val="0"/>
                      <w:sz w:val="26"/>
                      <w:szCs w:val="26"/>
                      <w:lang w:eastAsia="zh-CN"/>
                    </w:rPr>
                  </w:pPr>
                </w:p>
                <w:p>
                  <w:pPr>
                    <w:widowControl/>
                    <w:spacing w:after="260"/>
                    <w:jc w:val="left"/>
                    <w:textAlignment w:val="center"/>
                    <w:rPr>
                      <w:rFonts w:hint="eastAsia" w:ascii="仿宋_GB2312" w:hAnsi="宋体" w:eastAsia="仿宋_GB2312" w:cs="仿宋_GB2312"/>
                      <w:color w:val="000000"/>
                      <w:kern w:val="0"/>
                      <w:sz w:val="26"/>
                      <w:szCs w:val="26"/>
                      <w:lang w:eastAsia="zh-CN"/>
                    </w:rPr>
                  </w:pPr>
                  <w:r>
                    <w:rPr>
                      <w:rFonts w:ascii="仿宋_GB2312" w:hAnsi="宋体" w:eastAsia="仿宋_GB2312" w:cs="仿宋_GB2312"/>
                      <w:color w:val="000000"/>
                      <w:kern w:val="0"/>
                      <w:sz w:val="26"/>
                      <w:szCs w:val="26"/>
                    </w:rPr>
                    <w:t>备注：</w:t>
                  </w:r>
                </w:p>
                <w:p>
                  <w:pPr>
                    <w:widowControl/>
                    <w:spacing w:after="260"/>
                    <w:jc w:val="left"/>
                    <w:textAlignment w:val="center"/>
                    <w:rPr>
                      <w:rFonts w:ascii="仿宋_GB2312" w:hAnsi="宋体" w:eastAsia="仿宋_GB2312" w:cs="仿宋_GB2312"/>
                      <w:color w:val="000000"/>
                      <w:kern w:val="0"/>
                      <w:sz w:val="26"/>
                      <w:szCs w:val="26"/>
                    </w:rPr>
                  </w:pPr>
                  <w:r>
                    <w:rPr>
                      <w:rFonts w:ascii="仿宋_GB2312" w:hAnsi="宋体" w:eastAsia="仿宋_GB2312" w:cs="仿宋_GB2312"/>
                      <w:color w:val="000000"/>
                      <w:kern w:val="0"/>
                      <w:sz w:val="26"/>
                      <w:szCs w:val="26"/>
                    </w:rPr>
                    <w:t>1、建筑物：指供人居住、工作、学习、生产、经营、娱乐、储藏物品以及进行其他社会活动的工程建筑。例如：工业建筑、民用建筑、农业建筑和园林建筑等。</w:t>
                  </w:r>
                </w:p>
                <w:p>
                  <w:pPr>
                    <w:widowControl/>
                    <w:numPr>
                      <w:ilvl w:val="0"/>
                      <w:numId w:val="1"/>
                    </w:numPr>
                    <w:spacing w:after="260"/>
                    <w:jc w:val="left"/>
                    <w:textAlignment w:val="center"/>
                    <w:rPr>
                      <w:rFonts w:ascii="仿宋_GB2312" w:hAnsi="宋体" w:eastAsia="仿宋_GB2312" w:cs="仿宋_GB2312"/>
                      <w:color w:val="000000"/>
                      <w:kern w:val="0"/>
                      <w:sz w:val="26"/>
                      <w:szCs w:val="26"/>
                    </w:rPr>
                  </w:pPr>
                  <w:r>
                    <w:rPr>
                      <w:rFonts w:hint="eastAsia" w:ascii="仿宋_GB2312" w:hAnsi="宋体" w:eastAsia="仿宋_GB2312" w:cs="仿宋_GB2312"/>
                      <w:color w:val="000000"/>
                      <w:kern w:val="0"/>
                      <w:sz w:val="26"/>
                      <w:szCs w:val="26"/>
                    </w:rPr>
                    <w:t>主体房屋结构，主要包括</w:t>
                  </w:r>
                  <w:r>
                    <w:rPr>
                      <w:rFonts w:ascii="仿宋_GB2312" w:hAnsi="宋体" w:eastAsia="仿宋_GB2312" w:cs="仿宋_GB2312"/>
                      <w:color w:val="000000"/>
                      <w:kern w:val="0"/>
                      <w:sz w:val="26"/>
                      <w:szCs w:val="26"/>
                    </w:rPr>
                    <w:t>钢结构</w:t>
                  </w:r>
                  <w:r>
                    <w:rPr>
                      <w:rFonts w:hint="eastAsia" w:ascii="仿宋_GB2312" w:hAnsi="宋体" w:eastAsia="仿宋_GB2312" w:cs="仿宋_GB2312"/>
                      <w:color w:val="000000"/>
                      <w:kern w:val="0"/>
                      <w:sz w:val="26"/>
                      <w:szCs w:val="26"/>
                    </w:rPr>
                    <w:t>、钢混结构、砖混结构、砖木结构、土木结构、木结构。区分结构类型主要依据竖向承重所采用的材料</w:t>
                  </w:r>
                  <w:r>
                    <w:rPr>
                      <w:rFonts w:ascii="仿宋_GB2312" w:hAnsi="宋体" w:eastAsia="仿宋_GB2312" w:cs="仿宋_GB2312"/>
                      <w:color w:val="000000"/>
                      <w:kern w:val="0"/>
                      <w:sz w:val="26"/>
                      <w:szCs w:val="26"/>
                    </w:rPr>
                    <w:t>。</w:t>
                  </w:r>
                </w:p>
                <w:p>
                  <w:pPr>
                    <w:widowControl/>
                    <w:spacing w:after="260"/>
                    <w:jc w:val="left"/>
                    <w:textAlignment w:val="center"/>
                    <w:rPr>
                      <w:rFonts w:ascii="仿宋_GB2312" w:hAnsi="宋体" w:eastAsia="仿宋_GB2312" w:cs="仿宋_GB2312"/>
                      <w:color w:val="000000"/>
                      <w:kern w:val="0"/>
                      <w:sz w:val="26"/>
                      <w:szCs w:val="26"/>
                    </w:rPr>
                  </w:pPr>
                  <w:r>
                    <w:rPr>
                      <w:rFonts w:ascii="仿宋_GB2312" w:hAnsi="宋体" w:eastAsia="仿宋_GB2312" w:cs="仿宋_GB2312"/>
                      <w:color w:val="000000"/>
                      <w:kern w:val="0"/>
                      <w:sz w:val="26"/>
                      <w:szCs w:val="26"/>
                    </w:rPr>
                    <w:t>3、</w:t>
                  </w:r>
                  <w:r>
                    <w:rPr>
                      <w:rFonts w:hint="eastAsia" w:ascii="仿宋_GB2312" w:hAnsi="宋体" w:eastAsia="仿宋_GB2312" w:cs="仿宋_GB2312"/>
                      <w:color w:val="000000"/>
                      <w:kern w:val="0"/>
                      <w:sz w:val="26"/>
                      <w:szCs w:val="26"/>
                    </w:rPr>
                    <w:t>主体房屋：国有土地上房屋以不动产登记的类别为准；集体土地上房屋按一户一处宅基地为原则，每户只能有一处主体房屋；没有形成独立功能，必须依附主建筑才能形成完整功能的建筑物或是为主建筑提供某一方面功能的建筑不能认定为主体房屋。</w:t>
                  </w:r>
                </w:p>
                <w:p>
                  <w:pPr>
                    <w:widowControl/>
                    <w:spacing w:after="260"/>
                    <w:jc w:val="left"/>
                    <w:textAlignment w:val="center"/>
                    <w:rPr>
                      <w:rFonts w:ascii="仿宋_GB2312" w:hAnsi="宋体" w:eastAsia="仿宋_GB2312" w:cs="仿宋_GB2312"/>
                      <w:color w:val="000000"/>
                      <w:kern w:val="0"/>
                      <w:sz w:val="26"/>
                      <w:szCs w:val="26"/>
                    </w:rPr>
                  </w:pPr>
                  <w:r>
                    <w:rPr>
                      <w:rFonts w:hint="eastAsia" w:ascii="仿宋_GB2312" w:hAnsi="宋体" w:eastAsia="仿宋_GB2312" w:cs="仿宋_GB2312"/>
                      <w:color w:val="000000"/>
                      <w:kern w:val="0"/>
                      <w:sz w:val="26"/>
                      <w:szCs w:val="26"/>
                    </w:rPr>
                    <w:t>4、简易结构：</w:t>
                  </w:r>
                  <w:r>
                    <w:rPr>
                      <w:rFonts w:ascii="仿宋_GB2312" w:hAnsi="宋体" w:eastAsia="仿宋_GB2312" w:cs="仿宋_GB2312"/>
                      <w:color w:val="000000"/>
                      <w:kern w:val="0"/>
                      <w:sz w:val="26"/>
                      <w:szCs w:val="26"/>
                    </w:rPr>
                    <w:t>除钢混结构、砖混结构、砖木结构、土木、木结构以外的其他房屋结构（乐山地区为土坯墙和竹篾墙）</w:t>
                  </w:r>
                  <w:r>
                    <w:rPr>
                      <w:rFonts w:hint="eastAsia" w:ascii="仿宋_GB2312" w:hAnsi="宋体" w:eastAsia="仿宋_GB2312" w:cs="仿宋_GB2312"/>
                      <w:color w:val="000000"/>
                      <w:kern w:val="0"/>
                      <w:sz w:val="26"/>
                      <w:szCs w:val="26"/>
                    </w:rPr>
                    <w:t>，其用途为寝室。</w:t>
                  </w:r>
                </w:p>
                <w:p>
                  <w:pPr>
                    <w:widowControl/>
                    <w:spacing w:after="260"/>
                    <w:jc w:val="left"/>
                    <w:textAlignment w:val="center"/>
                    <w:rPr>
                      <w:rFonts w:ascii="仿宋_GB2312" w:hAnsi="宋体" w:eastAsia="仿宋_GB2312" w:cs="仿宋_GB2312"/>
                      <w:color w:val="000000"/>
                      <w:kern w:val="0"/>
                      <w:sz w:val="26"/>
                      <w:szCs w:val="26"/>
                    </w:rPr>
                  </w:pPr>
                  <w:r>
                    <w:rPr>
                      <w:rFonts w:hint="eastAsia" w:ascii="仿宋_GB2312" w:hAnsi="宋体" w:eastAsia="仿宋_GB2312" w:cs="仿宋_GB2312"/>
                      <w:color w:val="000000"/>
                      <w:kern w:val="0"/>
                    </w:rPr>
                    <w:t>5</w:t>
                  </w:r>
                  <w:r>
                    <w:rPr>
                      <w:rFonts w:ascii="仿宋_GB2312" w:hAnsi="宋体" w:eastAsia="仿宋_GB2312" w:cs="仿宋_GB2312"/>
                      <w:color w:val="000000"/>
                      <w:kern w:val="0"/>
                      <w:sz w:val="26"/>
                      <w:szCs w:val="26"/>
                    </w:rPr>
                    <w:t>、彩钢房：一种以轻钢H型钢、槽钢为骨架，以夹芯板为墙板材料，以标准模数系列进行空间组合，构件采用螺栓连接或焊接的环保经济型房屋。一般是临时建筑。</w:t>
                  </w:r>
                </w:p>
                <w:p>
                  <w:pPr>
                    <w:widowControl/>
                    <w:spacing w:after="260"/>
                    <w:jc w:val="left"/>
                    <w:textAlignment w:val="center"/>
                    <w:rPr>
                      <w:rFonts w:ascii="仿宋_GB2312" w:hAnsi="宋体" w:eastAsia="仿宋_GB2312" w:cs="仿宋_GB2312"/>
                      <w:color w:val="000000"/>
                      <w:kern w:val="0"/>
                    </w:rPr>
                  </w:pPr>
                  <w:r>
                    <w:rPr>
                      <w:rFonts w:hint="eastAsia" w:ascii="仿宋_GB2312" w:hAnsi="宋体" w:eastAsia="仿宋_GB2312" w:cs="仿宋_GB2312"/>
                      <w:color w:val="000000"/>
                      <w:kern w:val="0"/>
                      <w:sz w:val="26"/>
                      <w:szCs w:val="26"/>
                    </w:rPr>
                    <w:t>6、小青瓦房、石棉瓦房：有围护结构、有上盖，以上盖区分房屋类型。</w:t>
                  </w:r>
                </w:p>
              </w:tc>
            </w:tr>
            <w:tr>
              <w:tblPrEx>
                <w:tblCellMar>
                  <w:top w:w="0" w:type="dxa"/>
                  <w:left w:w="0" w:type="dxa"/>
                  <w:bottom w:w="0" w:type="dxa"/>
                  <w:right w:w="0" w:type="dxa"/>
                </w:tblCellMar>
              </w:tblPrEx>
              <w:trPr>
                <w:gridAfter w:val="1"/>
                <w:wAfter w:w="5" w:type="dxa"/>
                <w:trHeight w:val="6000" w:hRule="atLeast"/>
              </w:trPr>
              <w:tc>
                <w:tcPr>
                  <w:tcW w:w="8963" w:type="dxa"/>
                  <w:gridSpan w:val="6"/>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left"/>
                    <w:rPr>
                      <w:rFonts w:ascii="仿宋_GB2312" w:hAnsi="宋体" w:eastAsia="仿宋_GB2312" w:cs="仿宋_GB2312"/>
                      <w:color w:val="000000"/>
                      <w:sz w:val="26"/>
                      <w:szCs w:val="26"/>
                    </w:rPr>
                  </w:pPr>
                </w:p>
              </w:tc>
            </w:tr>
          </w:tbl>
          <w:p>
            <w:pPr>
              <w:widowControl/>
              <w:textAlignment w:val="center"/>
              <w:rPr>
                <w:rFonts w:ascii="仿宋_GB2312" w:hAnsi="仿宋_GB2312" w:eastAsia="仿宋_GB2312" w:cs="仿宋_GB2312"/>
                <w:color w:val="000000"/>
                <w:kern w:val="0"/>
                <w:sz w:val="32"/>
                <w:szCs w:val="32"/>
              </w:rPr>
            </w:pPr>
          </w:p>
          <w:p>
            <w:pPr>
              <w:widowControl/>
              <w:textAlignment w:val="center"/>
              <w:rPr>
                <w:rFonts w:ascii="仿宋_GB2312" w:hAnsi="仿宋_GB2312" w:eastAsia="仿宋_GB2312" w:cs="仿宋_GB2312"/>
                <w:color w:val="000000"/>
                <w:kern w:val="0"/>
                <w:sz w:val="32"/>
                <w:szCs w:val="32"/>
              </w:rPr>
            </w:pPr>
          </w:p>
          <w:p>
            <w:pPr>
              <w:widowControl/>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val="en-US" w:eastAsia="zh-CN"/>
              </w:rPr>
              <w:t>4：</w:t>
            </w:r>
          </w:p>
          <w:p>
            <w:pPr>
              <w:widowControl/>
              <w:jc w:val="center"/>
              <w:textAlignment w:val="center"/>
              <w:rPr>
                <w:rFonts w:ascii="方正小标宋简体" w:hAnsi="方正小标宋简体" w:eastAsia="方正小标宋简体" w:cs="方正小标宋简体"/>
                <w:color w:val="000000"/>
                <w:sz w:val="40"/>
                <w:szCs w:val="40"/>
              </w:rPr>
            </w:pPr>
            <w:r>
              <w:rPr>
                <w:rFonts w:hint="eastAsia" w:ascii="仿宋_GB2312" w:hAnsi="仿宋_GB2312" w:eastAsia="仿宋_GB2312" w:cs="仿宋_GB2312"/>
                <w:color w:val="000000"/>
                <w:kern w:val="0"/>
                <w:sz w:val="32"/>
                <w:szCs w:val="32"/>
              </w:rPr>
              <w:t>峨边彝族自治县房屋装修补助标准</w:t>
            </w:r>
          </w:p>
        </w:tc>
      </w:tr>
      <w:tr>
        <w:tblPrEx>
          <w:tblCellMar>
            <w:top w:w="0" w:type="dxa"/>
            <w:left w:w="0" w:type="dxa"/>
            <w:bottom w:w="0" w:type="dxa"/>
            <w:right w:w="0" w:type="dxa"/>
          </w:tblCellMar>
        </w:tblPrEx>
        <w:trPr>
          <w:trHeight w:val="1170" w:hRule="atLeast"/>
        </w:trPr>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6"/>
                <w:szCs w:val="26"/>
              </w:rPr>
            </w:pPr>
            <w:r>
              <w:rPr>
                <w:rFonts w:ascii="楷体_GB2312" w:hAnsi="宋体" w:eastAsia="楷体_GB2312" w:cs="楷体_GB2312"/>
                <w:color w:val="000000"/>
                <w:kern w:val="0"/>
                <w:sz w:val="26"/>
                <w:szCs w:val="26"/>
              </w:rPr>
              <w:t>序号</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6"/>
                <w:szCs w:val="26"/>
              </w:rPr>
            </w:pPr>
            <w:r>
              <w:rPr>
                <w:rFonts w:ascii="楷体_GB2312" w:hAnsi="宋体" w:eastAsia="楷体_GB2312" w:cs="楷体_GB2312"/>
                <w:color w:val="000000"/>
                <w:kern w:val="0"/>
                <w:sz w:val="26"/>
                <w:szCs w:val="26"/>
              </w:rPr>
              <w:t>项目</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6"/>
                <w:szCs w:val="26"/>
              </w:rPr>
            </w:pPr>
            <w:r>
              <w:rPr>
                <w:rFonts w:ascii="楷体_GB2312" w:hAnsi="宋体" w:eastAsia="楷体_GB2312" w:cs="楷体_GB2312"/>
                <w:color w:val="000000"/>
                <w:kern w:val="0"/>
                <w:sz w:val="26"/>
                <w:szCs w:val="26"/>
              </w:rPr>
              <w:t>补偿单价（元／</w:t>
            </w:r>
            <w:r>
              <w:rPr>
                <w:rFonts w:ascii="仿宋_GB2312" w:hAnsi="宋体" w:eastAsia="仿宋_GB2312" w:cs="仿宋_GB2312"/>
                <w:color w:val="000000"/>
                <w:kern w:val="0"/>
                <w:sz w:val="26"/>
                <w:szCs w:val="26"/>
              </w:rPr>
              <w:t>㎡</w:t>
            </w:r>
            <w:r>
              <w:rPr>
                <w:rFonts w:ascii="楷体_GB2312" w:hAnsi="宋体" w:eastAsia="楷体_GB2312" w:cs="楷体_GB2312"/>
                <w:color w:val="000000"/>
                <w:kern w:val="0"/>
                <w:sz w:val="26"/>
                <w:szCs w:val="26"/>
              </w:rPr>
              <w:t>）</w:t>
            </w: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6"/>
                <w:szCs w:val="26"/>
              </w:rPr>
            </w:pPr>
            <w:r>
              <w:rPr>
                <w:rFonts w:ascii="楷体_GB2312" w:hAnsi="宋体" w:eastAsia="楷体_GB2312" w:cs="楷体_GB2312"/>
                <w:color w:val="000000"/>
                <w:kern w:val="0"/>
                <w:sz w:val="26"/>
                <w:szCs w:val="26"/>
              </w:rPr>
              <w:t>内容</w:t>
            </w:r>
          </w:p>
        </w:tc>
        <w:tc>
          <w:tcPr>
            <w:tcW w:w="1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6"/>
                <w:szCs w:val="26"/>
              </w:rPr>
            </w:pPr>
            <w:r>
              <w:rPr>
                <w:rFonts w:ascii="楷体_GB2312" w:hAnsi="宋体" w:eastAsia="楷体_GB2312" w:cs="楷体_GB2312"/>
                <w:color w:val="000000"/>
                <w:kern w:val="0"/>
                <w:sz w:val="26"/>
                <w:szCs w:val="26"/>
              </w:rPr>
              <w:t>备注</w:t>
            </w:r>
          </w:p>
        </w:tc>
      </w:tr>
      <w:tr>
        <w:tblPrEx>
          <w:tblCellMar>
            <w:top w:w="0" w:type="dxa"/>
            <w:left w:w="0" w:type="dxa"/>
            <w:bottom w:w="0" w:type="dxa"/>
            <w:right w:w="0" w:type="dxa"/>
          </w:tblCellMar>
        </w:tblPrEx>
        <w:trPr>
          <w:trHeight w:val="915" w:hRule="atLeast"/>
        </w:trPr>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1</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一级</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350</w:t>
            </w: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520"/>
              <w:jc w:val="center"/>
              <w:textAlignment w:val="center"/>
              <w:rPr>
                <w:rFonts w:ascii="仿宋_GB2312" w:hAnsi="宋体" w:eastAsia="仿宋_GB2312" w:cs="仿宋_GB2312"/>
                <w:color w:val="000000"/>
                <w:kern w:val="0"/>
                <w:sz w:val="26"/>
                <w:szCs w:val="26"/>
              </w:rPr>
            </w:pPr>
            <w:r>
              <w:rPr>
                <w:rFonts w:ascii="仿宋_GB2312" w:hAnsi="宋体" w:eastAsia="仿宋_GB2312" w:cs="仿宋_GB2312"/>
                <w:color w:val="000000"/>
                <w:kern w:val="0"/>
                <w:sz w:val="26"/>
                <w:szCs w:val="26"/>
              </w:rPr>
              <w:t>内墙装饰、天棚装饰、</w:t>
            </w:r>
          </w:p>
          <w:p>
            <w:pPr>
              <w:widowControl/>
              <w:ind w:firstLine="520"/>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包门窗、有</w:t>
            </w:r>
            <w:r>
              <w:rPr>
                <w:rFonts w:hint="eastAsia" w:ascii="仿宋_GB2312" w:hAnsi="宋体" w:eastAsia="仿宋_GB2312" w:cs="仿宋_GB2312"/>
                <w:color w:val="000000"/>
                <w:kern w:val="0"/>
                <w:sz w:val="26"/>
                <w:szCs w:val="26"/>
              </w:rPr>
              <w:t>木</w:t>
            </w:r>
            <w:r>
              <w:rPr>
                <w:rFonts w:ascii="仿宋_GB2312" w:hAnsi="宋体" w:eastAsia="仿宋_GB2312" w:cs="仿宋_GB2312"/>
                <w:color w:val="000000"/>
                <w:kern w:val="0"/>
                <w:sz w:val="26"/>
                <w:szCs w:val="26"/>
              </w:rPr>
              <w:t>地</w:t>
            </w:r>
            <w:r>
              <w:rPr>
                <w:rFonts w:hint="eastAsia" w:ascii="仿宋_GB2312" w:hAnsi="宋体" w:eastAsia="仿宋_GB2312" w:cs="仿宋_GB2312"/>
                <w:color w:val="000000"/>
                <w:kern w:val="0"/>
                <w:sz w:val="26"/>
                <w:szCs w:val="26"/>
              </w:rPr>
              <w:t>板</w:t>
            </w:r>
          </w:p>
        </w:tc>
        <w:tc>
          <w:tcPr>
            <w:tcW w:w="19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装修面积以实际调查公示面积计算</w:t>
            </w:r>
          </w:p>
        </w:tc>
      </w:tr>
      <w:tr>
        <w:tblPrEx>
          <w:tblCellMar>
            <w:top w:w="0" w:type="dxa"/>
            <w:left w:w="0" w:type="dxa"/>
            <w:bottom w:w="0" w:type="dxa"/>
            <w:right w:w="0" w:type="dxa"/>
          </w:tblCellMar>
        </w:tblPrEx>
        <w:trPr>
          <w:trHeight w:val="885" w:hRule="atLeast"/>
        </w:trPr>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2</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二级</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250</w:t>
            </w: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6"/>
                <w:szCs w:val="26"/>
              </w:rPr>
            </w:pPr>
            <w:r>
              <w:rPr>
                <w:rFonts w:hint="eastAsia" w:ascii="仿宋_GB2312" w:hAnsi="宋体" w:eastAsia="仿宋_GB2312" w:cs="仿宋_GB2312"/>
                <w:color w:val="000000"/>
                <w:kern w:val="0"/>
                <w:sz w:val="26"/>
                <w:szCs w:val="26"/>
              </w:rPr>
              <w:t>一级标准的四项内容中，</w:t>
            </w:r>
          </w:p>
          <w:p>
            <w:pPr>
              <w:widowControl/>
              <w:jc w:val="center"/>
              <w:textAlignment w:val="center"/>
              <w:rPr>
                <w:rFonts w:ascii="仿宋_GB2312" w:hAnsi="宋体" w:eastAsia="仿宋_GB2312" w:cs="仿宋_GB2312"/>
                <w:color w:val="000000"/>
                <w:sz w:val="26"/>
                <w:szCs w:val="26"/>
              </w:rPr>
            </w:pPr>
            <w:r>
              <w:rPr>
                <w:rFonts w:hint="eastAsia" w:ascii="仿宋_GB2312" w:hAnsi="宋体" w:eastAsia="仿宋_GB2312" w:cs="仿宋_GB2312"/>
                <w:color w:val="000000"/>
                <w:kern w:val="0"/>
                <w:sz w:val="26"/>
                <w:szCs w:val="26"/>
              </w:rPr>
              <w:t>任意满足三项。</w:t>
            </w:r>
          </w:p>
        </w:tc>
        <w:tc>
          <w:tcPr>
            <w:tcW w:w="19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r>
      <w:tr>
        <w:tblPrEx>
          <w:tblCellMar>
            <w:top w:w="0" w:type="dxa"/>
            <w:left w:w="0" w:type="dxa"/>
            <w:bottom w:w="0" w:type="dxa"/>
            <w:right w:w="0" w:type="dxa"/>
          </w:tblCellMar>
        </w:tblPrEx>
        <w:trPr>
          <w:trHeight w:val="870" w:hRule="atLeast"/>
        </w:trPr>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3</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三级</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150</w:t>
            </w: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6"/>
                <w:szCs w:val="26"/>
              </w:rPr>
            </w:pPr>
            <w:r>
              <w:rPr>
                <w:rFonts w:hint="eastAsia" w:ascii="仿宋_GB2312" w:hAnsi="宋体" w:eastAsia="仿宋_GB2312" w:cs="仿宋_GB2312"/>
                <w:color w:val="000000"/>
                <w:kern w:val="0"/>
                <w:sz w:val="26"/>
                <w:szCs w:val="26"/>
              </w:rPr>
              <w:t>一级标准的四项内容中，</w:t>
            </w:r>
          </w:p>
          <w:p>
            <w:pPr>
              <w:widowControl/>
              <w:jc w:val="center"/>
              <w:textAlignment w:val="center"/>
              <w:rPr>
                <w:rFonts w:ascii="仿宋_GB2312" w:hAnsi="宋体" w:eastAsia="仿宋_GB2312" w:cs="仿宋_GB2312"/>
                <w:color w:val="000000"/>
                <w:sz w:val="26"/>
                <w:szCs w:val="26"/>
              </w:rPr>
            </w:pPr>
            <w:r>
              <w:rPr>
                <w:rFonts w:hint="eastAsia" w:ascii="仿宋_GB2312" w:hAnsi="宋体" w:eastAsia="仿宋_GB2312" w:cs="仿宋_GB2312"/>
                <w:color w:val="000000"/>
                <w:kern w:val="0"/>
                <w:sz w:val="26"/>
                <w:szCs w:val="26"/>
              </w:rPr>
              <w:t>任意满足二项。</w:t>
            </w:r>
          </w:p>
        </w:tc>
        <w:tc>
          <w:tcPr>
            <w:tcW w:w="19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r>
      <w:tr>
        <w:tblPrEx>
          <w:tblCellMar>
            <w:top w:w="0" w:type="dxa"/>
            <w:left w:w="0" w:type="dxa"/>
            <w:bottom w:w="0" w:type="dxa"/>
            <w:right w:w="0" w:type="dxa"/>
          </w:tblCellMar>
        </w:tblPrEx>
        <w:trPr>
          <w:trHeight w:val="677" w:hRule="atLeast"/>
        </w:trPr>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4</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四级</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6"/>
                <w:szCs w:val="26"/>
              </w:rPr>
            </w:pPr>
            <w:r>
              <w:rPr>
                <w:rFonts w:ascii="仿宋_GB2312" w:hAnsi="宋体" w:eastAsia="仿宋_GB2312" w:cs="仿宋_GB2312"/>
                <w:color w:val="000000"/>
                <w:kern w:val="0"/>
                <w:sz w:val="26"/>
                <w:szCs w:val="26"/>
              </w:rPr>
              <w:t>80</w:t>
            </w: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6"/>
                <w:szCs w:val="26"/>
              </w:rPr>
            </w:pPr>
            <w:r>
              <w:rPr>
                <w:rFonts w:hint="eastAsia" w:ascii="仿宋_GB2312" w:hAnsi="宋体" w:eastAsia="仿宋_GB2312" w:cs="仿宋_GB2312"/>
                <w:color w:val="000000"/>
                <w:kern w:val="0"/>
                <w:sz w:val="26"/>
                <w:szCs w:val="26"/>
              </w:rPr>
              <w:t>一级标准的四项内容中，</w:t>
            </w:r>
          </w:p>
          <w:p>
            <w:pPr>
              <w:widowControl/>
              <w:jc w:val="center"/>
              <w:textAlignment w:val="center"/>
              <w:rPr>
                <w:rFonts w:ascii="仿宋_GB2312" w:hAnsi="宋体" w:eastAsia="仿宋_GB2312" w:cs="仿宋_GB2312"/>
                <w:color w:val="000000"/>
                <w:sz w:val="26"/>
                <w:szCs w:val="26"/>
              </w:rPr>
            </w:pPr>
            <w:r>
              <w:rPr>
                <w:rFonts w:hint="eastAsia" w:ascii="仿宋_GB2312" w:hAnsi="宋体" w:eastAsia="仿宋_GB2312" w:cs="仿宋_GB2312"/>
                <w:color w:val="000000"/>
                <w:kern w:val="0"/>
                <w:sz w:val="26"/>
                <w:szCs w:val="26"/>
              </w:rPr>
              <w:t>任意满足一项。</w:t>
            </w:r>
          </w:p>
        </w:tc>
        <w:tc>
          <w:tcPr>
            <w:tcW w:w="19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6"/>
                <w:szCs w:val="26"/>
              </w:rPr>
            </w:pPr>
          </w:p>
        </w:tc>
      </w:tr>
    </w:tbl>
    <w:p>
      <w:pPr>
        <w:spacing w:line="580" w:lineRule="exact"/>
        <w:rPr>
          <w:rFonts w:ascii="黑体" w:hAnsi="黑体" w:eastAsia="黑体"/>
          <w:sz w:val="32"/>
          <w:szCs w:val="32"/>
        </w:rPr>
      </w:pPr>
    </w:p>
    <w:p>
      <w:pPr>
        <w:spacing w:line="520" w:lineRule="exact"/>
        <w:rPr>
          <w:rFonts w:ascii="仿宋_GB2312" w:hAnsi="仿宋_GB2312" w:eastAsia="仿宋_GB2312" w:cs="仿宋_GB2312"/>
          <w:sz w:val="32"/>
          <w:szCs w:val="32"/>
        </w:rPr>
      </w:pPr>
    </w:p>
    <w:p/>
    <w:sectPr>
      <w:footerReference r:id="rId3" w:type="default"/>
      <w:pgSz w:w="11906" w:h="16838"/>
      <w:pgMar w:top="2041" w:right="1468" w:bottom="1587" w:left="14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8"/>
        <w:szCs w:val="28"/>
      </w:rPr>
      <w:id w:val="27353559"/>
      <w:docPartObj>
        <w:docPartGallery w:val="autotext"/>
      </w:docPartObj>
    </w:sdtPr>
    <w:sdtEndPr>
      <w:rPr>
        <w:rFonts w:hint="eastAsia" w:ascii="宋体" w:hAnsi="宋体" w:eastAsia="宋体" w:cs="宋体"/>
        <w:sz w:val="28"/>
        <w:szCs w:val="28"/>
      </w:rPr>
    </w:sdtEndPr>
    <w:sdtContent>
      <w:p>
        <w:pPr>
          <w:pStyle w:val="2"/>
          <w:ind w:right="270"/>
          <w:jc w:val="right"/>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w:t>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C044E0"/>
    <w:multiLevelType w:val="singleLevel"/>
    <w:tmpl w:val="F5C044E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2RhN2ZjNjU3YzM4YTQ1ZDc3YjljODAzODQzNTAifQ=="/>
  </w:docVars>
  <w:rsids>
    <w:rsidRoot w:val="00000000"/>
    <w:rsid w:val="301343BA"/>
    <w:rsid w:val="6ABC1716"/>
    <w:rsid w:val="6D8A31C2"/>
    <w:rsid w:val="79C2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6426</Words>
  <Characters>6749</Characters>
  <Lines>0</Lines>
  <Paragraphs>0</Paragraphs>
  <TotalTime>21</TotalTime>
  <ScaleCrop>false</ScaleCrop>
  <LinksUpToDate>false</LinksUpToDate>
  <CharactersWithSpaces>6762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2022-12-06T01:05:00Z</dcterms:created>
  <dc:creator>Administrator</dc:creator>
  <cp:lastModifiedBy>Administrator</cp:lastModifiedBy>
  <cp:lastPrinted>2022-12-06T09:04:04Z</cp:lastPrinted>
  <dcterms:modified xsi:type="dcterms:W3CDTF">2022-12-06T09:10:50Z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CFE8864232BD4F1F8065CF0F54B61B3C</vt:lpwstr>
  </property>
</Properties>
</file>