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89243">
      <w:pPr>
        <w:spacing w:line="600" w:lineRule="exact"/>
        <w:jc w:val="both"/>
        <w:outlineLvl w:val="0"/>
        <w:rPr>
          <w:rFonts w:hint="eastAsia" w:ascii="仿宋_GB2312" w:hAnsi="仿宋_GB2312" w:eastAsia="仿宋_GB2312" w:cs="仿宋_GB2312"/>
          <w:color w:val="auto"/>
          <w:sz w:val="32"/>
          <w:szCs w:val="32"/>
          <w:highlight w:val="none"/>
          <w:lang w:val="en-US" w:eastAsia="zh-CN"/>
        </w:rPr>
      </w:pPr>
      <w:bookmarkStart w:id="0" w:name="_Toc15377425"/>
      <w:bookmarkStart w:id="1" w:name="_Toc15396597"/>
      <w:bookmarkStart w:id="2" w:name="_Toc15396475"/>
      <w:bookmarkStart w:id="3" w:name="_Toc15378441"/>
      <w:bookmarkStart w:id="4" w:name="_Toc15377193"/>
      <w:bookmarkStart w:id="5" w:name="_Toc15306267"/>
    </w:p>
    <w:p w14:paraId="779C8A66">
      <w:pPr>
        <w:adjustRightInd w:val="0"/>
        <w:snapToGrid w:val="0"/>
        <w:spacing w:line="360" w:lineRule="auto"/>
        <w:jc w:val="both"/>
        <w:outlineLvl w:val="0"/>
        <w:rPr>
          <w:rFonts w:hint="eastAsia" w:ascii="方正小标宋简体" w:hAnsi="方正小标宋简体" w:eastAsia="方正小标宋简体" w:cs="方正小标宋简体"/>
          <w:color w:val="auto"/>
          <w:sz w:val="72"/>
          <w:szCs w:val="72"/>
          <w:highlight w:val="none"/>
        </w:rPr>
      </w:pPr>
    </w:p>
    <w:p w14:paraId="434C9780">
      <w:pPr>
        <w:adjustRightInd w:val="0"/>
        <w:snapToGrid w:val="0"/>
        <w:spacing w:line="360" w:lineRule="auto"/>
        <w:jc w:val="both"/>
        <w:outlineLvl w:val="0"/>
        <w:rPr>
          <w:rFonts w:hint="eastAsia" w:ascii="方正小标宋简体" w:hAnsi="方正小标宋简体" w:eastAsia="方正小标宋简体" w:cs="方正小标宋简体"/>
          <w:color w:val="auto"/>
          <w:sz w:val="72"/>
          <w:szCs w:val="72"/>
          <w:highlight w:val="none"/>
        </w:rPr>
      </w:pPr>
    </w:p>
    <w:p w14:paraId="36D06C5E">
      <w:pPr>
        <w:adjustRightInd w:val="0"/>
        <w:snapToGrid w:val="0"/>
        <w:spacing w:line="360" w:lineRule="auto"/>
        <w:jc w:val="both"/>
        <w:outlineLvl w:val="0"/>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auto"/>
          <w:sz w:val="72"/>
          <w:szCs w:val="72"/>
          <w:highlight w:val="none"/>
          <w:lang w:eastAsia="zh-CN"/>
        </w:rPr>
        <w:t>2024</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Start w:id="6" w:name="_Toc15396476"/>
      <w:bookmarkStart w:id="7" w:name="_Toc15378442"/>
      <w:bookmarkStart w:id="8" w:name="_Toc15377426"/>
      <w:bookmarkStart w:id="9" w:name="_Toc15377194"/>
      <w:bookmarkStart w:id="10" w:name="_Toc1539659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融媒体中心</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编制</w:t>
      </w:r>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 xml:space="preserve">    </w:t>
      </w:r>
    </w:p>
    <w:p w14:paraId="08A97D7E">
      <w:pPr>
        <w:adjustRightInd w:val="0"/>
        <w:snapToGrid w:val="0"/>
        <w:spacing w:line="360" w:lineRule="auto"/>
        <w:ind w:firstLine="2880" w:firstLineChars="400"/>
        <w:jc w:val="both"/>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说明</w:t>
      </w:r>
    </w:p>
    <w:p w14:paraId="7128DC20">
      <w:pPr>
        <w:adjustRightInd w:val="0"/>
        <w:snapToGrid w:val="0"/>
        <w:spacing w:line="360" w:lineRule="auto"/>
        <w:jc w:val="center"/>
        <w:outlineLvl w:val="0"/>
        <w:rPr>
          <w:rFonts w:hint="eastAsia" w:ascii="方正小标宋简体" w:hAnsi="宋体" w:eastAsia="方正小标宋简体"/>
          <w:color w:val="000000" w:themeColor="text1"/>
          <w:sz w:val="52"/>
          <w:szCs w:val="52"/>
          <w:highlight w:val="none"/>
          <w:lang w:eastAsia="zh-CN"/>
          <w14:textFill>
            <w14:solidFill>
              <w14:schemeClr w14:val="tx1"/>
            </w14:solidFill>
          </w14:textFill>
        </w:rPr>
      </w:pPr>
    </w:p>
    <w:p w14:paraId="2FD33FA0">
      <w:pPr>
        <w:pStyle w:val="6"/>
        <w:ind w:left="0" w:leftChars="0" w:firstLine="0" w:firstLineChars="0"/>
        <w:rPr>
          <w:rFonts w:hint="eastAsia" w:ascii="Calibri" w:hAnsi="宋体" w:eastAsia="方正小标宋简体"/>
          <w:color w:val="000000"/>
          <w:sz w:val="72"/>
          <w:szCs w:val="72"/>
        </w:rPr>
      </w:pPr>
      <w:r>
        <w:rPr>
          <w:rFonts w:ascii="方正小标宋简体" w:hAnsi="宋体" w:eastAsia="方正小标宋简体"/>
          <w:color w:val="auto"/>
          <w:sz w:val="36"/>
          <w:szCs w:val="36"/>
          <w:highlight w:val="none"/>
        </w:rPr>
        <w:br w:type="page"/>
      </w:r>
    </w:p>
    <w:p w14:paraId="291374A1">
      <w:pPr>
        <w:widowControl/>
        <w:ind w:firstLine="3520" w:firstLineChars="800"/>
        <w:jc w:val="both"/>
        <w:rPr>
          <w:rFonts w:hint="eastAsia" w:ascii="黑体" w:hAnsi="黑体" w:eastAsia="黑体" w:cs="黑体"/>
          <w:sz w:val="44"/>
          <w:szCs w:val="44"/>
        </w:rPr>
      </w:pPr>
      <w:r>
        <w:rPr>
          <w:rFonts w:hint="eastAsia" w:ascii="黑体" w:hAnsi="黑体" w:eastAsia="黑体" w:cs="黑体"/>
          <w:color w:val="000000"/>
          <w:sz w:val="44"/>
          <w:szCs w:val="44"/>
        </w:rPr>
        <w:t>目录</w:t>
      </w:r>
    </w:p>
    <w:p w14:paraId="2F064502">
      <w:pPr>
        <w:pStyle w:val="1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公开时间：202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12月3</w:t>
      </w:r>
      <w:bookmarkStart w:id="74" w:name="_GoBack"/>
      <w:bookmarkEnd w:id="74"/>
      <w:r>
        <w:rPr>
          <w:rFonts w:hint="eastAsia" w:ascii="仿宋_GB2312" w:hAnsi="仿宋_GB2312" w:eastAsia="仿宋_GB2312" w:cs="仿宋_GB2312"/>
          <w:sz w:val="28"/>
          <w:szCs w:val="28"/>
          <w:lang w:val="en-US" w:eastAsia="zh-CN"/>
        </w:rPr>
        <w:t>日</w:t>
      </w:r>
    </w:p>
    <w:p w14:paraId="445B7AA5">
      <w:pPr>
        <w:pStyle w:val="2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_Toc19718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第一部分 部门概况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rPr>
        <w:fldChar w:fldCharType="end"/>
      </w:r>
    </w:p>
    <w:p w14:paraId="39BF0952">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_Toc23612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部门职责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p w14:paraId="46E86EF9">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_Toc12693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p w14:paraId="7C54BA1C">
      <w:pPr>
        <w:pStyle w:val="2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_Toc3595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 xml:space="preserve">第二部分 </w:t>
      </w:r>
      <w:r>
        <w:rPr>
          <w:rFonts w:hint="eastAsia" w:ascii="仿宋_GB2312" w:hAnsi="仿宋_GB2312" w:eastAsia="仿宋_GB2312" w:cs="仿宋_GB2312"/>
          <w:b/>
          <w:bCs/>
          <w:sz w:val="28"/>
          <w:szCs w:val="28"/>
          <w:lang w:eastAsia="zh-CN"/>
        </w:rPr>
        <w:t>2024</w:t>
      </w:r>
      <w:r>
        <w:rPr>
          <w:rFonts w:hint="eastAsia" w:ascii="仿宋_GB2312" w:hAnsi="仿宋_GB2312" w:eastAsia="仿宋_GB2312" w:cs="仿宋_GB2312"/>
          <w:b/>
          <w:bCs/>
          <w:sz w:val="28"/>
          <w:szCs w:val="28"/>
        </w:rPr>
        <w:t>年度部门决算情况说明</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5</w:t>
      </w:r>
      <w:r>
        <w:rPr>
          <w:rFonts w:hint="eastAsia" w:ascii="仿宋_GB2312" w:hAnsi="仿宋_GB2312" w:eastAsia="仿宋_GB2312" w:cs="仿宋_GB2312"/>
          <w:b/>
          <w:bCs/>
          <w:sz w:val="28"/>
          <w:szCs w:val="28"/>
        </w:rPr>
        <w:fldChar w:fldCharType="end"/>
      </w:r>
    </w:p>
    <w:p w14:paraId="6C4E153E">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_Toc29402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 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p>
    <w:p w14:paraId="03E3309F">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_Toc26318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 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p w14:paraId="6B13217B">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_Toc12541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 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p w14:paraId="7112F047">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_Toc30909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p>
    <w:p w14:paraId="2E84E341">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_Toc9541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p>
    <w:p w14:paraId="04E60546">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_Toc28746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p>
    <w:p w14:paraId="05339726">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_Toc18835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en-US" w:eastAsia="zh-CN"/>
        </w:rPr>
        <w:t>财政拨款</w:t>
      </w:r>
      <w:r>
        <w:rPr>
          <w:rFonts w:hint="eastAsia" w:ascii="仿宋_GB2312" w:hAnsi="仿宋_GB2312" w:eastAsia="仿宋_GB2312" w:cs="仿宋_GB2312"/>
          <w:sz w:val="28"/>
          <w:szCs w:val="28"/>
        </w:rPr>
        <w:t>“三公”经费支出决算情况说明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p>
    <w:p w14:paraId="728937CF">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_Toc18976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p w14:paraId="5A48AEEE">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_Toc12529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九、国有资本经营预算支出决算情况说明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p w14:paraId="7CCFB550">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_Toc23044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p w14:paraId="006474A4">
      <w:pPr>
        <w:pStyle w:val="2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_Toc16747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第三部分 名词解释</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16</w:t>
      </w:r>
      <w:r>
        <w:rPr>
          <w:rFonts w:hint="eastAsia" w:ascii="仿宋_GB2312" w:hAnsi="仿宋_GB2312" w:eastAsia="仿宋_GB2312" w:cs="仿宋_GB2312"/>
          <w:b/>
          <w:bCs/>
          <w:sz w:val="28"/>
          <w:szCs w:val="28"/>
        </w:rPr>
        <w:fldChar w:fldCharType="end"/>
      </w:r>
    </w:p>
    <w:p w14:paraId="08FBF827">
      <w:pPr>
        <w:pStyle w:val="2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_Toc12738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第四部分 附件</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18</w:t>
      </w:r>
      <w:r>
        <w:rPr>
          <w:rFonts w:hint="eastAsia" w:ascii="仿宋_GB2312" w:hAnsi="仿宋_GB2312" w:eastAsia="仿宋_GB2312" w:cs="仿宋_GB2312"/>
          <w:b/>
          <w:bCs/>
          <w:sz w:val="28"/>
          <w:szCs w:val="28"/>
        </w:rPr>
        <w:fldChar w:fldCharType="end"/>
      </w:r>
    </w:p>
    <w:p w14:paraId="6D0D9C2F">
      <w:pPr>
        <w:pStyle w:val="2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_Toc32515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第五部分 附表</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24</w:t>
      </w:r>
      <w:r>
        <w:rPr>
          <w:rFonts w:hint="eastAsia" w:ascii="仿宋_GB2312" w:hAnsi="仿宋_GB2312" w:eastAsia="仿宋_GB2312" w:cs="仿宋_GB2312"/>
          <w:b/>
          <w:bCs/>
          <w:sz w:val="28"/>
          <w:szCs w:val="28"/>
        </w:rPr>
        <w:fldChar w:fldCharType="end"/>
      </w:r>
    </w:p>
    <w:p w14:paraId="13DE9D5C">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_Toc3377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3C12FF68">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_Toc19843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二、收入决算表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5F7D612A">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_Toc25385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64BC5AE2">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_Toc6355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411FF979">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_Toc25777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6868D87B">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_Toc2167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6B51A38A">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_Toc23861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155AD888">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_Toc23609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八、一般公共预算财政拨款基本支出决算</w:t>
      </w:r>
      <w:r>
        <w:rPr>
          <w:rFonts w:hint="eastAsia" w:ascii="仿宋_GB2312" w:hAnsi="仿宋_GB2312" w:eastAsia="仿宋_GB2312" w:cs="仿宋_GB2312"/>
          <w:sz w:val="28"/>
          <w:szCs w:val="28"/>
          <w:lang w:val="en-US" w:eastAsia="zh-CN"/>
        </w:rPr>
        <w:t>明细</w:t>
      </w: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7A6F23CE">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_Toc28450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九、一般公共预算财政拨款项目支出决算表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5067CBB2">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_Toc12151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303CB3DB">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_Toc18555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十一、国有资本经营预算财政拨款收入支出决算表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01F9786B">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_Toc24539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十二、国有资本经营预算财政拨款支出决算表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21316B4D">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_Toc24871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十三、</w:t>
      </w:r>
      <w:r>
        <w:rPr>
          <w:rFonts w:hint="eastAsia" w:ascii="仿宋_GB2312" w:hAnsi="仿宋_GB2312" w:eastAsia="仿宋_GB2312" w:cs="仿宋_GB2312"/>
          <w:sz w:val="28"/>
          <w:szCs w:val="28"/>
          <w:lang w:val="en-US" w:eastAsia="zh-CN"/>
        </w:rPr>
        <w:t>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p>
    <w:p w14:paraId="1B8A89C5">
      <w:pPr>
        <w:pStyle w:val="25"/>
        <w:tabs>
          <w:tab w:val="right" w:leader="dot" w:pos="8306"/>
        </w:tabs>
        <w:rPr>
          <w:rFonts w:hint="eastAsia" w:ascii="仿宋_GB2312" w:hAnsi="仿宋_GB2312" w:eastAsia="仿宋_GB2312" w:cs="仿宋_GB2312"/>
          <w:sz w:val="28"/>
          <w:szCs w:val="28"/>
        </w:rPr>
      </w:pPr>
      <w:bookmarkStart w:id="12" w:name="_Toc15396599"/>
      <w:bookmarkStart w:id="13" w:name="_Toc15377196"/>
    </w:p>
    <w:p w14:paraId="25DE2D52">
      <w:pPr>
        <w:rPr>
          <w:rFonts w:hint="eastAsia" w:ascii="仿宋_GB2312" w:hAnsi="仿宋_GB2312" w:eastAsia="仿宋_GB2312" w:cs="仿宋_GB2312"/>
          <w:sz w:val="28"/>
          <w:szCs w:val="28"/>
        </w:rPr>
      </w:pPr>
    </w:p>
    <w:p w14:paraId="0FBEC2F6">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44A527AC">
      <w:pPr>
        <w:pStyle w:val="3"/>
        <w:numPr>
          <w:ilvl w:val="0"/>
          <w:numId w:val="0"/>
        </w:numPr>
        <w:ind w:firstLine="883" w:firstLineChars="200"/>
        <w:jc w:val="both"/>
        <w:rPr>
          <w:rStyle w:val="19"/>
          <w:rFonts w:hint="eastAsia" w:ascii="黑体" w:hAnsi="黑体" w:eastAsia="黑体"/>
          <w:b/>
          <w:bCs w:val="0"/>
          <w:color w:val="auto"/>
          <w:highlight w:val="none"/>
        </w:rPr>
      </w:pPr>
      <w:r>
        <w:rPr>
          <w:rStyle w:val="19"/>
          <w:rFonts w:hint="eastAsia" w:ascii="黑体" w:hAnsi="黑体" w:eastAsia="黑体"/>
          <w:b/>
          <w:bCs w:val="0"/>
          <w:color w:val="auto"/>
          <w:highlight w:val="none"/>
          <w:lang w:val="en-US" w:eastAsia="zh-CN"/>
        </w:rPr>
        <w:t xml:space="preserve">第一部分  </w:t>
      </w:r>
      <w:r>
        <w:rPr>
          <w:rStyle w:val="19"/>
          <w:rFonts w:hint="eastAsia" w:ascii="黑体" w:hAnsi="黑体" w:eastAsia="黑体"/>
          <w:b/>
          <w:bCs w:val="0"/>
          <w:color w:val="auto"/>
          <w:highlight w:val="none"/>
        </w:rPr>
        <w:t>部门概况</w:t>
      </w:r>
      <w:bookmarkEnd w:id="12"/>
      <w:bookmarkEnd w:id="13"/>
    </w:p>
    <w:p w14:paraId="71B40D1F">
      <w:pPr>
        <w:pStyle w:val="3"/>
        <w:numPr>
          <w:ilvl w:val="0"/>
          <w:numId w:val="0"/>
        </w:numPr>
        <w:ind w:firstLine="361" w:firstLineChars="100"/>
        <w:jc w:val="both"/>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lang w:eastAsia="zh-CN"/>
        </w:rPr>
        <w:t>一、部门职责</w:t>
      </w:r>
    </w:p>
    <w:p w14:paraId="70BF6B75">
      <w:pPr>
        <w:pStyle w:val="3"/>
        <w:numPr>
          <w:ilvl w:val="0"/>
          <w:numId w:val="0"/>
        </w:numPr>
        <w:ind w:firstLine="640" w:firstLineChars="200"/>
        <w:jc w:val="both"/>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主要职责:1、</w:t>
      </w:r>
      <w:r>
        <w:rPr>
          <w:rFonts w:hint="eastAsia" w:ascii="仿宋_GB2312" w:hAnsi="仿宋_GB2312" w:eastAsia="仿宋_GB2312" w:cs="仿宋_GB2312"/>
          <w:b w:val="0"/>
          <w:bCs w:val="0"/>
          <w:color w:val="000000"/>
          <w:sz w:val="32"/>
          <w:szCs w:val="32"/>
        </w:rPr>
        <w:t>贯彻落实党的理论、路线和各项宣传方针政策，把握新闻宣传基调，坚持正面宣传、团结鼓劲，为全县经济社会发展提供舆论支持；围绕县委、县政府中心工作，积极开展新闻网络内外宣传，落实全县新闻报道计划，完成上级下达的各项内外宣传和创优任务。</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负责全县新闻业务管理和对外通联工作，抓好全县新闻网络宣传阵地和人才队伍建设。</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协助配合上级媒体和新闻单位来县采访工作。</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负责与县内各乡镇各部门之间的沟通协调，负责县内各类具有传播功能的媒介资源管理工作，负责网络对话和舆情收集、引导工作。</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负责政府信息公开相关事宜。</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负责上级下发的各项网评、网宣任务。</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负责舆情分折研判，提供决策咨询。</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完成县委县政府交办的其它工作任务。</w:t>
      </w:r>
      <w:bookmarkStart w:id="14" w:name="_Toc15396601"/>
      <w:bookmarkStart w:id="15" w:name="_Toc15377200"/>
    </w:p>
    <w:p w14:paraId="4D5A5BAA">
      <w:pPr>
        <w:pStyle w:val="3"/>
        <w:numPr>
          <w:ilvl w:val="0"/>
          <w:numId w:val="0"/>
        </w:numPr>
        <w:ind w:firstLine="640" w:firstLineChars="200"/>
        <w:jc w:val="both"/>
        <w:rPr>
          <w:rFonts w:hint="eastAsia" w:ascii="仿宋_GB2312" w:hAnsi="仿宋_GB2312" w:eastAsia="仿宋_GB2312" w:cs="仿宋_GB2312"/>
          <w:b w:val="0"/>
          <w:bCs w:val="0"/>
          <w:color w:val="000000"/>
          <w:sz w:val="32"/>
          <w:szCs w:val="32"/>
        </w:rPr>
      </w:pPr>
    </w:p>
    <w:p w14:paraId="6BC1D6C3">
      <w:pPr>
        <w:pStyle w:val="3"/>
        <w:numPr>
          <w:ilvl w:val="0"/>
          <w:numId w:val="0"/>
        </w:numPr>
        <w:ind w:firstLine="640" w:firstLineChars="200"/>
        <w:jc w:val="both"/>
        <w:rPr>
          <w:rFonts w:hint="eastAsia" w:ascii="仿宋_GB2312" w:hAnsi="仿宋_GB2312" w:eastAsia="仿宋_GB2312" w:cs="仿宋_GB2312"/>
          <w:b w:val="0"/>
          <w:bCs w:val="0"/>
          <w:color w:val="000000"/>
          <w:sz w:val="32"/>
          <w:szCs w:val="32"/>
        </w:rPr>
      </w:pPr>
    </w:p>
    <w:p w14:paraId="51C5F677">
      <w:pPr>
        <w:pStyle w:val="3"/>
        <w:numPr>
          <w:ilvl w:val="0"/>
          <w:numId w:val="1"/>
        </w:numPr>
        <w:ind w:firstLine="720" w:firstLineChars="200"/>
        <w:jc w:val="both"/>
        <w:rPr>
          <w:rStyle w:val="20"/>
          <w:rFonts w:hint="eastAsia" w:ascii="黑体" w:hAnsi="黑体" w:eastAsia="黑体"/>
          <w:b w:val="0"/>
          <w:bCs w:val="0"/>
          <w:color w:val="auto"/>
          <w:sz w:val="36"/>
          <w:szCs w:val="36"/>
          <w:highlight w:val="none"/>
        </w:rPr>
      </w:pPr>
      <w:r>
        <w:rPr>
          <w:rFonts w:hint="eastAsia" w:ascii="黑体" w:hAnsi="黑体" w:eastAsia="黑体"/>
          <w:b w:val="0"/>
          <w:color w:val="auto"/>
          <w:sz w:val="36"/>
          <w:szCs w:val="36"/>
          <w:highlight w:val="none"/>
        </w:rPr>
        <w:t>机</w:t>
      </w:r>
      <w:r>
        <w:rPr>
          <w:rStyle w:val="20"/>
          <w:rFonts w:hint="eastAsia" w:ascii="黑体" w:hAnsi="黑体" w:eastAsia="黑体"/>
          <w:b w:val="0"/>
          <w:bCs w:val="0"/>
          <w:color w:val="auto"/>
          <w:sz w:val="36"/>
          <w:szCs w:val="36"/>
          <w:highlight w:val="none"/>
        </w:rPr>
        <w:t>构设置</w:t>
      </w:r>
      <w:bookmarkEnd w:id="14"/>
      <w:bookmarkEnd w:id="15"/>
    </w:p>
    <w:p w14:paraId="3CE17EA7">
      <w:pPr>
        <w:pStyle w:val="3"/>
        <w:numPr>
          <w:ilvl w:val="0"/>
          <w:numId w:val="0"/>
        </w:numPr>
        <w:ind w:firstLine="960" w:firstLineChars="3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峨边彝族自治县融媒体中心</w:t>
      </w:r>
      <w:r>
        <w:rPr>
          <w:rFonts w:hint="eastAsia" w:ascii="仿宋_GB2312" w:hAnsi="仿宋_GB2312" w:eastAsia="仿宋_GB2312" w:cs="仿宋_GB2312"/>
          <w:b w:val="0"/>
          <w:bCs w:val="0"/>
          <w:color w:val="auto"/>
          <w:sz w:val="32"/>
          <w:szCs w:val="32"/>
          <w:highlight w:val="none"/>
        </w:rPr>
        <w:t>下属二级</w:t>
      </w:r>
      <w:r>
        <w:rPr>
          <w:rFonts w:hint="eastAsia" w:ascii="仿宋_GB2312" w:hAnsi="仿宋_GB2312" w:eastAsia="仿宋_GB2312" w:cs="仿宋_GB2312"/>
          <w:b w:val="0"/>
          <w:bCs w:val="0"/>
          <w:color w:val="auto"/>
          <w:sz w:val="32"/>
          <w:szCs w:val="32"/>
          <w:highlight w:val="none"/>
          <w:lang w:eastAsia="zh-CN"/>
        </w:rPr>
        <w:t>预算</w:t>
      </w:r>
      <w:r>
        <w:rPr>
          <w:rFonts w:hint="eastAsia" w:ascii="仿宋_GB2312" w:hAnsi="仿宋_GB2312" w:eastAsia="仿宋_GB2312" w:cs="仿宋_GB2312"/>
          <w:b w:val="0"/>
          <w:bCs w:val="0"/>
          <w:color w:val="auto"/>
          <w:sz w:val="32"/>
          <w:szCs w:val="32"/>
          <w:highlight w:val="none"/>
        </w:rPr>
        <w:t>单位</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个，其中行政单位</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个，参照公务员法管理的事业单位</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个，其他事业单位</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个。纳入</w:t>
      </w:r>
      <w:r>
        <w:rPr>
          <w:rFonts w:hint="eastAsia" w:ascii="仿宋_GB2312" w:hAnsi="仿宋_GB2312" w:eastAsia="仿宋_GB2312" w:cs="仿宋_GB2312"/>
          <w:b w:val="0"/>
          <w:bCs w:val="0"/>
          <w:color w:val="auto"/>
          <w:sz w:val="32"/>
          <w:szCs w:val="32"/>
          <w:highlight w:val="none"/>
          <w:lang w:eastAsia="zh-CN"/>
        </w:rPr>
        <w:t>峨边彝族自治县融媒体中心2024</w:t>
      </w:r>
      <w:r>
        <w:rPr>
          <w:rFonts w:hint="eastAsia" w:ascii="仿宋_GB2312" w:hAnsi="仿宋_GB2312" w:eastAsia="仿宋_GB2312" w:cs="仿宋_GB2312"/>
          <w:b w:val="0"/>
          <w:bCs w:val="0"/>
          <w:color w:val="auto"/>
          <w:sz w:val="32"/>
          <w:szCs w:val="32"/>
          <w:highlight w:val="none"/>
        </w:rPr>
        <w:t>年度部门决算编制范围的二级预算单位</w:t>
      </w:r>
      <w:r>
        <w:rPr>
          <w:rFonts w:hint="eastAsia" w:ascii="仿宋_GB2312" w:hAnsi="仿宋_GB2312" w:eastAsia="仿宋_GB2312" w:cs="仿宋_GB2312"/>
          <w:b w:val="0"/>
          <w:bCs w:val="0"/>
          <w:color w:val="auto"/>
          <w:sz w:val="32"/>
          <w:szCs w:val="32"/>
          <w:highlight w:val="none"/>
          <w:lang w:eastAsia="zh-CN"/>
        </w:rPr>
        <w:t>无。</w:t>
      </w:r>
    </w:p>
    <w:p w14:paraId="672DA086">
      <w:pPr>
        <w:widowControl/>
        <w:jc w:val="left"/>
        <w:rPr>
          <w:rStyle w:val="19"/>
          <w:rFonts w:ascii="黑体" w:hAnsi="黑体" w:eastAsia="黑体"/>
          <w:b/>
          <w:bCs w:val="0"/>
          <w:color w:val="auto"/>
          <w:sz w:val="44"/>
          <w:szCs w:val="44"/>
          <w:highlight w:val="none"/>
        </w:rPr>
      </w:pPr>
      <w:bookmarkStart w:id="16" w:name="_Toc15377204"/>
      <w:bookmarkStart w:id="17" w:name="_Toc15396602"/>
      <w:r>
        <w:rPr>
          <w:rFonts w:hint="eastAsia" w:ascii="黑体" w:hAnsi="黑体" w:eastAsia="黑体"/>
          <w:b/>
          <w:bCs w:val="0"/>
          <w:color w:val="auto"/>
          <w:sz w:val="44"/>
          <w:szCs w:val="44"/>
          <w:highlight w:val="none"/>
        </w:rPr>
        <w:t xml:space="preserve">第二部分 </w:t>
      </w:r>
      <w:r>
        <w:rPr>
          <w:rFonts w:hint="eastAsia" w:ascii="黑体" w:hAnsi="黑体" w:eastAsia="黑体"/>
          <w:b/>
          <w:bCs w:val="0"/>
          <w:color w:val="auto"/>
          <w:sz w:val="44"/>
          <w:szCs w:val="44"/>
          <w:highlight w:val="none"/>
          <w:lang w:val="en-US" w:eastAsia="zh-CN"/>
        </w:rPr>
        <w:t>2024年度</w:t>
      </w:r>
      <w:r>
        <w:rPr>
          <w:rStyle w:val="19"/>
          <w:rFonts w:hint="eastAsia" w:ascii="黑体" w:hAnsi="黑体" w:eastAsia="黑体"/>
          <w:b/>
          <w:bCs w:val="0"/>
          <w:color w:val="auto"/>
          <w:sz w:val="44"/>
          <w:szCs w:val="44"/>
          <w:highlight w:val="none"/>
        </w:rPr>
        <w:t>部门决算情况说明</w:t>
      </w:r>
      <w:bookmarkEnd w:id="16"/>
      <w:bookmarkEnd w:id="17"/>
    </w:p>
    <w:p w14:paraId="0C265E6A">
      <w:pPr>
        <w:rPr>
          <w:color w:val="auto"/>
          <w:highlight w:val="none"/>
        </w:rPr>
      </w:pPr>
    </w:p>
    <w:p w14:paraId="24F753A9">
      <w:pPr>
        <w:pStyle w:val="21"/>
        <w:numPr>
          <w:ilvl w:val="0"/>
          <w:numId w:val="2"/>
        </w:numPr>
        <w:spacing w:line="600" w:lineRule="exact"/>
        <w:ind w:firstLineChars="0"/>
        <w:outlineLvl w:val="1"/>
        <w:rPr>
          <w:rStyle w:val="2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18"/>
      <w:bookmarkEnd w:id="19"/>
    </w:p>
    <w:p w14:paraId="1BCAA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426.45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年相比，收、支总计各</w:t>
      </w:r>
      <w:r>
        <w:rPr>
          <w:rFonts w:hint="eastAsia" w:ascii="仿宋_GB2312" w:hAnsi="仿宋_GB2312" w:eastAsia="仿宋_GB2312" w:cs="仿宋_GB2312"/>
          <w:color w:val="auto"/>
          <w:sz w:val="32"/>
          <w:szCs w:val="32"/>
          <w:highlight w:val="none"/>
          <w:lang w:val="en-US" w:eastAsia="zh-CN"/>
        </w:rPr>
        <w:t>减少52.69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下降11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b w:val="0"/>
          <w:bCs w:val="0"/>
          <w:color w:val="000000"/>
          <w:sz w:val="32"/>
          <w:szCs w:val="32"/>
          <w:lang w:eastAsia="zh-CN"/>
        </w:rPr>
        <w:t>项目和人员</w:t>
      </w:r>
      <w:r>
        <w:rPr>
          <w:rFonts w:hint="eastAsia" w:ascii="仿宋_GB2312" w:hAnsi="仿宋_GB2312" w:eastAsia="仿宋_GB2312" w:cs="仿宋_GB2312"/>
          <w:b w:val="0"/>
          <w:bCs w:val="0"/>
          <w:color w:val="000000"/>
          <w:sz w:val="32"/>
          <w:szCs w:val="32"/>
          <w:lang w:val="en-US" w:eastAsia="zh-CN"/>
        </w:rPr>
        <w:t>减少</w:t>
      </w:r>
      <w:r>
        <w:rPr>
          <w:rFonts w:hint="eastAsia" w:ascii="仿宋_GB2312" w:hAnsi="仿宋_GB2312" w:eastAsia="仿宋_GB2312" w:cs="仿宋_GB2312"/>
          <w:color w:val="auto"/>
          <w:sz w:val="32"/>
          <w:szCs w:val="32"/>
          <w:highlight w:val="none"/>
          <w:lang w:eastAsia="zh-CN"/>
        </w:rPr>
        <w:t>。</w:t>
      </w:r>
    </w:p>
    <w:p w14:paraId="779AE1A8">
      <w:pPr>
        <w:pStyle w:val="5"/>
        <w:rPr>
          <w:rFonts w:hint="eastAsia"/>
          <w:lang w:eastAsia="zh-CN"/>
        </w:rPr>
      </w:pPr>
      <w:r>
        <w:rPr>
          <w:rFonts w:hint="eastAsia"/>
          <w:lang w:eastAsia="zh-CN"/>
        </w:rPr>
        <w:drawing>
          <wp:inline distT="0" distB="0" distL="114300" distR="114300">
            <wp:extent cx="5080000" cy="3477260"/>
            <wp:effectExtent l="4445" t="4445" r="2095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2814D5">
      <w:pPr>
        <w:pStyle w:val="21"/>
        <w:numPr>
          <w:ilvl w:val="0"/>
          <w:numId w:val="0"/>
        </w:numPr>
        <w:spacing w:line="600" w:lineRule="exact"/>
        <w:outlineLvl w:val="1"/>
        <w:rPr>
          <w:rStyle w:val="20"/>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20"/>
      <w:bookmarkEnd w:id="21"/>
    </w:p>
    <w:p w14:paraId="238947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426.45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w:t>
      </w:r>
      <w:bookmarkStart w:id="22" w:name="OLE_LINK1"/>
      <w:r>
        <w:rPr>
          <w:rFonts w:hint="eastAsia" w:ascii="仿宋_GB2312" w:hAnsi="仿宋_GB2312" w:eastAsia="仿宋_GB2312" w:cs="仿宋_GB2312"/>
          <w:color w:val="000000" w:themeColor="text1"/>
          <w:sz w:val="32"/>
          <w:szCs w:val="32"/>
          <w:highlight w:val="none"/>
          <w14:textFill>
            <w14:solidFill>
              <w14:schemeClr w14:val="tx1"/>
            </w14:solidFill>
          </w14:textFill>
        </w:rPr>
        <w:t>一般公共预算财政拨款收入</w:t>
      </w:r>
      <w:bookmarkEnd w:id="2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426.45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Start w:id="23" w:name="OLE_LINK2"/>
      <w:r>
        <w:rPr>
          <w:rFonts w:hint="eastAsia" w:ascii="仿宋_GB2312" w:hAnsi="仿宋_GB2312" w:eastAsia="仿宋_GB2312" w:cs="仿宋_GB2312"/>
          <w:color w:val="000000" w:themeColor="text1"/>
          <w:sz w:val="32"/>
          <w:szCs w:val="32"/>
          <w:highlight w:val="none"/>
          <w14:textFill>
            <w14:solidFill>
              <w14:schemeClr w14:val="tx1"/>
            </w14:solidFill>
          </w14:textFill>
        </w:rPr>
        <w:t>政府性基金预算财政拨款收入</w:t>
      </w:r>
      <w:bookmarkEnd w:id="23"/>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54FEB63C">
      <w:pPr>
        <w:pStyle w:val="5"/>
        <w:rPr>
          <w:rFonts w:hint="eastAsia" w:eastAsia="仿宋"/>
          <w:lang w:eastAsia="zh-CN"/>
        </w:rPr>
      </w:pPr>
      <w:r>
        <w:rPr>
          <w:rFonts w:hint="eastAsia" w:ascii="仿宋_GB2312" w:hAnsi="仿宋_GB2312" w:eastAsia="仿宋_GB2312" w:cs="仿宋_GB2312"/>
          <w:sz w:val="32"/>
          <w:szCs w:val="3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983B32">
      <w:pPr>
        <w:pStyle w:val="21"/>
        <w:numPr>
          <w:ilvl w:val="0"/>
          <w:numId w:val="0"/>
        </w:numPr>
        <w:spacing w:line="600" w:lineRule="exact"/>
        <w:outlineLvl w:val="1"/>
        <w:rPr>
          <w:rStyle w:val="20"/>
          <w:rFonts w:ascii="黑体" w:hAnsi="黑体" w:eastAsia="黑体"/>
          <w:b w:val="0"/>
          <w:color w:val="auto"/>
          <w:highlight w:val="none"/>
        </w:rPr>
      </w:pPr>
      <w:bookmarkStart w:id="24" w:name="_Toc15377207"/>
      <w:bookmarkStart w:id="25"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24"/>
      <w:bookmarkEnd w:id="25"/>
    </w:p>
    <w:p w14:paraId="530ABC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426.45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361.25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84.71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65.20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09E1DC51">
      <w:pPr>
        <w:pStyle w:val="5"/>
        <w:rPr>
          <w:rFonts w:hint="eastAsia" w:eastAsia="仿宋"/>
          <w:lang w:eastAsia="zh-CN"/>
        </w:rPr>
      </w:pPr>
      <w:r>
        <w:rPr>
          <w:rFonts w:hint="eastAsia" w:eastAsia="仿宋"/>
          <w:lang w:eastAsia="zh-C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095270">
      <w:pPr>
        <w:spacing w:line="600" w:lineRule="exact"/>
        <w:outlineLvl w:val="1"/>
        <w:rPr>
          <w:rStyle w:val="20"/>
          <w:rFonts w:ascii="黑体" w:hAnsi="黑体" w:eastAsia="黑体"/>
          <w:b w:val="0"/>
          <w:color w:val="auto"/>
          <w:highlight w:val="none"/>
        </w:rPr>
      </w:pPr>
      <w:bookmarkStart w:id="26" w:name="_Toc15377208"/>
      <w:bookmarkStart w:id="27" w:name="_Toc15396606"/>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26"/>
      <w:bookmarkEnd w:id="27"/>
    </w:p>
    <w:p w14:paraId="39F3E4A9">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426.45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年相比，财政拨款收、支总计各</w:t>
      </w:r>
      <w:r>
        <w:rPr>
          <w:rFonts w:hint="eastAsia" w:ascii="仿宋_GB2312" w:hAnsi="仿宋_GB2312" w:eastAsia="仿宋_GB2312" w:cs="仿宋_GB2312"/>
          <w:color w:val="auto"/>
          <w:sz w:val="32"/>
          <w:szCs w:val="32"/>
          <w:highlight w:val="none"/>
          <w:lang w:val="en-US" w:eastAsia="zh-CN"/>
        </w:rPr>
        <w:t>减少52.69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下降11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项目和人员</w:t>
      </w:r>
      <w:r>
        <w:rPr>
          <w:rFonts w:hint="eastAsia" w:ascii="仿宋_GB2312" w:hAnsi="仿宋_GB2312" w:eastAsia="仿宋_GB2312" w:cs="仿宋_GB2312"/>
          <w:color w:val="auto"/>
          <w:sz w:val="32"/>
          <w:szCs w:val="32"/>
          <w:highlight w:val="none"/>
          <w:lang w:val="en-US" w:eastAsia="zh-CN"/>
        </w:rPr>
        <w:t>减少</w:t>
      </w:r>
      <w:r>
        <w:rPr>
          <w:rFonts w:hint="eastAsia" w:ascii="仿宋_GB2312" w:hAnsi="仿宋_GB2312" w:eastAsia="仿宋_GB2312" w:cs="仿宋_GB2312"/>
          <w:color w:val="auto"/>
          <w:sz w:val="32"/>
          <w:szCs w:val="32"/>
          <w:highlight w:val="none"/>
          <w:lang w:eastAsia="zh-CN"/>
        </w:rPr>
        <w:t>。</w:t>
      </w:r>
    </w:p>
    <w:p w14:paraId="5998E3B5">
      <w:pPr>
        <w:spacing w:line="600" w:lineRule="exact"/>
        <w:rPr>
          <w:rFonts w:ascii="仿宋" w:hAnsi="仿宋" w:eastAsia="仿宋"/>
          <w:color w:val="auto"/>
          <w:sz w:val="32"/>
          <w:szCs w:val="32"/>
          <w:highlight w:val="none"/>
        </w:rPr>
      </w:pPr>
    </w:p>
    <w:p w14:paraId="10EA4668">
      <w:pPr>
        <w:spacing w:line="600" w:lineRule="exact"/>
        <w:ind w:firstLine="640"/>
        <w:rPr>
          <w:rFonts w:hint="eastAsia" w:ascii="仿宋" w:hAnsi="仿宋" w:eastAsia="仿宋"/>
          <w:b/>
          <w:color w:val="auto"/>
          <w:sz w:val="32"/>
          <w:szCs w:val="32"/>
          <w:highlight w:val="none"/>
          <w:lang w:eastAsia="zh-CN"/>
        </w:rPr>
      </w:pPr>
    </w:p>
    <w:p w14:paraId="20E1AFC1">
      <w:pPr>
        <w:pStyle w:val="5"/>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1F4825">
      <w:pPr>
        <w:numPr>
          <w:ilvl w:val="0"/>
          <w:numId w:val="3"/>
        </w:numPr>
        <w:spacing w:line="600" w:lineRule="exact"/>
        <w:outlineLvl w:val="1"/>
        <w:rPr>
          <w:rStyle w:val="20"/>
          <w:rFonts w:hint="eastAsia" w:ascii="黑体" w:hAnsi="黑体" w:eastAsia="黑体"/>
          <w:b w:val="0"/>
          <w:color w:val="auto"/>
          <w:highlight w:val="none"/>
        </w:rPr>
      </w:pPr>
      <w:bookmarkStart w:id="28" w:name="_Toc15396607"/>
      <w:bookmarkStart w:id="29" w:name="_Toc15377209"/>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28"/>
      <w:bookmarkEnd w:id="29"/>
      <w:bookmarkStart w:id="30" w:name="_Toc15377210"/>
    </w:p>
    <w:p w14:paraId="5EDC7F7F">
      <w:pPr>
        <w:numPr>
          <w:ilvl w:val="0"/>
          <w:numId w:val="0"/>
        </w:numPr>
        <w:spacing w:line="600" w:lineRule="exact"/>
        <w:ind w:firstLine="643" w:firstLineChars="200"/>
        <w:outlineLvl w:val="1"/>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一般公共预算财政拨款支出决算总体情况</w:t>
      </w:r>
      <w:bookmarkEnd w:id="30"/>
    </w:p>
    <w:p w14:paraId="26101101">
      <w:pPr>
        <w:spacing w:line="600" w:lineRule="exact"/>
        <w:ind w:firstLine="960" w:firstLineChars="300"/>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361.25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84.71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减少63.73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下降17.64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人员增加。</w:t>
      </w:r>
    </w:p>
    <w:p w14:paraId="27836DAB">
      <w:pPr>
        <w:pStyle w:val="5"/>
      </w:pPr>
      <w:r>
        <w:drawing>
          <wp:inline distT="0" distB="0" distL="114300" distR="114300">
            <wp:extent cx="4834255" cy="3286125"/>
            <wp:effectExtent l="4445" t="4445" r="1905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31" w:name="_Toc15377211"/>
    </w:p>
    <w:p w14:paraId="7BEB2494">
      <w:pPr>
        <w:pStyle w:val="5"/>
        <w:numPr>
          <w:ilvl w:val="0"/>
          <w:numId w:val="4"/>
        </w:numP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一般公共预算财政拨款支出决算结构情况</w:t>
      </w:r>
      <w:bookmarkEnd w:id="31"/>
    </w:p>
    <w:p w14:paraId="363792FC">
      <w:pPr>
        <w:pStyle w:val="5"/>
        <w:numPr>
          <w:ilvl w:val="0"/>
          <w:numId w:val="0"/>
        </w:numPr>
        <w:ind w:firstLine="640" w:firstLineChars="200"/>
        <w:rPr>
          <w:rFonts w:hint="default" w:ascii="仿宋" w:hAnsi="仿宋" w:eastAsia="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2024</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426.45</w:t>
      </w:r>
      <w:r>
        <w:rPr>
          <w:rFonts w:hint="eastAsia" w:ascii="仿宋_GB2312" w:hAnsi="仿宋_GB2312" w:eastAsia="仿宋_GB2312" w:cs="仿宋_GB2312"/>
          <w:b w:val="0"/>
          <w:bCs w:val="0"/>
          <w:color w:val="auto"/>
          <w:sz w:val="32"/>
          <w:szCs w:val="32"/>
          <w:highlight w:val="none"/>
        </w:rPr>
        <w:t>万元，主要用于以下方面:</w:t>
      </w:r>
      <w:bookmarkStart w:id="32" w:name="OLE_LINK3"/>
      <w:r>
        <w:rPr>
          <w:rFonts w:hint="eastAsia" w:ascii="仿宋_GB2312" w:hAnsi="仿宋_GB2312" w:eastAsia="仿宋_GB2312" w:cs="仿宋_GB2312"/>
          <w:b/>
          <w:color w:val="000000" w:themeColor="text1"/>
          <w:sz w:val="32"/>
          <w:szCs w:val="32"/>
          <w:highlight w:val="none"/>
          <w14:textFill>
            <w14:solidFill>
              <w14:schemeClr w14:val="tx1"/>
            </w14:solidFill>
          </w14:textFill>
        </w:rPr>
        <w:t>一般公共服务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支出</w:t>
      </w:r>
      <w:bookmarkEnd w:id="32"/>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65.20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color w:val="5B9BD5" w:themeColor="accent1"/>
          <w:sz w:val="32"/>
          <w:szCs w:val="32"/>
          <w:highlight w:val="none"/>
          <w14:textFill>
            <w14:solidFill>
              <w14:schemeClr w14:val="accent1"/>
            </w14:solidFill>
          </w14:textFill>
        </w:rPr>
        <w:t>，</w:t>
      </w:r>
      <w:r>
        <w:rPr>
          <w:rFonts w:hint="eastAsia" w:ascii="仿宋_GB2312" w:hAnsi="仿宋_GB2312" w:eastAsia="仿宋_GB2312" w:cs="仿宋_GB2312"/>
          <w:b w:val="0"/>
          <w:bCs w:val="0"/>
          <w:color w:val="auto"/>
          <w:sz w:val="32"/>
          <w:szCs w:val="32"/>
          <w:highlight w:val="none"/>
        </w:rPr>
        <w:t>占</w:t>
      </w:r>
      <w:r>
        <w:rPr>
          <w:rFonts w:hint="eastAsia" w:ascii="仿宋_GB2312" w:hAnsi="仿宋_GB2312" w:eastAsia="仿宋_GB2312" w:cs="仿宋_GB2312"/>
          <w:b w:val="0"/>
          <w:bCs w:val="0"/>
          <w:color w:val="auto"/>
          <w:sz w:val="32"/>
          <w:szCs w:val="32"/>
          <w:highlight w:val="none"/>
          <w:lang w:val="en-US" w:eastAsia="zh-CN"/>
        </w:rPr>
        <w:t>15.29</w:t>
      </w:r>
      <w:r>
        <w:rPr>
          <w:rFonts w:hint="eastAsia" w:ascii="仿宋_GB2312" w:hAnsi="仿宋_GB2312" w:eastAsia="仿宋_GB2312" w:cs="仿宋_GB2312"/>
          <w:b w:val="0"/>
          <w:bCs w:val="0"/>
          <w:color w:val="auto"/>
          <w:sz w:val="32"/>
          <w:szCs w:val="32"/>
          <w:highlight w:val="none"/>
        </w:rPr>
        <w:t>%；</w:t>
      </w:r>
      <w:bookmarkStart w:id="33" w:name="OLE_LINK4"/>
      <w:r>
        <w:rPr>
          <w:rFonts w:hint="eastAsia" w:ascii="仿宋_GB2312" w:hAnsi="仿宋_GB2312" w:eastAsia="仿宋_GB2312" w:cs="仿宋_GB2312"/>
          <w:b/>
          <w:bCs/>
          <w:color w:val="auto"/>
          <w:sz w:val="32"/>
          <w:szCs w:val="32"/>
          <w:highlight w:val="none"/>
        </w:rPr>
        <w:t>文化旅游体育与传媒支出</w:t>
      </w:r>
      <w:bookmarkEnd w:id="33"/>
      <w:r>
        <w:rPr>
          <w:rFonts w:hint="eastAsia" w:ascii="仿宋_GB2312" w:hAnsi="仿宋_GB2312" w:eastAsia="仿宋_GB2312" w:cs="仿宋_GB2312"/>
          <w:b/>
          <w:bCs/>
          <w:color w:val="auto"/>
          <w:sz w:val="32"/>
          <w:szCs w:val="32"/>
          <w:highlight w:val="none"/>
          <w:lang w:val="en-US" w:eastAsia="zh-CN"/>
        </w:rPr>
        <w:t>263.53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61.8</w:t>
      </w:r>
      <w:r>
        <w:rPr>
          <w:rFonts w:hint="eastAsia" w:ascii="仿宋_GB2312" w:hAnsi="仿宋_GB2312" w:eastAsia="仿宋_GB2312" w:cs="仿宋_GB2312"/>
          <w:b w:val="0"/>
          <w:bCs w:val="0"/>
          <w:color w:val="auto"/>
          <w:sz w:val="32"/>
          <w:szCs w:val="32"/>
          <w:highlight w:val="none"/>
        </w:rPr>
        <w:t>%；</w:t>
      </w:r>
      <w:bookmarkStart w:id="34" w:name="OLE_LINK5"/>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bookmarkEnd w:id="34"/>
      <w:r>
        <w:rPr>
          <w:rFonts w:hint="eastAsia" w:ascii="仿宋_GB2312" w:hAnsi="仿宋_GB2312" w:eastAsia="仿宋_GB2312" w:cs="仿宋_GB2312"/>
          <w:b/>
          <w:bCs/>
          <w:color w:val="auto"/>
          <w:sz w:val="32"/>
          <w:szCs w:val="32"/>
          <w:highlight w:val="none"/>
          <w:lang w:val="en-US" w:eastAsia="zh-CN"/>
        </w:rPr>
        <w:t>49.70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11.65</w:t>
      </w:r>
      <w:r>
        <w:rPr>
          <w:rFonts w:hint="eastAsia" w:ascii="仿宋_GB2312" w:hAnsi="仿宋_GB2312" w:eastAsia="仿宋_GB2312" w:cs="仿宋_GB2312"/>
          <w:b w:val="0"/>
          <w:bCs w:val="0"/>
          <w:color w:val="auto"/>
          <w:sz w:val="32"/>
          <w:szCs w:val="32"/>
          <w:highlight w:val="none"/>
        </w:rPr>
        <w:t>%；</w:t>
      </w:r>
      <w:bookmarkStart w:id="35" w:name="OLE_LINK6"/>
      <w:r>
        <w:rPr>
          <w:rFonts w:hint="eastAsia" w:ascii="仿宋_GB2312" w:hAnsi="仿宋_GB2312" w:eastAsia="仿宋_GB2312" w:cs="仿宋_GB2312"/>
          <w:b/>
          <w:bCs/>
          <w:color w:val="auto"/>
          <w:sz w:val="32"/>
          <w:szCs w:val="32"/>
          <w:highlight w:val="none"/>
        </w:rPr>
        <w:t>卫生健康支出</w:t>
      </w:r>
      <w:bookmarkEnd w:id="35"/>
      <w:r>
        <w:rPr>
          <w:rFonts w:hint="eastAsia" w:ascii="仿宋_GB2312" w:hAnsi="仿宋_GB2312" w:eastAsia="仿宋_GB2312" w:cs="仿宋_GB2312"/>
          <w:b/>
          <w:bCs/>
          <w:color w:val="auto"/>
          <w:sz w:val="32"/>
          <w:szCs w:val="32"/>
          <w:highlight w:val="none"/>
          <w:lang w:val="en-US" w:eastAsia="zh-CN"/>
        </w:rPr>
        <w:t>8.57</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2.01</w:t>
      </w:r>
      <w:r>
        <w:rPr>
          <w:rFonts w:hint="eastAsia" w:ascii="仿宋_GB2312" w:hAnsi="仿宋_GB2312" w:eastAsia="仿宋_GB2312" w:cs="仿宋_GB2312"/>
          <w:b w:val="0"/>
          <w:bCs w:val="0"/>
          <w:color w:val="auto"/>
          <w:sz w:val="32"/>
          <w:szCs w:val="32"/>
          <w:highlight w:val="none"/>
        </w:rPr>
        <w:t>%；</w:t>
      </w:r>
      <w:bookmarkStart w:id="36" w:name="OLE_LINK7"/>
      <w:r>
        <w:rPr>
          <w:rFonts w:hint="eastAsia" w:ascii="仿宋_GB2312" w:hAnsi="仿宋_GB2312" w:eastAsia="仿宋_GB2312" w:cs="仿宋_GB2312"/>
          <w:b/>
          <w:bCs/>
          <w:color w:val="auto"/>
          <w:sz w:val="32"/>
          <w:szCs w:val="32"/>
          <w:highlight w:val="none"/>
        </w:rPr>
        <w:t>住房保障支出</w:t>
      </w:r>
      <w:bookmarkEnd w:id="36"/>
      <w:r>
        <w:rPr>
          <w:rFonts w:hint="eastAsia" w:ascii="仿宋_GB2312" w:hAnsi="仿宋_GB2312" w:eastAsia="仿宋_GB2312" w:cs="仿宋_GB2312"/>
          <w:b w:val="0"/>
          <w:bCs w:val="0"/>
          <w:color w:val="auto"/>
          <w:sz w:val="32"/>
          <w:szCs w:val="32"/>
          <w:highlight w:val="none"/>
          <w:lang w:val="en-US" w:eastAsia="zh-CN"/>
        </w:rPr>
        <w:t>25.68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6.02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,农林水支出13.77；占3.23%。</w:t>
      </w:r>
    </w:p>
    <w:p w14:paraId="254E2383">
      <w:pPr>
        <w:pStyle w:val="5"/>
        <w:rPr>
          <w:rFonts w:hint="eastAsia" w:ascii="仿宋" w:hAnsi="仿宋" w:eastAsia="仿宋"/>
          <w:color w:val="auto"/>
          <w:sz w:val="32"/>
          <w:szCs w:val="32"/>
          <w:highlight w:val="none"/>
          <w:lang w:eastAsia="zh-CN"/>
        </w:rPr>
      </w:pPr>
    </w:p>
    <w:p w14:paraId="5D8FC751">
      <w:pPr>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7" w:name="_Toc15377212"/>
      <w:r>
        <w:rPr>
          <w:rFonts w:hint="eastAsia" w:ascii="仿宋" w:hAnsi="仿宋" w:eastAsia="仿宋"/>
          <w:b/>
          <w:color w:val="auto"/>
          <w:sz w:val="32"/>
          <w:szCs w:val="32"/>
          <w:highlight w:val="none"/>
        </w:rPr>
        <w:t>（三）一般公共预算财政拨款支出决算具体情况</w:t>
      </w:r>
      <w:bookmarkEnd w:id="37"/>
    </w:p>
    <w:p w14:paraId="51A02657">
      <w:pPr>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38" w:name="_Toc15377444"/>
      <w:bookmarkStart w:id="39" w:name="_Toc15378460"/>
      <w:bookmarkStart w:id="40" w:name="_Toc15377213"/>
      <w:r>
        <w:rPr>
          <w:rFonts w:hint="eastAsia" w:ascii="仿宋_GB2312" w:hAnsi="仿宋_GB2312" w:eastAsia="仿宋_GB2312" w:cs="仿宋_GB2312"/>
          <w:b/>
          <w:color w:val="auto"/>
          <w:sz w:val="32"/>
          <w:szCs w:val="32"/>
          <w:highlight w:val="none"/>
          <w:lang w:eastAsia="zh-CN"/>
        </w:rPr>
        <w:t>2024</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426.45</w:t>
      </w:r>
      <w:r>
        <w:rPr>
          <w:rFonts w:hint="eastAsia" w:ascii="仿宋_GB2312" w:hAnsi="仿宋_GB2312" w:eastAsia="仿宋_GB2312" w:cs="仿宋_GB2312"/>
          <w:color w:val="auto"/>
          <w:sz w:val="32"/>
          <w:szCs w:val="32"/>
          <w:highlight w:val="none"/>
        </w:rPr>
        <w:t>，</w:t>
      </w:r>
      <w:r>
        <w:rPr>
          <w:rStyle w:val="17"/>
          <w:rFonts w:hint="eastAsia" w:ascii="仿宋_GB2312" w:hAnsi="仿宋_GB2312" w:eastAsia="仿宋_GB2312" w:cs="仿宋_GB2312"/>
          <w:bCs/>
          <w:color w:val="auto"/>
          <w:sz w:val="32"/>
          <w:szCs w:val="32"/>
          <w:highlight w:val="none"/>
        </w:rPr>
        <w:t>完成预算</w:t>
      </w:r>
      <w:r>
        <w:rPr>
          <w:rStyle w:val="17"/>
          <w:rFonts w:hint="eastAsia" w:ascii="仿宋_GB2312" w:hAnsi="仿宋_GB2312" w:eastAsia="仿宋_GB2312" w:cs="仿宋_GB2312"/>
          <w:bCs/>
          <w:color w:val="auto"/>
          <w:sz w:val="32"/>
          <w:szCs w:val="32"/>
          <w:highlight w:val="none"/>
          <w:lang w:val="en-US" w:eastAsia="zh-CN"/>
        </w:rPr>
        <w:t>100</w:t>
      </w:r>
      <w:r>
        <w:rPr>
          <w:rStyle w:val="17"/>
          <w:rFonts w:hint="eastAsia" w:ascii="仿宋_GB2312" w:hAnsi="仿宋_GB2312" w:eastAsia="仿宋_GB2312" w:cs="仿宋_GB2312"/>
          <w:bCs/>
          <w:color w:val="auto"/>
          <w:sz w:val="32"/>
          <w:szCs w:val="32"/>
          <w:highlight w:val="none"/>
        </w:rPr>
        <w:t>%。其中：</w:t>
      </w:r>
      <w:bookmarkEnd w:id="38"/>
      <w:bookmarkEnd w:id="39"/>
      <w:bookmarkEnd w:id="40"/>
    </w:p>
    <w:p w14:paraId="6B539CEC">
      <w:pPr>
        <w:spacing w:line="600" w:lineRule="exact"/>
        <w:ind w:firstLine="643"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1.一般公共服务（类）</w:t>
      </w:r>
      <w:r>
        <w:rPr>
          <w:rStyle w:val="17"/>
          <w:rFonts w:hint="eastAsia" w:ascii="仿宋_GB2312" w:hAnsi="仿宋_GB2312" w:eastAsia="仿宋_GB2312" w:cs="仿宋_GB2312"/>
          <w:bCs/>
          <w:color w:val="auto"/>
          <w:sz w:val="32"/>
          <w:szCs w:val="32"/>
          <w:highlight w:val="none"/>
          <w:lang w:eastAsia="zh-CN"/>
        </w:rPr>
        <w:t>宣传事务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其他宣传事务支出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65.20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2D4F51AE">
      <w:pPr>
        <w:spacing w:line="600" w:lineRule="exact"/>
        <w:ind w:firstLine="643"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2</w:t>
      </w:r>
      <w:r>
        <w:rPr>
          <w:rStyle w:val="17"/>
          <w:rFonts w:hint="eastAsia" w:ascii="仿宋_GB2312" w:hAnsi="仿宋_GB2312" w:eastAsia="仿宋_GB2312" w:cs="仿宋_GB2312"/>
          <w:bCs/>
          <w:color w:val="auto"/>
          <w:sz w:val="32"/>
          <w:szCs w:val="32"/>
          <w:highlight w:val="none"/>
        </w:rPr>
        <w:t>.文化旅游体育与传媒（类）</w:t>
      </w:r>
      <w:r>
        <w:rPr>
          <w:rStyle w:val="17"/>
          <w:rFonts w:hint="eastAsia" w:ascii="仿宋_GB2312" w:hAnsi="仿宋_GB2312" w:eastAsia="仿宋_GB2312" w:cs="仿宋_GB2312"/>
          <w:bCs/>
          <w:color w:val="auto"/>
          <w:sz w:val="32"/>
          <w:szCs w:val="32"/>
          <w:highlight w:val="none"/>
          <w:lang w:eastAsia="zh-CN"/>
        </w:rPr>
        <w:t>广播电视</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其他广播电视支出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263.53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4FFD25D2">
      <w:pPr>
        <w:spacing w:line="600" w:lineRule="exact"/>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3</w:t>
      </w:r>
      <w:r>
        <w:rPr>
          <w:rStyle w:val="17"/>
          <w:rFonts w:hint="eastAsia" w:ascii="仿宋_GB2312" w:hAnsi="仿宋_GB2312" w:eastAsia="仿宋_GB2312" w:cs="仿宋_GB2312"/>
          <w:bCs/>
          <w:color w:val="auto"/>
          <w:sz w:val="32"/>
          <w:szCs w:val="32"/>
          <w:highlight w:val="none"/>
        </w:rPr>
        <w:t>.社会保障和就业（类）</w:t>
      </w:r>
      <w:r>
        <w:rPr>
          <w:rStyle w:val="17"/>
          <w:rFonts w:hint="eastAsia" w:ascii="仿宋_GB2312" w:hAnsi="仿宋_GB2312" w:eastAsia="仿宋_GB2312" w:cs="仿宋_GB2312"/>
          <w:bCs/>
          <w:color w:val="auto"/>
          <w:sz w:val="32"/>
          <w:szCs w:val="32"/>
          <w:highlight w:val="none"/>
          <w:lang w:eastAsia="zh-CN"/>
        </w:rPr>
        <w:t>行政事业单位养老支出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机关事业单位养老保险缴费支出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30.06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54480709">
      <w:pPr>
        <w:pStyle w:val="5"/>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bCs/>
          <w:color w:val="auto"/>
          <w:sz w:val="32"/>
          <w:szCs w:val="32"/>
          <w:highlight w:val="none"/>
          <w:lang w:val="en-US" w:eastAsia="zh-CN"/>
        </w:rPr>
        <w:t>4</w:t>
      </w:r>
      <w:r>
        <w:rPr>
          <w:rStyle w:val="17"/>
          <w:rFonts w:hint="eastAsia" w:ascii="仿宋_GB2312" w:hAnsi="仿宋_GB2312" w:eastAsia="仿宋_GB2312" w:cs="仿宋_GB2312"/>
          <w:b/>
          <w:bCs/>
          <w:color w:val="auto"/>
          <w:sz w:val="32"/>
          <w:szCs w:val="32"/>
          <w:highlight w:val="none"/>
        </w:rPr>
        <w:t>.社会保障和就业（类）</w:t>
      </w:r>
      <w:r>
        <w:rPr>
          <w:rStyle w:val="17"/>
          <w:rFonts w:hint="eastAsia" w:ascii="仿宋_GB2312" w:hAnsi="仿宋_GB2312" w:eastAsia="仿宋_GB2312" w:cs="仿宋_GB2312"/>
          <w:b/>
          <w:bCs/>
          <w:color w:val="auto"/>
          <w:sz w:val="32"/>
          <w:szCs w:val="32"/>
          <w:highlight w:val="none"/>
          <w:lang w:eastAsia="zh-CN"/>
        </w:rPr>
        <w:t>行政事业单位养老支出</w:t>
      </w:r>
      <w:r>
        <w:rPr>
          <w:rStyle w:val="17"/>
          <w:rFonts w:hint="eastAsia" w:ascii="仿宋_GB2312" w:hAnsi="仿宋_GB2312" w:eastAsia="仿宋_GB2312" w:cs="仿宋_GB2312"/>
          <w:b/>
          <w:bCs/>
          <w:color w:val="auto"/>
          <w:sz w:val="32"/>
          <w:szCs w:val="32"/>
          <w:highlight w:val="none"/>
        </w:rPr>
        <w:t>（款）</w:t>
      </w:r>
      <w:r>
        <w:rPr>
          <w:rStyle w:val="17"/>
          <w:rFonts w:hint="eastAsia" w:ascii="仿宋_GB2312" w:hAnsi="仿宋_GB2312" w:eastAsia="仿宋_GB2312" w:cs="仿宋_GB2312"/>
          <w:b/>
          <w:bCs/>
          <w:color w:val="auto"/>
          <w:sz w:val="32"/>
          <w:szCs w:val="32"/>
          <w:highlight w:val="none"/>
          <w:lang w:eastAsia="zh-CN"/>
        </w:rPr>
        <w:t>机关事业单位职业年金缴费支出</w:t>
      </w:r>
      <w:r>
        <w:rPr>
          <w:rStyle w:val="17"/>
          <w:rFonts w:hint="eastAsia" w:ascii="仿宋_GB2312" w:hAnsi="仿宋_GB2312" w:eastAsia="仿宋_GB2312" w:cs="仿宋_GB2312"/>
          <w:b/>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15.03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54680598">
      <w:pPr>
        <w:ind w:firstLine="643"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auto"/>
          <w:sz w:val="32"/>
          <w:szCs w:val="32"/>
          <w:highlight w:val="none"/>
          <w:lang w:val="en-US" w:eastAsia="zh-CN"/>
        </w:rPr>
        <w:t>5</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其他</w:t>
      </w:r>
      <w:r>
        <w:rPr>
          <w:rStyle w:val="17"/>
          <w:rFonts w:hint="eastAsia" w:ascii="仿宋_GB2312" w:hAnsi="仿宋_GB2312" w:eastAsia="仿宋_GB2312" w:cs="仿宋_GB2312"/>
          <w:bCs/>
          <w:color w:val="auto"/>
          <w:sz w:val="32"/>
          <w:szCs w:val="32"/>
          <w:highlight w:val="none"/>
        </w:rPr>
        <w:t>社会保障和就业（类）（款）</w:t>
      </w:r>
      <w:r>
        <w:rPr>
          <w:rStyle w:val="17"/>
          <w:rFonts w:hint="eastAsia" w:ascii="仿宋_GB2312" w:hAnsi="仿宋_GB2312" w:eastAsia="仿宋_GB2312" w:cs="仿宋_GB2312"/>
          <w:bCs/>
          <w:color w:val="auto"/>
          <w:sz w:val="32"/>
          <w:szCs w:val="32"/>
          <w:highlight w:val="none"/>
          <w:lang w:eastAsia="zh-CN"/>
        </w:rPr>
        <w:t>其他</w:t>
      </w:r>
      <w:r>
        <w:rPr>
          <w:rStyle w:val="17"/>
          <w:rFonts w:hint="eastAsia" w:ascii="仿宋_GB2312" w:hAnsi="仿宋_GB2312" w:eastAsia="仿宋_GB2312" w:cs="仿宋_GB2312"/>
          <w:bCs/>
          <w:color w:val="auto"/>
          <w:sz w:val="32"/>
          <w:szCs w:val="32"/>
          <w:highlight w:val="none"/>
        </w:rPr>
        <w:t>社会保障和就业</w:t>
      </w:r>
      <w:r>
        <w:rPr>
          <w:rStyle w:val="17"/>
          <w:rFonts w:hint="eastAsia" w:ascii="仿宋_GB2312" w:hAnsi="仿宋_GB2312" w:eastAsia="仿宋_GB2312" w:cs="仿宋_GB2312"/>
          <w:bCs/>
          <w:color w:val="auto"/>
          <w:sz w:val="32"/>
          <w:szCs w:val="32"/>
          <w:highlight w:val="none"/>
          <w:lang w:eastAsia="zh-CN"/>
        </w:rPr>
        <w:t>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4.61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599FA633">
      <w:pPr>
        <w:spacing w:line="600" w:lineRule="exact"/>
        <w:ind w:firstLine="643"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6</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eastAsia="zh-CN"/>
        </w:rPr>
        <w:t>行政事业单位医疗</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行政事业单位医疗</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8.57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59C2F227">
      <w:pPr>
        <w:spacing w:line="600" w:lineRule="exact"/>
        <w:ind w:firstLine="643"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7</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农林水</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val="en-US" w:eastAsia="zh-CN"/>
        </w:rPr>
        <w:t>其他巩固脱贫攻坚成果衔接乡村振兴支出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聘用人员经费</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13.77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14:paraId="12086357">
      <w:pPr>
        <w:spacing w:line="60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住房保障支出（类）住房改革支出（款）  住房公积金（项）：</w:t>
      </w:r>
      <w:r>
        <w:rPr>
          <w:rFonts w:hint="eastAsia" w:ascii="仿宋_GB2312" w:hAnsi="仿宋_GB2312" w:eastAsia="仿宋_GB2312" w:cs="仿宋_GB2312"/>
          <w:b w:val="0"/>
          <w:bCs w:val="0"/>
          <w:sz w:val="32"/>
          <w:szCs w:val="32"/>
        </w:rPr>
        <w:t>支出决算为</w:t>
      </w:r>
      <w:r>
        <w:rPr>
          <w:rFonts w:hint="eastAsia" w:ascii="仿宋_GB2312" w:hAnsi="仿宋_GB2312" w:eastAsia="仿宋_GB2312" w:cs="仿宋_GB2312"/>
          <w:b w:val="0"/>
          <w:bCs w:val="0"/>
          <w:sz w:val="32"/>
          <w:szCs w:val="32"/>
          <w:lang w:val="en-US" w:eastAsia="zh-CN"/>
        </w:rPr>
        <w:t>25.68</w:t>
      </w:r>
      <w:r>
        <w:rPr>
          <w:rFonts w:hint="eastAsia" w:ascii="仿宋_GB2312" w:hAnsi="仿宋_GB2312" w:eastAsia="仿宋_GB2312" w:cs="仿宋_GB2312"/>
          <w:b w:val="0"/>
          <w:bCs w:val="0"/>
          <w:sz w:val="32"/>
          <w:szCs w:val="32"/>
        </w:rPr>
        <w:t>万元，完成预算100%，决算数等于预算数。</w:t>
      </w:r>
      <w:bookmarkStart w:id="41" w:name="_Toc15396608"/>
      <w:bookmarkStart w:id="42" w:name="_Toc15377214"/>
    </w:p>
    <w:p w14:paraId="52253B36">
      <w:pPr>
        <w:spacing w:line="600" w:lineRule="exact"/>
        <w:rPr>
          <w:rStyle w:val="20"/>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六、一</w:t>
      </w:r>
      <w:r>
        <w:rPr>
          <w:rStyle w:val="20"/>
          <w:rFonts w:hint="eastAsia" w:ascii="仿宋_GB2312" w:hAnsi="仿宋_GB2312" w:eastAsia="仿宋_GB2312" w:cs="仿宋_GB2312"/>
          <w:b/>
          <w:bCs/>
          <w:color w:val="auto"/>
          <w:sz w:val="32"/>
          <w:szCs w:val="32"/>
          <w:highlight w:val="none"/>
        </w:rPr>
        <w:t>般公共预算财政拨款基本支出决算情况说明</w:t>
      </w:r>
      <w:bookmarkEnd w:id="41"/>
      <w:bookmarkEnd w:id="42"/>
    </w:p>
    <w:p w14:paraId="61476EA2">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2024</w:t>
      </w:r>
      <w:r>
        <w:rPr>
          <w:rFonts w:hint="eastAsia" w:ascii="仿宋_GB2312" w:hAnsi="仿宋_GB2312" w:eastAsia="仿宋_GB2312" w:cs="仿宋_GB2312"/>
          <w:b w:val="0"/>
          <w:bCs w:val="0"/>
          <w:color w:val="auto"/>
          <w:sz w:val="32"/>
          <w:szCs w:val="32"/>
          <w:highlight w:val="none"/>
        </w:rPr>
        <w:t>年一般公共预算财政拨款基本支出</w:t>
      </w:r>
      <w:r>
        <w:rPr>
          <w:rFonts w:hint="eastAsia" w:ascii="仿宋_GB2312" w:hAnsi="仿宋_GB2312" w:eastAsia="仿宋_GB2312" w:cs="仿宋_GB2312"/>
          <w:b w:val="0"/>
          <w:bCs w:val="0"/>
          <w:color w:val="auto"/>
          <w:sz w:val="32"/>
          <w:szCs w:val="32"/>
          <w:highlight w:val="none"/>
          <w:lang w:val="en-US" w:eastAsia="zh-CN"/>
        </w:rPr>
        <w:t>361.25</w:t>
      </w:r>
      <w:r>
        <w:rPr>
          <w:rFonts w:hint="eastAsia" w:ascii="仿宋_GB2312" w:hAnsi="仿宋_GB2312" w:eastAsia="仿宋_GB2312" w:cs="仿宋_GB2312"/>
          <w:b w:val="0"/>
          <w:bCs w:val="0"/>
          <w:color w:val="auto"/>
          <w:sz w:val="32"/>
          <w:szCs w:val="32"/>
          <w:highlight w:val="none"/>
        </w:rPr>
        <w:t>万元，其中：人员经费</w:t>
      </w:r>
      <w:r>
        <w:rPr>
          <w:rFonts w:hint="eastAsia" w:ascii="仿宋_GB2312" w:hAnsi="仿宋_GB2312" w:eastAsia="仿宋_GB2312" w:cs="仿宋_GB2312"/>
          <w:b w:val="0"/>
          <w:bCs w:val="0"/>
          <w:color w:val="auto"/>
          <w:sz w:val="32"/>
          <w:szCs w:val="32"/>
          <w:highlight w:val="none"/>
          <w:lang w:val="en-US" w:eastAsia="zh-CN"/>
        </w:rPr>
        <w:t>328.26</w:t>
      </w:r>
      <w:r>
        <w:rPr>
          <w:rFonts w:hint="eastAsia" w:ascii="仿宋_GB2312" w:hAnsi="仿宋_GB2312" w:eastAsia="仿宋_GB2312" w:cs="仿宋_GB2312"/>
          <w:b w:val="0"/>
          <w:bCs w:val="0"/>
          <w:color w:val="auto"/>
          <w:sz w:val="32"/>
          <w:szCs w:val="32"/>
          <w:highlight w:val="none"/>
        </w:rPr>
        <w:t>万元，主要包括：基本工资、津贴补贴、伙食补助费、绩效工资、机关事业单位基本养老保险缴费、职业年金缴费、其他社会保障缴费、其他工资福利支出、住房公积金等。</w:t>
      </w:r>
    </w:p>
    <w:p w14:paraId="3D77E514">
      <w:pPr>
        <w:pStyle w:val="5"/>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公用经费</w:t>
      </w:r>
      <w:r>
        <w:rPr>
          <w:rFonts w:hint="eastAsia" w:ascii="仿宋_GB2312" w:hAnsi="仿宋_GB2312" w:eastAsia="仿宋_GB2312" w:cs="仿宋_GB2312"/>
          <w:b w:val="0"/>
          <w:bCs w:val="0"/>
          <w:color w:val="auto"/>
          <w:sz w:val="32"/>
          <w:szCs w:val="32"/>
          <w:highlight w:val="none"/>
          <w:lang w:val="en-US" w:eastAsia="zh-CN"/>
        </w:rPr>
        <w:t>33</w:t>
      </w:r>
      <w:r>
        <w:rPr>
          <w:rFonts w:hint="eastAsia" w:ascii="仿宋_GB2312" w:hAnsi="仿宋_GB2312" w:eastAsia="仿宋_GB2312" w:cs="仿宋_GB2312"/>
          <w:b w:val="0"/>
          <w:bCs w:val="0"/>
          <w:color w:val="auto"/>
          <w:sz w:val="32"/>
          <w:szCs w:val="32"/>
          <w:highlight w:val="none"/>
        </w:rPr>
        <w:t>万元，主要包括：办公费、印刷费、水费、电费、邮电费、差旅费、维修（护）费、培训费、劳务费、工会经费、福利费</w:t>
      </w:r>
      <w:r>
        <w:rPr>
          <w:rFonts w:hint="eastAsia" w:ascii="仿宋_GB2312" w:hAnsi="仿宋_GB2312" w:eastAsia="仿宋_GB2312" w:cs="仿宋_GB2312"/>
          <w:b w:val="0"/>
          <w:bCs w:val="0"/>
          <w:color w:val="auto"/>
          <w:sz w:val="32"/>
          <w:szCs w:val="32"/>
          <w:highlight w:val="none"/>
          <w:lang w:eastAsia="zh-CN"/>
        </w:rPr>
        <w:t>、其他商品服务支出</w:t>
      </w:r>
      <w:r>
        <w:rPr>
          <w:rFonts w:hint="eastAsia" w:ascii="仿宋_GB2312" w:hAnsi="仿宋_GB2312" w:eastAsia="仿宋_GB2312" w:cs="仿宋_GB2312"/>
          <w:b w:val="0"/>
          <w:bCs w:val="0"/>
          <w:color w:val="auto"/>
          <w:sz w:val="32"/>
          <w:szCs w:val="32"/>
          <w:highlight w:val="none"/>
        </w:rPr>
        <w:t>等。</w:t>
      </w:r>
    </w:p>
    <w:p w14:paraId="0767C5CD">
      <w:pPr>
        <w:spacing w:line="600" w:lineRule="exact"/>
        <w:outlineLvl w:val="1"/>
        <w:rPr>
          <w:rStyle w:val="20"/>
          <w:rFonts w:ascii="黑体" w:hAnsi="黑体" w:eastAsia="黑体"/>
          <w:b w:val="0"/>
          <w:color w:val="auto"/>
          <w:highlight w:val="none"/>
        </w:rPr>
      </w:pPr>
      <w:bookmarkStart w:id="43" w:name="_Toc15377215"/>
      <w:bookmarkStart w:id="44" w:name="_Toc1539660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43"/>
      <w:bookmarkEnd w:id="44"/>
    </w:p>
    <w:p w14:paraId="7F86F36E">
      <w:pPr>
        <w:spacing w:line="600" w:lineRule="exact"/>
        <w:ind w:firstLine="602" w:firstLineChars="200"/>
        <w:outlineLvl w:val="2"/>
        <w:rPr>
          <w:rFonts w:hint="eastAsia" w:ascii="仿宋_GB2312" w:hAnsi="仿宋_GB2312" w:eastAsia="仿宋_GB2312" w:cs="仿宋_GB2312"/>
          <w:b/>
          <w:bCs w:val="0"/>
          <w:color w:val="auto"/>
          <w:sz w:val="30"/>
          <w:szCs w:val="30"/>
          <w:highlight w:val="none"/>
        </w:rPr>
      </w:pPr>
      <w:bookmarkStart w:id="45" w:name="_Toc15377216"/>
      <w:r>
        <w:rPr>
          <w:rFonts w:hint="eastAsia" w:ascii="仿宋_GB2312" w:hAnsi="仿宋_GB2312" w:eastAsia="仿宋_GB2312" w:cs="仿宋_GB2312"/>
          <w:b/>
          <w:bCs w:val="0"/>
          <w:color w:val="auto"/>
          <w:sz w:val="30"/>
          <w:szCs w:val="30"/>
          <w:highlight w:val="none"/>
        </w:rPr>
        <w:t>（一）“三公”经费财政拨款支出决算总体情况说明</w:t>
      </w:r>
      <w:bookmarkEnd w:id="45"/>
    </w:p>
    <w:p w14:paraId="3B0FADA6">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减少0万元，下降0%。</w:t>
      </w:r>
      <w:r>
        <w:rPr>
          <w:rFonts w:hint="eastAsia" w:ascii="仿宋_GB2312" w:hAnsi="仿宋_GB2312" w:eastAsia="仿宋_GB2312" w:cs="仿宋_GB2312"/>
          <w:color w:val="auto"/>
          <w:sz w:val="32"/>
          <w:szCs w:val="32"/>
          <w:highlight w:val="none"/>
        </w:rPr>
        <w:t>决算数与预算数持平。</w:t>
      </w:r>
    </w:p>
    <w:p w14:paraId="694CF011">
      <w:pPr>
        <w:spacing w:line="600" w:lineRule="exact"/>
        <w:ind w:firstLine="640"/>
        <w:outlineLvl w:val="2"/>
        <w:rPr>
          <w:rFonts w:hint="eastAsia" w:ascii="仿宋_GB2312" w:hAnsi="仿宋_GB2312" w:eastAsia="仿宋_GB2312" w:cs="仿宋_GB2312"/>
          <w:b/>
          <w:color w:val="auto"/>
          <w:sz w:val="32"/>
          <w:szCs w:val="32"/>
          <w:highlight w:val="none"/>
        </w:rPr>
      </w:pPr>
      <w:bookmarkStart w:id="46" w:name="_Toc15377217"/>
      <w:r>
        <w:rPr>
          <w:rFonts w:hint="eastAsia" w:ascii="仿宋_GB2312" w:hAnsi="仿宋_GB2312" w:eastAsia="仿宋_GB2312" w:cs="仿宋_GB2312"/>
          <w:b/>
          <w:color w:val="auto"/>
          <w:sz w:val="30"/>
          <w:szCs w:val="30"/>
          <w:highlight w:val="none"/>
        </w:rPr>
        <w:t>（二）“三公”经费财政拨款支出决算具体情况说明</w:t>
      </w:r>
      <w:bookmarkEnd w:id="46"/>
    </w:p>
    <w:p w14:paraId="160BF5BA">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14:paraId="5E21A590">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080000" cy="3810000"/>
            <wp:effectExtent l="4445" t="4445" r="20955" b="1460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A633C0">
      <w:pPr>
        <w:numPr>
          <w:ilvl w:val="0"/>
          <w:numId w:val="5"/>
        </w:num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因公出国（境）经费支出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人。因公出国（境）支出决算比20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增加0</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4F664783">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开支内容包括：</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（团组名称、出访地点、取得成效）等。</w:t>
      </w:r>
    </w:p>
    <w:p w14:paraId="75AC5907">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68CDDA3C">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万元，越野车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万元，载客汽车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w:t>
      </w: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辆、越野车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辆、载客汽车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14:paraId="2E18495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所需的公务用车燃料费、维修费、过路过桥费、保险费等支出。</w:t>
      </w:r>
    </w:p>
    <w:p w14:paraId="58F6A4CF">
      <w:pPr>
        <w:numPr>
          <w:ilvl w:val="0"/>
          <w:numId w:val="5"/>
        </w:numPr>
        <w:spacing w:line="600" w:lineRule="exact"/>
        <w:ind w:left="0" w:leftChars="0"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公务接待费支出</w:t>
      </w:r>
      <w:r>
        <w:rPr>
          <w:rFonts w:hint="eastAsia" w:ascii="仿宋_GB2312" w:hAnsi="仿宋_GB2312" w:eastAsia="仿宋_GB2312" w:cs="仿宋_GB2312"/>
          <w:b/>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减少0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下降0</w:t>
      </w:r>
      <w:r>
        <w:rPr>
          <w:rFonts w:hint="eastAsia" w:ascii="仿宋_GB2312" w:hAnsi="仿宋_GB2312" w:eastAsia="仿宋_GB2312" w:cs="仿宋_GB2312"/>
          <w:color w:val="auto"/>
          <w:sz w:val="32"/>
          <w:szCs w:val="32"/>
          <w:highlight w:val="none"/>
        </w:rPr>
        <w:t>%。其中：</w:t>
      </w:r>
    </w:p>
    <w:p w14:paraId="18EED81B">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b/>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执行公务、开展业务活动开支的交通费、住宿费、用餐费等)。国内公务接待</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w:t>
      </w:r>
    </w:p>
    <w:p w14:paraId="2407EDF8">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A6455D2">
      <w:pPr>
        <w:spacing w:line="600" w:lineRule="exact"/>
        <w:outlineLvl w:val="1"/>
        <w:rPr>
          <w:rStyle w:val="20"/>
          <w:rFonts w:hint="eastAsia" w:ascii="仿宋_GB2312" w:hAnsi="仿宋_GB2312" w:eastAsia="仿宋_GB2312" w:cs="仿宋_GB2312"/>
          <w:b/>
          <w:bCs/>
          <w:color w:val="auto"/>
          <w:sz w:val="32"/>
          <w:szCs w:val="32"/>
          <w:highlight w:val="none"/>
        </w:rPr>
      </w:pPr>
      <w:bookmarkStart w:id="47" w:name="_Toc15396610"/>
      <w:bookmarkStart w:id="48" w:name="_Toc15377218"/>
      <w:r>
        <w:rPr>
          <w:rFonts w:hint="eastAsia" w:ascii="仿宋_GB2312" w:hAnsi="仿宋_GB2312" w:eastAsia="仿宋_GB2312" w:cs="仿宋_GB2312"/>
          <w:b/>
          <w:bCs/>
          <w:color w:val="auto"/>
          <w:sz w:val="32"/>
          <w:szCs w:val="32"/>
          <w:highlight w:val="none"/>
        </w:rPr>
        <w:t>八、</w:t>
      </w:r>
      <w:r>
        <w:rPr>
          <w:rStyle w:val="20"/>
          <w:rFonts w:hint="eastAsia" w:ascii="仿宋_GB2312" w:hAnsi="仿宋_GB2312" w:eastAsia="仿宋_GB2312" w:cs="仿宋_GB2312"/>
          <w:b/>
          <w:bCs/>
          <w:color w:val="auto"/>
          <w:sz w:val="32"/>
          <w:szCs w:val="32"/>
          <w:highlight w:val="none"/>
        </w:rPr>
        <w:t>政府性基金预算支出决算情况说明</w:t>
      </w:r>
      <w:bookmarkEnd w:id="47"/>
      <w:bookmarkEnd w:id="48"/>
    </w:p>
    <w:p w14:paraId="6CE8080C">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4770B71D">
      <w:pPr>
        <w:numPr>
          <w:ilvl w:val="0"/>
          <w:numId w:val="0"/>
        </w:numPr>
        <w:spacing w:line="600" w:lineRule="exact"/>
        <w:outlineLvl w:val="1"/>
        <w:rPr>
          <w:rStyle w:val="20"/>
          <w:rFonts w:hint="eastAsia" w:ascii="仿宋_GB2312" w:hAnsi="仿宋_GB2312" w:eastAsia="仿宋_GB2312" w:cs="仿宋_GB2312"/>
          <w:b/>
          <w:bCs w:val="0"/>
          <w:color w:val="auto"/>
          <w:sz w:val="32"/>
          <w:szCs w:val="32"/>
          <w:highlight w:val="none"/>
        </w:rPr>
      </w:pPr>
      <w:bookmarkStart w:id="49" w:name="_Toc15396611"/>
      <w:bookmarkStart w:id="50" w:name="_Toc15377219"/>
      <w:r>
        <w:rPr>
          <w:rStyle w:val="20"/>
          <w:rFonts w:hint="eastAsia" w:ascii="仿宋_GB2312" w:hAnsi="仿宋_GB2312" w:eastAsia="仿宋_GB2312" w:cs="仿宋_GB2312"/>
          <w:b/>
          <w:bCs w:val="0"/>
          <w:color w:val="auto"/>
          <w:sz w:val="32"/>
          <w:szCs w:val="32"/>
          <w:highlight w:val="none"/>
          <w:lang w:eastAsia="zh-CN"/>
        </w:rPr>
        <w:t>九、</w:t>
      </w:r>
      <w:r>
        <w:rPr>
          <w:rStyle w:val="20"/>
          <w:rFonts w:hint="eastAsia" w:ascii="仿宋_GB2312" w:hAnsi="仿宋_GB2312" w:eastAsia="仿宋_GB2312" w:cs="仿宋_GB2312"/>
          <w:b/>
          <w:bCs w:val="0"/>
          <w:color w:val="auto"/>
          <w:sz w:val="32"/>
          <w:szCs w:val="32"/>
          <w:highlight w:val="none"/>
        </w:rPr>
        <w:t>国有资本经营预算支出决算情况说明</w:t>
      </w:r>
      <w:bookmarkEnd w:id="49"/>
      <w:bookmarkEnd w:id="50"/>
    </w:p>
    <w:p w14:paraId="410BE40E">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7D9617F4">
      <w:pPr>
        <w:numPr>
          <w:ilvl w:val="0"/>
          <w:numId w:val="0"/>
        </w:numPr>
        <w:spacing w:line="600" w:lineRule="exact"/>
        <w:outlineLvl w:val="1"/>
        <w:rPr>
          <w:rStyle w:val="20"/>
          <w:rFonts w:hint="eastAsia" w:ascii="仿宋_GB2312" w:hAnsi="仿宋_GB2312" w:eastAsia="仿宋_GB2312" w:cs="仿宋_GB2312"/>
          <w:b/>
          <w:bCs w:val="0"/>
          <w:color w:val="auto"/>
          <w:sz w:val="32"/>
          <w:szCs w:val="32"/>
          <w:highlight w:val="none"/>
        </w:rPr>
      </w:pPr>
      <w:bookmarkStart w:id="51" w:name="_Toc15377221"/>
      <w:bookmarkStart w:id="52" w:name="_Toc15396612"/>
      <w:r>
        <w:rPr>
          <w:rStyle w:val="20"/>
          <w:rFonts w:hint="eastAsia" w:ascii="仿宋_GB2312" w:hAnsi="仿宋_GB2312" w:eastAsia="仿宋_GB2312" w:cs="仿宋_GB2312"/>
          <w:b/>
          <w:bCs w:val="0"/>
          <w:color w:val="auto"/>
          <w:sz w:val="32"/>
          <w:szCs w:val="32"/>
          <w:highlight w:val="none"/>
          <w:lang w:eastAsia="zh-CN"/>
        </w:rPr>
        <w:t>十、</w:t>
      </w:r>
      <w:r>
        <w:rPr>
          <w:rStyle w:val="20"/>
          <w:rFonts w:hint="eastAsia" w:ascii="仿宋_GB2312" w:hAnsi="仿宋_GB2312" w:eastAsia="仿宋_GB2312" w:cs="仿宋_GB2312"/>
          <w:b/>
          <w:bCs w:val="0"/>
          <w:color w:val="auto"/>
          <w:sz w:val="32"/>
          <w:szCs w:val="32"/>
          <w:highlight w:val="none"/>
        </w:rPr>
        <w:t>其他重要事项的情况说明</w:t>
      </w:r>
      <w:bookmarkEnd w:id="51"/>
      <w:bookmarkEnd w:id="52"/>
    </w:p>
    <w:p w14:paraId="42A40468">
      <w:pPr>
        <w:spacing w:line="600" w:lineRule="exact"/>
        <w:outlineLvl w:val="2"/>
        <w:rPr>
          <w:rFonts w:hint="eastAsia" w:ascii="仿宋_GB2312" w:hAnsi="仿宋_GB2312" w:eastAsia="仿宋_GB2312" w:cs="仿宋_GB2312"/>
          <w:color w:val="auto"/>
          <w:sz w:val="32"/>
          <w:szCs w:val="32"/>
          <w:highlight w:val="none"/>
        </w:rPr>
      </w:pPr>
      <w:bookmarkStart w:id="53" w:name="_Toc15377222"/>
      <w:r>
        <w:rPr>
          <w:rFonts w:hint="eastAsia" w:ascii="仿宋_GB2312" w:hAnsi="仿宋_GB2312" w:eastAsia="仿宋_GB2312" w:cs="仿宋_GB2312"/>
          <w:b/>
          <w:color w:val="auto"/>
          <w:sz w:val="32"/>
          <w:szCs w:val="32"/>
          <w:highlight w:val="none"/>
        </w:rPr>
        <w:t>（一）机关运行经费支出情况</w:t>
      </w:r>
      <w:bookmarkEnd w:id="53"/>
    </w:p>
    <w:p w14:paraId="26761E41">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峨边彝族自治县融媒体中心</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年决算数持平</w:t>
      </w:r>
      <w:r>
        <w:rPr>
          <w:rFonts w:hint="eastAsia" w:ascii="仿宋_GB2312" w:hAnsi="仿宋_GB2312" w:eastAsia="仿宋_GB2312" w:cs="仿宋_GB2312"/>
          <w:color w:val="auto"/>
          <w:sz w:val="32"/>
          <w:szCs w:val="32"/>
          <w:highlight w:val="none"/>
          <w:lang w:eastAsia="zh-CN"/>
        </w:rPr>
        <w:t>。</w:t>
      </w:r>
    </w:p>
    <w:p w14:paraId="12E10E64">
      <w:pPr>
        <w:autoSpaceDE w:val="0"/>
        <w:autoSpaceDN w:val="0"/>
        <w:adjustRightInd w:val="0"/>
        <w:spacing w:line="600" w:lineRule="exact"/>
        <w:jc w:val="left"/>
        <w:outlineLvl w:val="2"/>
        <w:rPr>
          <w:rFonts w:hint="eastAsia" w:ascii="仿宋_GB2312" w:hAnsi="仿宋_GB2312" w:eastAsia="仿宋_GB2312" w:cs="仿宋_GB2312"/>
          <w:b/>
          <w:color w:val="auto"/>
          <w:sz w:val="32"/>
          <w:szCs w:val="32"/>
          <w:highlight w:val="none"/>
        </w:rPr>
      </w:pPr>
      <w:bookmarkStart w:id="54" w:name="_Toc15377223"/>
      <w:r>
        <w:rPr>
          <w:rFonts w:hint="eastAsia" w:ascii="仿宋_GB2312" w:hAnsi="仿宋_GB2312" w:eastAsia="仿宋_GB2312" w:cs="仿宋_GB2312"/>
          <w:b/>
          <w:color w:val="auto"/>
          <w:sz w:val="32"/>
          <w:szCs w:val="32"/>
          <w:highlight w:val="none"/>
        </w:rPr>
        <w:t>（二）政府采购支出情况</w:t>
      </w:r>
      <w:bookmarkEnd w:id="54"/>
    </w:p>
    <w:p w14:paraId="2A66534F">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7B845B02">
      <w:pPr>
        <w:autoSpaceDE w:val="0"/>
        <w:autoSpaceDN w:val="0"/>
        <w:adjustRightInd w:val="0"/>
        <w:spacing w:line="600" w:lineRule="exact"/>
        <w:jc w:val="left"/>
        <w:outlineLvl w:val="2"/>
        <w:rPr>
          <w:rFonts w:hint="eastAsia" w:ascii="仿宋_GB2312" w:hAnsi="仿宋_GB2312" w:eastAsia="仿宋_GB2312" w:cs="仿宋_GB2312"/>
          <w:b/>
          <w:color w:val="auto"/>
          <w:sz w:val="32"/>
          <w:szCs w:val="32"/>
          <w:highlight w:val="none"/>
        </w:rPr>
      </w:pPr>
      <w:bookmarkStart w:id="55" w:name="_Toc15377224"/>
      <w:r>
        <w:rPr>
          <w:rFonts w:hint="eastAsia" w:ascii="仿宋_GB2312" w:hAnsi="仿宋_GB2312" w:eastAsia="仿宋_GB2312" w:cs="仿宋_GB2312"/>
          <w:b/>
          <w:color w:val="auto"/>
          <w:sz w:val="32"/>
          <w:szCs w:val="32"/>
          <w:highlight w:val="none"/>
        </w:rPr>
        <w:t>（三）国有资产占有使用情况</w:t>
      </w:r>
      <w:bookmarkEnd w:id="55"/>
    </w:p>
    <w:p w14:paraId="0F519D46">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峨边彝族自治县融媒体中心</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，其他用车主要是用于</w:t>
      </w:r>
      <w:r>
        <w:rPr>
          <w:rFonts w:hint="eastAsia" w:ascii="仿宋_GB2312" w:hAnsi="仿宋_GB2312" w:eastAsia="仿宋_GB2312" w:cs="仿宋_GB2312"/>
          <w:color w:val="auto"/>
          <w:sz w:val="32"/>
          <w:szCs w:val="32"/>
          <w:highlight w:val="none"/>
        </w:rPr>
        <w:t>单价100万元以上专用设备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14:paraId="271D4092">
      <w:pPr>
        <w:autoSpaceDE w:val="0"/>
        <w:autoSpaceDN w:val="0"/>
        <w:adjustRightInd w:val="0"/>
        <w:spacing w:line="600" w:lineRule="exact"/>
        <w:jc w:val="left"/>
        <w:outlineLvl w:val="2"/>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（四）预算绩效管理情况</w:t>
      </w:r>
    </w:p>
    <w:p w14:paraId="3BA7A2F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峨边在线</w:t>
      </w:r>
      <w:r>
        <w:rPr>
          <w:rFonts w:hint="eastAsia" w:ascii="仿宋_GB2312" w:hAnsi="仿宋_GB2312" w:eastAsia="仿宋_GB2312" w:cs="仿宋_GB2312"/>
          <w:color w:val="000000"/>
          <w:kern w:val="0"/>
          <w:sz w:val="32"/>
          <w:szCs w:val="32"/>
          <w:shd w:val="clear" w:color="auto" w:fill="FFFFFF"/>
          <w:lang w:val="en-US" w:eastAsia="zh-CN"/>
        </w:rPr>
        <w:t>项目、推广服务及保障安全播出经费、数字化建设</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14:paraId="32305D3F">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峨边在线项目</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p>
    <w:p w14:paraId="71BE35DB">
      <w:pPr>
        <w:numPr>
          <w:ilvl w:val="0"/>
          <w:numId w:val="0"/>
        </w:numPr>
        <w:spacing w:line="600" w:lineRule="exact"/>
        <w:ind w:firstLine="2200" w:firstLineChars="500"/>
        <w:jc w:val="both"/>
        <w:outlineLvl w:val="0"/>
        <w:rPr>
          <w:rFonts w:hint="eastAsia" w:ascii="黑体" w:hAnsi="黑体" w:eastAsia="黑体"/>
          <w:b w:val="0"/>
          <w:bCs w:val="0"/>
          <w:color w:val="auto"/>
          <w:sz w:val="44"/>
          <w:szCs w:val="44"/>
          <w:highlight w:val="none"/>
          <w:lang w:eastAsia="zh-CN"/>
        </w:rPr>
      </w:pPr>
      <w:bookmarkStart w:id="56" w:name="_Toc15377225"/>
      <w:bookmarkStart w:id="57" w:name="_Toc15396613"/>
    </w:p>
    <w:p w14:paraId="1D313D76">
      <w:pPr>
        <w:numPr>
          <w:ilvl w:val="0"/>
          <w:numId w:val="0"/>
        </w:numPr>
        <w:spacing w:line="600" w:lineRule="exact"/>
        <w:ind w:firstLine="2200" w:firstLineChars="500"/>
        <w:jc w:val="both"/>
        <w:outlineLvl w:val="0"/>
        <w:rPr>
          <w:rFonts w:hint="eastAsia" w:ascii="黑体" w:hAnsi="黑体" w:eastAsia="黑体"/>
          <w:b w:val="0"/>
          <w:bCs w:val="0"/>
          <w:color w:val="auto"/>
          <w:sz w:val="44"/>
          <w:szCs w:val="44"/>
          <w:highlight w:val="none"/>
          <w:lang w:eastAsia="zh-CN"/>
        </w:rPr>
      </w:pPr>
    </w:p>
    <w:p w14:paraId="107F7735">
      <w:pPr>
        <w:numPr>
          <w:ilvl w:val="0"/>
          <w:numId w:val="0"/>
        </w:numPr>
        <w:spacing w:line="600" w:lineRule="exact"/>
        <w:ind w:firstLine="2200" w:firstLineChars="500"/>
        <w:jc w:val="both"/>
        <w:outlineLvl w:val="0"/>
        <w:rPr>
          <w:rFonts w:hint="eastAsia" w:ascii="黑体" w:hAnsi="黑体" w:eastAsia="黑体"/>
          <w:b w:val="0"/>
          <w:bCs w:val="0"/>
          <w:color w:val="auto"/>
          <w:sz w:val="44"/>
          <w:szCs w:val="44"/>
          <w:highlight w:val="none"/>
          <w:lang w:eastAsia="zh-CN"/>
        </w:rPr>
      </w:pPr>
    </w:p>
    <w:p w14:paraId="3AD4356A">
      <w:pPr>
        <w:numPr>
          <w:ilvl w:val="0"/>
          <w:numId w:val="0"/>
        </w:numPr>
        <w:spacing w:line="600" w:lineRule="exact"/>
        <w:ind w:firstLine="2200" w:firstLineChars="500"/>
        <w:jc w:val="both"/>
        <w:outlineLvl w:val="0"/>
        <w:rPr>
          <w:rStyle w:val="19"/>
          <w:rFonts w:ascii="黑体" w:hAnsi="黑体" w:eastAsia="黑体"/>
          <w:b w:val="0"/>
          <w:color w:val="auto"/>
          <w:highlight w:val="none"/>
        </w:rPr>
      </w:pPr>
      <w:r>
        <w:rPr>
          <w:rFonts w:hint="eastAsia" w:ascii="黑体" w:hAnsi="黑体" w:eastAsia="黑体"/>
          <w:b w:val="0"/>
          <w:bCs w:val="0"/>
          <w:color w:val="auto"/>
          <w:sz w:val="44"/>
          <w:szCs w:val="44"/>
          <w:highlight w:val="none"/>
          <w:lang w:eastAsia="zh-CN"/>
        </w:rPr>
        <w:t>第三部分</w:t>
      </w:r>
      <w:r>
        <w:rPr>
          <w:rFonts w:hint="eastAsia" w:ascii="黑体" w:hAnsi="黑体" w:eastAsia="黑体"/>
          <w:b w:val="0"/>
          <w:bCs w:val="0"/>
          <w:color w:val="auto"/>
          <w:sz w:val="44"/>
          <w:szCs w:val="44"/>
          <w:highlight w:val="none"/>
          <w:lang w:val="en-US" w:eastAsia="zh-CN"/>
        </w:rPr>
        <w:t xml:space="preserve"> </w:t>
      </w:r>
      <w:r>
        <w:rPr>
          <w:rFonts w:hint="eastAsia" w:ascii="黑体" w:hAnsi="黑体" w:eastAsia="黑体"/>
          <w:b w:val="0"/>
          <w:bCs w:val="0"/>
          <w:color w:val="auto"/>
          <w:sz w:val="44"/>
          <w:szCs w:val="44"/>
          <w:highlight w:val="none"/>
        </w:rPr>
        <w:t>名</w:t>
      </w:r>
      <w:r>
        <w:rPr>
          <w:rStyle w:val="19"/>
          <w:rFonts w:hint="eastAsia" w:ascii="黑体" w:hAnsi="黑体" w:eastAsia="黑体"/>
          <w:b w:val="0"/>
          <w:bCs w:val="0"/>
          <w:color w:val="auto"/>
          <w:highlight w:val="none"/>
        </w:rPr>
        <w:t>词解释</w:t>
      </w:r>
      <w:bookmarkEnd w:id="56"/>
      <w:bookmarkEnd w:id="57"/>
    </w:p>
    <w:p w14:paraId="7A8F3AD9">
      <w:pPr>
        <w:spacing w:line="600" w:lineRule="exact"/>
        <w:jc w:val="left"/>
        <w:rPr>
          <w:rFonts w:ascii="宋体"/>
          <w:b/>
          <w:color w:val="auto"/>
          <w:sz w:val="44"/>
          <w:szCs w:val="44"/>
          <w:highlight w:val="none"/>
        </w:rPr>
      </w:pPr>
    </w:p>
    <w:p w14:paraId="113DCBAC">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1.财政拨款收入：指单位从同级财政部门取得的财政预算资金。</w:t>
      </w:r>
    </w:p>
    <w:p w14:paraId="635CF151">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2.事业收入：指事业单位开展专业业务活动及辅助活动取得的收入。</w:t>
      </w:r>
    </w:p>
    <w:p w14:paraId="1C3414CB">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3.经营收入：指事业单位在专业业务活动及其辅助活动之外开展非独立核算经营活动取得的收入。</w:t>
      </w:r>
    </w:p>
    <w:p w14:paraId="01DD227E">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4.其他收入：指单位取得的除上述收入以外的各项收入。</w:t>
      </w:r>
    </w:p>
    <w:p w14:paraId="4B8909F2">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使用非财政拨款结余</w:t>
      </w:r>
      <w:r>
        <w:rPr>
          <w:rFonts w:hint="eastAsia" w:ascii="仿宋_GB2312" w:hAnsi="仿宋_GB2312" w:eastAsia="仿宋_GB2312" w:cs="仿宋_GB2312"/>
          <w:color w:val="auto"/>
          <w:sz w:val="32"/>
          <w:szCs w:val="32"/>
          <w:highlight w:val="none"/>
        </w:rPr>
        <w:t>：指事业单位</w:t>
      </w:r>
      <w:r>
        <w:rPr>
          <w:rFonts w:hint="eastAsia" w:ascii="仿宋_GB2312" w:hAnsi="仿宋_GB2312" w:eastAsia="仿宋_GB2312" w:cs="仿宋_GB2312"/>
          <w:color w:val="auto"/>
          <w:sz w:val="32"/>
          <w:szCs w:val="32"/>
          <w:highlight w:val="none"/>
          <w:lang w:eastAsia="zh-CN"/>
        </w:rPr>
        <w:t>使用以前年度积累的非财政拨款结余弥补当年收支差额的金额。</w:t>
      </w:r>
      <w:r>
        <w:rPr>
          <w:rFonts w:hint="eastAsia" w:ascii="仿宋_GB2312" w:hAnsi="仿宋_GB2312" w:eastAsia="仿宋_GB2312" w:cs="仿宋_GB2312"/>
          <w:color w:val="auto"/>
          <w:sz w:val="32"/>
          <w:szCs w:val="32"/>
          <w:highlight w:val="none"/>
        </w:rPr>
        <w:t xml:space="preserve"> </w:t>
      </w:r>
    </w:p>
    <w:p w14:paraId="625A4299">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6.年初结转和结余：指以前年度尚未完成、结转到本年按有关规定继续使用的资金。 </w:t>
      </w:r>
    </w:p>
    <w:p w14:paraId="3185C7A7">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7.结余分配：指事业单位按照会计制度规定</w:t>
      </w:r>
      <w:r>
        <w:rPr>
          <w:rFonts w:hint="eastAsia" w:ascii="仿宋_GB2312" w:hAnsi="仿宋_GB2312" w:eastAsia="仿宋_GB2312" w:cs="仿宋_GB2312"/>
          <w:color w:val="auto"/>
          <w:sz w:val="32"/>
          <w:szCs w:val="32"/>
          <w:highlight w:val="none"/>
          <w:lang w:eastAsia="zh-CN"/>
        </w:rPr>
        <w:t>缴纳的所得税、提取的专用结余以及转入非财政拨款结余的金额</w:t>
      </w:r>
      <w:r>
        <w:rPr>
          <w:rFonts w:hint="eastAsia" w:ascii="仿宋_GB2312" w:hAnsi="仿宋_GB2312" w:eastAsia="仿宋_GB2312" w:cs="仿宋_GB2312"/>
          <w:color w:val="auto"/>
          <w:sz w:val="32"/>
          <w:szCs w:val="32"/>
          <w:highlight w:val="none"/>
        </w:rPr>
        <w:t>等。</w:t>
      </w:r>
    </w:p>
    <w:p w14:paraId="31850B32">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14:paraId="0BEDB690">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一般公共服务（类）政府办公厅（室）及相关机构事务（款）事业运行（项）：指事业单位的基本支出，不包括行政单位（包括实行公务员管理的事业单位）后勤服务中心、编辑室等附属事业单位。基本支出主要包括：基本工资、津补贴等工资福利支出，日常运转所需办公费、印刷费、水费、电费、邮电费等商品和服务支出等。</w:t>
      </w:r>
    </w:p>
    <w:p w14:paraId="4E00397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.文化旅游体育与传媒支出（类）广播电视（款）电视（项）：指反映电视台、电视发射台、电视转播台支出</w:t>
      </w:r>
    </w:p>
    <w:p w14:paraId="41CFF1E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.社会保障和就业支出（类）行政事业单位养老支出（款）机关事业单位基本养老保险缴费支出（项）:指机关事业单位实施养老保险制度由单位缴纳的基本养老保险费支出。</w:t>
      </w:r>
    </w:p>
    <w:p w14:paraId="6F8D060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类）行政事业单位医疗（款）事业单位医疗（项）：反映财政部门集中安排的事业单位基本医疗保险缴费经费，未参加医疗保险的事业单位的公费医疗经费，按国家规定享受离休人员待遇人员的医疗经费。</w:t>
      </w:r>
    </w:p>
    <w:p w14:paraId="253A1DC6">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.卫生健康（类）行政事业单位医疗（款）公务员医疗补助（项）：指用于公务员医疗保险缴费方面支出</w:t>
      </w:r>
    </w:p>
    <w:p w14:paraId="28165AED">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.城乡社区（类）</w:t>
      </w:r>
      <w:r>
        <w:rPr>
          <w:rFonts w:hint="eastAsia" w:ascii="仿宋_GB2312" w:hAnsi="仿宋_GB2312" w:eastAsia="仿宋_GB2312" w:cs="仿宋_GB2312"/>
          <w:color w:val="auto"/>
          <w:sz w:val="32"/>
          <w:szCs w:val="32"/>
          <w:highlight w:val="none"/>
          <w:lang w:eastAsia="zh-CN"/>
        </w:rPr>
        <w:t>国有土地使用权出让收入安排的支出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国有土地使用权出让收入安排的支出（项）：指</w:t>
      </w:r>
      <w:r>
        <w:rPr>
          <w:rFonts w:hint="eastAsia" w:ascii="仿宋_GB2312" w:hAnsi="仿宋_GB2312" w:eastAsia="仿宋_GB2312" w:cs="仿宋_GB2312"/>
          <w:color w:val="auto"/>
          <w:sz w:val="32"/>
          <w:szCs w:val="32"/>
          <w:highlight w:val="none"/>
          <w:lang w:eastAsia="zh-CN"/>
        </w:rPr>
        <w:t>用于宣传事务方面支出</w:t>
      </w:r>
      <w:r>
        <w:rPr>
          <w:rFonts w:hint="eastAsia" w:ascii="仿宋_GB2312" w:hAnsi="仿宋_GB2312" w:eastAsia="仿宋_GB2312" w:cs="仿宋_GB2312"/>
          <w:color w:val="auto"/>
          <w:sz w:val="32"/>
          <w:szCs w:val="32"/>
          <w:highlight w:val="none"/>
        </w:rPr>
        <w:t>。</w:t>
      </w:r>
    </w:p>
    <w:p w14:paraId="65235CE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.住房保障支出（类）住房改革支出（款）住房公积金（项）：指行政事业单位按人力资源和社会保障部、财政部规定的基本工资和津补贴以及规定比例为职工缴纳的住房公积金。</w:t>
      </w:r>
    </w:p>
    <w:p w14:paraId="6276A8E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14:paraId="6ED5DE5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 xml:space="preserve">.项目支出：指在基本支出之外为完成特定行政任务和事业发展目标所发生的支出。 </w:t>
      </w:r>
    </w:p>
    <w:p w14:paraId="5663F5EF">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38EE69">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2C738E">
      <w:pPr>
        <w:pStyle w:val="22"/>
        <w:spacing w:line="560" w:lineRule="exact"/>
        <w:ind w:firstLine="640" w:firstLineChars="200"/>
        <w:rPr>
          <w:rFonts w:hint="eastAsia" w:ascii="仿宋_GB2312" w:hAnsi="仿宋_GB2312" w:eastAsia="仿宋_GB2312" w:cs="仿宋_GB2312"/>
          <w:color w:val="auto"/>
          <w:sz w:val="32"/>
          <w:szCs w:val="32"/>
          <w:highlight w:val="none"/>
        </w:rPr>
      </w:pPr>
    </w:p>
    <w:p w14:paraId="6EBB716F">
      <w:pPr>
        <w:spacing w:line="600" w:lineRule="exact"/>
        <w:jc w:val="center"/>
        <w:outlineLvl w:val="0"/>
        <w:rPr>
          <w:rStyle w:val="19"/>
          <w:rFonts w:hint="eastAsia" w:ascii="黑体" w:hAnsi="黑体" w:eastAsia="黑体"/>
          <w:b/>
          <w:bCs/>
          <w:color w:val="auto"/>
          <w:highlight w:val="none"/>
          <w:lang w:eastAsia="zh-CN"/>
        </w:rPr>
      </w:pPr>
      <w:bookmarkStart w:id="58" w:name="_Toc15377226"/>
      <w:r>
        <w:rPr>
          <w:rFonts w:ascii="宋体"/>
          <w:b/>
          <w:color w:val="auto"/>
          <w:sz w:val="44"/>
          <w:szCs w:val="44"/>
          <w:highlight w:val="none"/>
        </w:rPr>
        <w:br w:type="page"/>
      </w:r>
      <w:bookmarkStart w:id="59" w:name="_Toc15396614"/>
      <w:r>
        <w:rPr>
          <w:rFonts w:hint="eastAsia" w:ascii="黑体" w:hAnsi="黑体" w:eastAsia="黑体"/>
          <w:b/>
          <w:bCs/>
          <w:color w:val="auto"/>
          <w:sz w:val="44"/>
          <w:szCs w:val="44"/>
          <w:highlight w:val="none"/>
        </w:rPr>
        <w:t>第</w:t>
      </w:r>
      <w:r>
        <w:rPr>
          <w:rStyle w:val="19"/>
          <w:rFonts w:hint="eastAsia" w:ascii="黑体" w:hAnsi="黑体" w:eastAsia="黑体"/>
          <w:b/>
          <w:bCs/>
          <w:color w:val="auto"/>
          <w:highlight w:val="none"/>
        </w:rPr>
        <w:t>四部分 附件</w:t>
      </w:r>
      <w:bookmarkEnd w:id="59"/>
    </w:p>
    <w:p w14:paraId="6D59341B">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72994A26">
      <w:pPr>
        <w:keepNext w:val="0"/>
        <w:keepLines w:val="0"/>
        <w:pageBreakBefore w:val="0"/>
        <w:widowControl/>
        <w:kinsoku/>
        <w:wordWrap/>
        <w:overflowPunct/>
        <w:topLinePunct w:val="0"/>
        <w:autoSpaceDE/>
        <w:autoSpaceDN/>
        <w:bidi w:val="0"/>
        <w:spacing w:line="560" w:lineRule="exact"/>
        <w:ind w:firstLine="643" w:firstLineChars="200"/>
        <w:contextualSpacing/>
        <w:jc w:val="both"/>
        <w:textAlignment w:val="auto"/>
        <w:rPr>
          <w:rFonts w:ascii="宋体" w:hAnsi="宋体" w:eastAsia="宋体"/>
          <w:b/>
          <w:color w:val="auto"/>
          <w:sz w:val="32"/>
          <w:szCs w:val="32"/>
          <w:highlight w:val="none"/>
          <w:shd w:val="clear" w:color="auto" w:fill="FFFFFF"/>
        </w:rPr>
      </w:pPr>
      <w:r>
        <w:rPr>
          <w:rFonts w:hint="eastAsia" w:ascii="宋体" w:hAnsi="宋体"/>
          <w:b/>
          <w:color w:val="auto"/>
          <w:sz w:val="32"/>
          <w:szCs w:val="32"/>
          <w:highlight w:val="none"/>
          <w:shd w:val="clear" w:color="auto" w:fill="FFFFFF"/>
          <w:lang w:eastAsia="zh-CN"/>
        </w:rPr>
        <w:t>2024</w:t>
      </w:r>
      <w:r>
        <w:rPr>
          <w:rFonts w:hint="eastAsia" w:ascii="宋体" w:hAnsi="宋体" w:eastAsia="宋体"/>
          <w:b/>
          <w:color w:val="auto"/>
          <w:sz w:val="32"/>
          <w:szCs w:val="32"/>
          <w:highlight w:val="none"/>
          <w:shd w:val="clear" w:color="auto" w:fill="FFFFFF"/>
        </w:rPr>
        <w:t>年部门整体绩效评价报告范本</w:t>
      </w:r>
    </w:p>
    <w:p w14:paraId="1AB7EBC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964" w:firstLineChars="3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一．部门基本情况</w:t>
      </w:r>
    </w:p>
    <w:p w14:paraId="2962A2B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964" w:firstLineChars="3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bCs/>
          <w:color w:val="auto"/>
          <w:kern w:val="0"/>
          <w:sz w:val="32"/>
          <w:szCs w:val="32"/>
          <w:highlight w:val="none"/>
          <w:shd w:val="clear" w:color="auto" w:fill="FFFFFF"/>
          <w:lang w:val="zh-CN"/>
        </w:rPr>
        <w:t>（一）机构组成。</w:t>
      </w:r>
    </w:p>
    <w:p w14:paraId="1800F0C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峨边彝族自治县融媒体中心预算单位1个，其中：行政单位0个，事业单位1个。</w:t>
      </w:r>
    </w:p>
    <w:p w14:paraId="502E6CF9">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机构职能和人员概况。</w:t>
      </w:r>
    </w:p>
    <w:p w14:paraId="3259A48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贯彻落实党的理论、路线和各项宣传方针政策，把握新闻宣传基调，坚持正面宣传、团结鼓劲，为全县经济社会发展提供舆论支持；围绕县委、县政府中心工作，积极开展新闻网络内外宣传，落实全县新闻报道计划，完成上级下达的各项内外宣传和创优任务。</w:t>
      </w:r>
    </w:p>
    <w:p w14:paraId="10E26FD3">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（2）负责全县新闻业务管理和对外通联工作，抓好全县新闻网络宣传阵地和人才队伍建设。</w:t>
      </w:r>
    </w:p>
    <w:p w14:paraId="7BB487C2">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（3）协助配合上级媒体和新闻单位来县采访工作。</w:t>
      </w:r>
    </w:p>
    <w:p w14:paraId="4D62B5B6">
      <w:pPr>
        <w:pageBreakBefore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（4）负责与县内各乡镇各部门之间的沟通协调，负责县内各类具有传播功能的媒介资源管理工作，负责网络对话和舆情收集。</w:t>
      </w:r>
    </w:p>
    <w:p w14:paraId="4797AC7C">
      <w:pPr>
        <w:pageBreakBefore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（5）负责政府信息公开相关事宜。</w:t>
      </w:r>
    </w:p>
    <w:p w14:paraId="01A5E2D6">
      <w:pPr>
        <w:pageBreakBefore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（6）负责上级下发的各项网评、网宣任务。</w:t>
      </w:r>
    </w:p>
    <w:p w14:paraId="0663D19F">
      <w:pPr>
        <w:pageBreakBefore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（7）负责舆情分析研判，提供决策咨询。</w:t>
      </w:r>
    </w:p>
    <w:p w14:paraId="418111C0">
      <w:pPr>
        <w:pStyle w:val="5"/>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（8）完成县委县政府交办的其他工作任务。</w:t>
      </w:r>
    </w:p>
    <w:p w14:paraId="004AAA2E">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（9）峨边彝族自治县融媒体中心总编制17名，其中：行政编制0名，事业编制17名。在职人员总数17名，其中：行政0名，事业17名。离休0名。</w:t>
      </w:r>
    </w:p>
    <w:p w14:paraId="065038E2">
      <w:pPr>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color w:val="auto"/>
          <w:kern w:val="0"/>
          <w:sz w:val="32"/>
          <w:szCs w:val="32"/>
          <w:highlight w:val="none"/>
          <w:shd w:val="clear" w:color="auto" w:fill="FFFFFF"/>
          <w:lang w:val="zh-CN"/>
        </w:rPr>
        <w:t>年度主要工作任务</w:t>
      </w:r>
    </w:p>
    <w:p w14:paraId="2B00F246">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目标任务完成情况。一是“爱峨边”手机客户端改版升级。将党史学习、秘境峨边等栏目分别整合到学精神话落实、全域旅游峨边行栏目，使栏目板块更加合理化；及时刊发各部门及乡镇的动态信息、办事流程、政策等相关信息，提高平台内容的多样性及吸引力；多平台推出客户端下载二维码，加大爱峨边APP推广力度。二是自治县成立40周年宣传报道。深入挖掘峨边特色亮点、立体展示40年来峨边发展成就等，增设峨边光影、民族团结等4个县庆专栏，累计发布老旧峨边照片140余期，《寻找照片中的你》专栏12期，“现场直击！群众巡游展风采 盛景欢歌迎县庆”等图文信息394条。拍摄《今昔岁月、同框“城”长 ，美好记忆、美丽蜕变》《感恩奋进迎县庆 最美祝福送峨边》等100余条短视频，营造了浓厚的县庆氛围。目前，正全力以赴拍摄“40年·40人”系列短片，展现40年来广大干部群众砥砺奋进、追赶进位的拼搏精神，拍摄《我们的瞬间》，展现为县庆默默付出的工作人员精彩瞬间。三是市场化、多元化运营情况。制定完善了《峨边彝族自治县融媒体中心关于媒体融合发展市场化多元化运营方案》为进一步推动传统媒体和新兴媒体在平台管理、内容生产、人才引进等方面奠定了基础。</w:t>
      </w:r>
    </w:p>
    <w:p w14:paraId="1B74DB82">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创先争优情况。中心原创作品《寻找照片中的你》获得2024年度宣传乐山“好新闻”奖；中心获峨边彝族自治县成立40周年庆祝活动先进集体荣誉称号。中心干部吴映辉先后获得《中共乐山市委宣传部关于表扬2023年度乐山市宣传思想文化工作优秀集体和优秀个人及单项工作优秀单位的通报》、2024年度乐山市新闻工作成绩突出个人、全县党政机关公文写作技能比赛二等奖；李剑、肖良海获峨边彝族自治县成立40年庆祝活动先进个人称号。</w:t>
      </w:r>
    </w:p>
    <w:p w14:paraId="15EC95B8">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三）巩固脱贫成果任务落实情况。派驻一名驻村干部和11名在编在岗干部职工联系帮扶双九村45户脱贫户、1户监测户，每月定期深入联系户家中指导移风易俗、宣传帮扶政策，精准掌握所联系的脱贫户、监测户基地情况，制定行之有效的帮扶措施，积极引导群众通过务工、发展“五小产业”，实现稳定增收，所帮扶的群众均实现稳步增收，在乡村振兴实绩考核县级调度中，联户干部吉部志根帮扶成效得到县委主要领导的肯定。彝历新年期间，中心从办公经费中拨出2万元购买慰问物资，会同双九村委会全覆盖慰问双九村群众，全面提升群众的幸福感、认可度。</w:t>
      </w:r>
    </w:p>
    <w:p w14:paraId="3032AD5A">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四）舆情、信访、安全播出情况。健全舆情应急机制，完善应急工作体系，采取“人工+智能”方式，落实专人24小时网络监测，共监测舆情信息70838条，预警1362条，转发48条，推送42条。接到信访件8件，其中心连心反馈问题7件，乐山海棠社区“民意上传”问政栏目1件，所反映问题均已及时回复并得到反映群众认可。安全播出方面，全年对消防设备、安全播出等检查64次，不定期对制播设施进行维护，成功处理节目编排操作等技术故障7次，确保了融媒体平台的稳定运行。</w:t>
      </w:r>
    </w:p>
    <w:p w14:paraId="11149CDA">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五）特色亮点及工作成效。紧紧围绕全县中心工作，畅通乡镇、部门信息互通机制，常态化召开编委会20余次，落实平台责任人负责制，严格执行“三审三校”制度，采取“人工+智能”方式，加强信息巡查监测，全年内宣发布图文信息7798条，视频信息987条。中省市级主流媒体采用1246条，其中，国家级166条、省级476条、市级603条，同比去年增加198条。</w:t>
      </w:r>
    </w:p>
    <w:p w14:paraId="29E5580D">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1、原创作品《野生娃娃鱼现身大渡河 警民救助合力放生》被中央广播电视台新闻联播、财经频道等多频道采用；</w:t>
      </w:r>
    </w:p>
    <w:p w14:paraId="35029294">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2、原创作品《【金秋十月 活力中国】四川乐山 青山绿水迎客来 文旅融合促发展》被中央广播电视台采用；</w:t>
      </w:r>
    </w:p>
    <w:p w14:paraId="6E3E48F9">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3、原创作品微博“今日峨边”发布的《好是中秋圆月，分明天下人知。抬头仰望，别浪费了月光！一组来自小凉山峨边彝族自治县的月亮送给你～》被CCTV中国电视报转发；</w:t>
      </w:r>
    </w:p>
    <w:p w14:paraId="6231995A">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4、中心与新华社共创《四川乐山峨边新林镇镇长韩平跳《爱你》，网友：他甚至比所有人卡点都准》《“在这，就是峨边人！”——小凉山里的大团结》《新华访谈•是你呀|新林镇镇长变“王心凌男孩”：欢迎大家来玩！》等系列稿件视频，多角度宣传报道峨边；</w:t>
      </w:r>
    </w:p>
    <w:p w14:paraId="6F66C16F">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5、原创作品《听，勇敢的妞妞在歌唱》经发布后受到省市媒体争相报道，引发爱心企业、人士捐款捐物；</w:t>
      </w:r>
    </w:p>
    <w:p w14:paraId="3EECF533">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6、直播“峨边彝族自治县成立40周年庆祝大会暨铸牢中华民族共同体意识文化展演”活动，累计观看人数达11余万人次，取得历史最好成绩。</w:t>
      </w:r>
    </w:p>
    <w:p w14:paraId="775D9E77">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六）党的建设工作。一是认真落实“三会一课”，组织开展了组织生活会1次、专题党课3次、主题党日活动及党员大会11次，学习贯彻习近平总书记重要讲话精神和党中央、省、市、县重要会议精神，增强“四个意识”、坚定“四个自信”、做到“两个维护”，始终保持政治定力。二是扎实开展党纪学习教育、“节奏更快、效率更高、质量更优”主题实践活动，引导全体党员干部全面紧起来、动起来、跑起来，保持昂扬向上的精神状态和奋发有为的工作作风。</w:t>
      </w:r>
    </w:p>
    <w:p w14:paraId="760AABDD">
      <w:pPr>
        <w:pStyle w:val="5"/>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七）意识形态工作。全年召开6次理论学习中心组学习会议，深入学习《习近平总书记关于党的建设的重要思想》《中国共产党党员网络行为规定》等，加强理论武装和政治建设，提高理论素养、科学决策水平和创新能力；召开中心主任办公会、干部职工会共25次，学习贯彻习近平新时代中国特色社会主义思想和党的二十届三中全会精神，提升干部职工政治素养；召开意识形态、网络意识形态领域形势分析研判3次，形成研判报告报送县委宣传部；意识形态省委巡视中发现“爱峨边”融媒APP下载量较低、内容更新不及时等4个问题完成整改，并建立长效机制杜绝此类问题的发生。</w:t>
      </w:r>
      <w:r>
        <w:rPr>
          <w:rFonts w:hint="eastAsia" w:ascii="仿宋_GB2312" w:hAnsi="仿宋_GB2312" w:eastAsia="仿宋_GB2312" w:cs="仿宋_GB2312"/>
          <w:b/>
          <w:bCs/>
          <w:color w:val="auto"/>
          <w:kern w:val="0"/>
          <w:sz w:val="32"/>
          <w:szCs w:val="32"/>
          <w:highlight w:val="none"/>
          <w:shd w:val="clear" w:color="auto" w:fill="FFFFFF"/>
          <w:lang w:val="zh-CN"/>
        </w:rPr>
        <w:t>（三）部门整体支出绩效目标。</w:t>
      </w:r>
    </w:p>
    <w:p w14:paraId="2272502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单位实行预算管理制度，根据财政局每年下发文件进行相应的预算管理编制和提交。严格预算执行，及时向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的最大效用，实现预算管理的目标与效果。</w:t>
      </w:r>
    </w:p>
    <w:p w14:paraId="4FA623D8">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eastAsia="zh-CN"/>
        </w:rPr>
        <w:t>部门</w:t>
      </w:r>
      <w:r>
        <w:rPr>
          <w:rFonts w:hint="eastAsia" w:ascii="仿宋_GB2312" w:hAnsi="仿宋_GB2312" w:eastAsia="仿宋_GB2312" w:cs="仿宋_GB2312"/>
          <w:color w:val="auto"/>
          <w:kern w:val="0"/>
          <w:sz w:val="32"/>
          <w:szCs w:val="32"/>
          <w:highlight w:val="none"/>
          <w:shd w:val="clear" w:color="auto" w:fill="FFFFFF"/>
        </w:rPr>
        <w:t>资金收支情况</w:t>
      </w:r>
    </w:p>
    <w:p w14:paraId="56364AB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本单位2024年财政拨款收支426.45万元，其中上级资金  0万元，县级资金426.45万元。</w:t>
      </w:r>
    </w:p>
    <w:p w14:paraId="1054AB46">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（一）部门总体收支情况。</w:t>
      </w:r>
    </w:p>
    <w:p w14:paraId="4B9FFEAE">
      <w:pPr>
        <w:keepNext w:val="0"/>
        <w:keepLines w:val="0"/>
        <w:pageBreakBefore w:val="0"/>
        <w:widowControl/>
        <w:kinsoku/>
        <w:wordWrap/>
        <w:overflowPunct/>
        <w:topLinePunct w:val="0"/>
        <w:autoSpaceDE/>
        <w:autoSpaceDN/>
        <w:bidi w:val="0"/>
        <w:adjustRightInd w:val="0"/>
        <w:snapToGrid w:val="0"/>
        <w:spacing w:line="600" w:lineRule="exact"/>
        <w:ind w:firstLine="960" w:firstLineChars="3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14:paraId="3C2DFF2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本单位2024年财政拨款预算收入426.45万元，其中上级资金  0万元，县级资金426.45万元。</w:t>
      </w:r>
    </w:p>
    <w:p w14:paraId="2516AE3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40" w:left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14:paraId="7617AEA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40" w:leftChars="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本单位2024年财政拨款支出426.45万元，其中上级资金  0万元，县级资金426.45万元。</w:t>
      </w:r>
    </w:p>
    <w:p w14:paraId="614ED2ED">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left="0" w:leftChars="0" w:firstLine="640"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14:paraId="38D7F6E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40" w:leftChars="0"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本单位2024年财政资金结转0万元，结余资金0万元。</w:t>
      </w:r>
    </w:p>
    <w:p w14:paraId="668FF641">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（二）部门财政拨款收支情况。</w:t>
      </w:r>
    </w:p>
    <w:p w14:paraId="6030ABA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14:paraId="30ED084F">
      <w:pPr>
        <w:keepNext w:val="0"/>
        <w:keepLines w:val="0"/>
        <w:pageBreakBefore w:val="0"/>
        <w:widowControl/>
        <w:kinsoku/>
        <w:wordWrap/>
        <w:overflowPunct/>
        <w:topLinePunct w:val="0"/>
        <w:autoSpaceDE/>
        <w:autoSpaceDN/>
        <w:bidi w:val="0"/>
        <w:adjustRightInd w:val="0"/>
        <w:snapToGrid w:val="0"/>
        <w:spacing w:line="600" w:lineRule="exact"/>
        <w:ind w:firstLine="1600" w:firstLineChars="5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本单位2024年财政拨款预算收入426.45万元，其中上级资金  0万元，县级资金426.45万元。</w:t>
      </w:r>
    </w:p>
    <w:p w14:paraId="0E0A04D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14:paraId="2545C80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1280" w:firstLineChars="4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本单位2024年财政拨款支出426.45万元，其中上级资金  0万元，县级资金426.45万元。</w:t>
      </w:r>
    </w:p>
    <w:p w14:paraId="386B4677">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left="0" w:leftChars="0" w:firstLine="640"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14:paraId="57C3CA3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40" w:leftChars="0"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本单位2024年财政资金结转0万元，结余资金0万元。</w:t>
      </w:r>
    </w:p>
    <w:p w14:paraId="3542E609">
      <w:pPr>
        <w:keepNext w:val="0"/>
        <w:keepLines w:val="0"/>
        <w:pageBreakBefore w:val="0"/>
        <w:widowControl/>
        <w:kinsoku/>
        <w:wordWrap/>
        <w:overflowPunct/>
        <w:topLinePunct w:val="0"/>
        <w:autoSpaceDE/>
        <w:autoSpaceDN/>
        <w:bidi w:val="0"/>
        <w:adjustRightInd w:val="0"/>
        <w:snapToGrid w:val="0"/>
        <w:spacing w:line="600" w:lineRule="exact"/>
        <w:ind w:firstLine="883" w:firstLineChars="200"/>
        <w:contextualSpacing/>
        <w:jc w:val="left"/>
        <w:textAlignment w:val="auto"/>
        <w:rPr>
          <w:rFonts w:hint="eastAsia" w:ascii="仿宋_GB2312" w:hAnsi="仿宋_GB2312" w:eastAsia="仿宋_GB2312" w:cs="仿宋_GB2312"/>
          <w:b/>
          <w:bCs/>
          <w:color w:val="auto"/>
          <w:kern w:val="0"/>
          <w:sz w:val="44"/>
          <w:szCs w:val="44"/>
          <w:highlight w:val="none"/>
          <w:shd w:val="clear" w:color="auto" w:fill="FFFFFF"/>
        </w:rPr>
      </w:pPr>
      <w:r>
        <w:rPr>
          <w:rFonts w:hint="eastAsia" w:ascii="仿宋_GB2312" w:hAnsi="仿宋_GB2312" w:eastAsia="仿宋_GB2312" w:cs="仿宋_GB2312"/>
          <w:b/>
          <w:bCs/>
          <w:color w:val="auto"/>
          <w:kern w:val="0"/>
          <w:sz w:val="44"/>
          <w:szCs w:val="44"/>
          <w:highlight w:val="none"/>
          <w:shd w:val="clear" w:color="auto" w:fill="FFFFFF"/>
        </w:rPr>
        <w:t>三、</w:t>
      </w:r>
      <w:r>
        <w:rPr>
          <w:rFonts w:hint="eastAsia" w:ascii="仿宋_GB2312" w:hAnsi="仿宋_GB2312" w:eastAsia="仿宋_GB2312" w:cs="仿宋_GB2312"/>
          <w:b/>
          <w:bCs/>
          <w:color w:val="auto"/>
          <w:kern w:val="0"/>
          <w:sz w:val="44"/>
          <w:szCs w:val="44"/>
          <w:highlight w:val="none"/>
          <w:u w:val="none"/>
          <w:shd w:val="clear" w:color="auto" w:fill="FFFFFF"/>
        </w:rPr>
        <w:t>部门整体绩效</w:t>
      </w:r>
      <w:r>
        <w:rPr>
          <w:rFonts w:hint="eastAsia" w:ascii="仿宋_GB2312" w:hAnsi="仿宋_GB2312" w:eastAsia="仿宋_GB2312" w:cs="仿宋_GB2312"/>
          <w:b/>
          <w:bCs/>
          <w:color w:val="auto"/>
          <w:kern w:val="0"/>
          <w:sz w:val="44"/>
          <w:szCs w:val="44"/>
          <w:highlight w:val="none"/>
          <w:u w:val="none"/>
          <w:shd w:val="clear" w:color="auto" w:fill="FFFFFF"/>
          <w:lang w:eastAsia="zh-CN"/>
        </w:rPr>
        <w:t>分析</w:t>
      </w:r>
    </w:p>
    <w:p w14:paraId="79048BF3">
      <w:pPr>
        <w:keepNext w:val="0"/>
        <w:keepLines w:val="0"/>
        <w:pageBreakBefore w:val="0"/>
        <w:widowControl/>
        <w:kinsoku/>
        <w:wordWrap/>
        <w:overflowPunct/>
        <w:topLinePunct w:val="0"/>
        <w:autoSpaceDE/>
        <w:autoSpaceDN/>
        <w:bidi w:val="0"/>
        <w:adjustRightInd w:val="0"/>
        <w:snapToGrid w:val="0"/>
        <w:spacing w:line="600" w:lineRule="exact"/>
        <w:ind w:firstLine="1285" w:firstLineChars="4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rPr>
        <w:t>（一）部门预算项目绩效分析。</w:t>
      </w:r>
    </w:p>
    <w:p w14:paraId="2F4B136C">
      <w:pPr>
        <w:keepNext w:val="0"/>
        <w:keepLines w:val="0"/>
        <w:pageBreakBefore w:val="0"/>
        <w:widowControl/>
        <w:kinsoku/>
        <w:wordWrap/>
        <w:overflowPunct/>
        <w:topLinePunct w:val="0"/>
        <w:autoSpaceDE/>
        <w:autoSpaceDN/>
        <w:bidi w:val="0"/>
        <w:adjustRightInd w:val="0"/>
        <w:snapToGrid w:val="0"/>
        <w:spacing w:line="600" w:lineRule="exact"/>
        <w:ind w:firstLine="1280" w:firstLineChars="400"/>
        <w:contextualSpacing/>
        <w:jc w:val="left"/>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1.人员类项目绩效分析</w:t>
      </w:r>
    </w:p>
    <w:p w14:paraId="487875E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部控制制度和内部稽核、审批、审查制度，完善内部支出管理，强化内部约束，不断降低本单位运行成本。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动态调整，使资金充分发挥有效作用更好地为各项工作服务，使预算工作有序、圆满完成，无违规现象。</w:t>
      </w:r>
    </w:p>
    <w:p w14:paraId="06971D9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14:paraId="3501924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2024年本单位无100万以上项目。</w:t>
      </w:r>
    </w:p>
    <w:p w14:paraId="5E35496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3.特定目标类项目绩效分析</w:t>
      </w:r>
    </w:p>
    <w:p w14:paraId="186E78B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2024年本单位无100万以上项目。</w:t>
      </w:r>
    </w:p>
    <w:p w14:paraId="362B8C8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（二）部门整体履职绩效分析。</w:t>
      </w:r>
    </w:p>
    <w:p w14:paraId="405EA29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部控制制度和内部稽核、审批、审查制度，完善内部支出管理，强化内部约束，不断降低本单位运行成本。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动态调整，使资金充分发挥有效作用更好地为各项工作服务，使预算工作有序、圆满完成，无违规现象。</w:t>
      </w:r>
    </w:p>
    <w:p w14:paraId="4921F97A">
      <w:pPr>
        <w:keepNext w:val="0"/>
        <w:keepLines w:val="0"/>
        <w:pageBreakBefore w:val="0"/>
        <w:widowControl/>
        <w:kinsoku/>
        <w:wordWrap/>
        <w:overflowPunct/>
        <w:topLinePunct w:val="0"/>
        <w:autoSpaceDE/>
        <w:autoSpaceDN/>
        <w:bidi w:val="0"/>
        <w:adjustRightInd w:val="0"/>
        <w:snapToGrid w:val="0"/>
        <w:spacing w:line="600" w:lineRule="exact"/>
        <w:ind w:firstLine="321" w:firstLineChars="1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（三）结果应用情况。</w:t>
      </w:r>
    </w:p>
    <w:p w14:paraId="473CB3A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1280" w:firstLineChars="4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7C86A2F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321" w:firstLineChars="1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(四)</w:t>
      </w:r>
      <w:r>
        <w:rPr>
          <w:rFonts w:hint="eastAsia" w:ascii="仿宋_GB2312" w:hAnsi="仿宋_GB2312" w:eastAsia="仿宋_GB2312" w:cs="仿宋_GB2312"/>
          <w:b/>
          <w:bCs/>
          <w:color w:val="auto"/>
          <w:kern w:val="0"/>
          <w:sz w:val="32"/>
          <w:szCs w:val="32"/>
          <w:highlight w:val="none"/>
          <w:shd w:val="clear" w:color="auto" w:fill="FFFFFF"/>
          <w:lang w:val="zh-CN"/>
        </w:rPr>
        <w:t>自评质量。</w:t>
      </w:r>
    </w:p>
    <w:p w14:paraId="46BFB58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根据《峨边彝族自治县财政局 关于开展2024年财政绩效评价工作的通知》文件精神，县融媒体中心认真组织开展了部门整体支出绩效评价工作，绩效评价得分：98分。</w:t>
      </w:r>
    </w:p>
    <w:p w14:paraId="55166DA4">
      <w:pPr>
        <w:keepNext w:val="0"/>
        <w:keepLines w:val="0"/>
        <w:pageBreakBefore w:val="0"/>
        <w:widowControl/>
        <w:kinsoku/>
        <w:wordWrap/>
        <w:overflowPunct/>
        <w:topLinePunct w:val="0"/>
        <w:autoSpaceDE/>
        <w:autoSpaceDN/>
        <w:bidi w:val="0"/>
        <w:adjustRightInd w:val="0"/>
        <w:snapToGrid w:val="0"/>
        <w:spacing w:line="600" w:lineRule="exact"/>
        <w:ind w:firstLine="321" w:firstLineChars="1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四、评价结论及建议</w:t>
      </w:r>
    </w:p>
    <w:p w14:paraId="235E7CAB">
      <w:pPr>
        <w:keepNext w:val="0"/>
        <w:keepLines w:val="0"/>
        <w:pageBreakBefore w:val="0"/>
        <w:widowControl/>
        <w:kinsoku/>
        <w:wordWrap/>
        <w:overflowPunct/>
        <w:topLinePunct w:val="0"/>
        <w:autoSpaceDE/>
        <w:autoSpaceDN/>
        <w:bidi w:val="0"/>
        <w:adjustRightInd w:val="0"/>
        <w:snapToGrid w:val="0"/>
        <w:spacing w:line="600" w:lineRule="exact"/>
        <w:ind w:firstLine="321" w:firstLineChars="100"/>
        <w:contextualSpacing/>
        <w:jc w:val="left"/>
        <w:textAlignment w:val="auto"/>
        <w:rPr>
          <w:rFonts w:hint="eastAsia" w:ascii="仿宋_GB2312" w:hAnsi="仿宋_GB2312" w:eastAsia="仿宋_GB2312" w:cs="仿宋_GB2312"/>
          <w:b/>
          <w:bCs/>
          <w:color w:val="000000" w:themeColor="text1"/>
          <w:kern w:val="0"/>
          <w:sz w:val="32"/>
          <w:szCs w:val="32"/>
          <w:highlight w:val="none"/>
          <w:shd w:val="clear" w:color="auto" w:fill="FFFFFF"/>
          <w:lang w:val="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shd w:val="clear" w:color="auto" w:fill="FFFFFF"/>
          <w:lang w:val="zh-CN"/>
          <w14:textFill>
            <w14:solidFill>
              <w14:schemeClr w14:val="tx1"/>
            </w14:solidFill>
          </w14:textFill>
        </w:rPr>
        <w:t>（一）评价结论。</w:t>
      </w:r>
    </w:p>
    <w:p w14:paraId="457E0FAB">
      <w:pPr>
        <w:keepNext w:val="0"/>
        <w:keepLines w:val="0"/>
        <w:pageBreakBefore w:val="0"/>
        <w:widowControl/>
        <w:kinsoku/>
        <w:wordWrap/>
        <w:overflowPunct/>
        <w:topLinePunct w:val="0"/>
        <w:autoSpaceDE/>
        <w:autoSpaceDN/>
        <w:bidi w:val="0"/>
        <w:adjustRightInd w:val="0"/>
        <w:snapToGrid w:val="0"/>
        <w:spacing w:line="600" w:lineRule="exact"/>
        <w:ind w:firstLine="1280" w:firstLineChars="4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根据《峨边彝族自治县财政局 关于开展2024年财政绩效评价工作的通知》文件精神，县融媒体中心认真组织开展了部门整体支出绩效评价工作，绩效评价得分：9</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zh-CN"/>
        </w:rPr>
        <w:t>分。</w:t>
      </w:r>
    </w:p>
    <w:p w14:paraId="6B83C68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color w:val="auto"/>
          <w:kern w:val="0"/>
          <w:sz w:val="32"/>
          <w:szCs w:val="32"/>
          <w:highlight w:val="none"/>
          <w:shd w:val="clear" w:color="auto" w:fill="FFFFFF"/>
          <w:lang w:val="zh-CN"/>
        </w:rPr>
        <w:t>（二）存在问题。</w:t>
      </w:r>
    </w:p>
    <w:p w14:paraId="46D5006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1280" w:firstLineChars="4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zh-CN"/>
        </w:rPr>
        <w:t>预算不够细化、精准。</w:t>
      </w:r>
    </w:p>
    <w:p w14:paraId="789AF2C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firstLine="321" w:firstLineChars="1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bCs/>
          <w:color w:val="auto"/>
          <w:kern w:val="0"/>
          <w:sz w:val="32"/>
          <w:szCs w:val="32"/>
          <w:highlight w:val="none"/>
          <w:shd w:val="clear" w:color="auto" w:fill="FFFFFF"/>
          <w:lang w:val="zh-CN"/>
        </w:rPr>
        <w:t>（三）改进建议。</w:t>
      </w:r>
    </w:p>
    <w:p w14:paraId="656A498F">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leftChars="200" w:firstLine="640" w:firstLineChars="2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认真做好预算的编制，细化预算编制工作，优先保障民生费用支出项目。</w:t>
      </w:r>
    </w:p>
    <w:p w14:paraId="1A757B45">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left="420" w:leftChars="200" w:firstLine="640" w:firstLineChars="2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加强财务管理，严格财务审批，完善内控制度建设，提高资金使用效能。</w:t>
      </w:r>
    </w:p>
    <w:p w14:paraId="33F381AB">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left="420" w:leftChars="200" w:firstLine="640" w:firstLineChars="2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完善管理制度，进一步加强资产管理；</w:t>
      </w:r>
    </w:p>
    <w:p w14:paraId="56DD6AF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400" w:firstLine="320" w:firstLineChars="100"/>
        <w:contextualSpacing/>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4、加强财务专业知识学习</w:t>
      </w:r>
      <w:r>
        <w:rPr>
          <w:rFonts w:hint="eastAsia" w:ascii="仿宋_GB2312" w:hAnsi="仿宋_GB2312" w:eastAsia="仿宋_GB2312" w:cs="仿宋_GB2312"/>
          <w:b w:val="0"/>
          <w:bCs w:val="0"/>
          <w:sz w:val="32"/>
          <w:szCs w:val="32"/>
          <w:lang w:val="en-US" w:eastAsia="zh-CN"/>
        </w:rPr>
        <w:t>与</w:t>
      </w:r>
      <w:r>
        <w:rPr>
          <w:rFonts w:hint="eastAsia" w:ascii="仿宋_GB2312" w:hAnsi="仿宋_GB2312" w:eastAsia="仿宋_GB2312" w:cs="仿宋_GB2312"/>
          <w:b w:val="0"/>
          <w:bCs w:val="0"/>
          <w:sz w:val="32"/>
          <w:szCs w:val="32"/>
          <w:lang w:val="zh-CN"/>
        </w:rPr>
        <w:t>培训。</w:t>
      </w:r>
    </w:p>
    <w:p w14:paraId="59B84686">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zh-CN" w:eastAsia="zh-CN"/>
        </w:rPr>
      </w:pPr>
    </w:p>
    <w:p w14:paraId="1EEE3402">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w:t>
      </w:r>
      <w:r>
        <w:rPr>
          <w:rFonts w:hint="eastAsia"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年度）</w:t>
      </w:r>
    </w:p>
    <w:p w14:paraId="74FEDD37">
      <w:pPr>
        <w:pStyle w:val="14"/>
        <w:keepNext w:val="0"/>
        <w:keepLines w:val="0"/>
        <w:pageBreakBefore w:val="0"/>
        <w:numPr>
          <w:ilvl w:val="0"/>
          <w:numId w:val="0"/>
        </w:numPr>
        <w:kinsoku/>
        <w:wordWrap/>
        <w:overflowPunct/>
        <w:topLinePunct w:val="0"/>
        <w:autoSpaceDE/>
        <w:autoSpaceDN/>
        <w:bidi w:val="0"/>
        <w:spacing w:line="240" w:lineRule="auto"/>
        <w:textAlignment w:val="auto"/>
        <w:rPr>
          <w:rFonts w:hint="default" w:hAnsi="Times New Roman" w:cs="Times New Roman"/>
          <w:color w:val="auto"/>
          <w:sz w:val="32"/>
          <w:szCs w:val="32"/>
          <w:highlight w:val="none"/>
          <w:lang w:val="en-US" w:eastAsia="zh-CN"/>
        </w:rPr>
      </w:pPr>
      <w:r>
        <w:rPr>
          <w:rFonts w:hint="default" w:hAnsi="Times New Roman" w:cs="Times New Roman"/>
          <w:color w:val="auto"/>
          <w:sz w:val="32"/>
          <w:szCs w:val="32"/>
          <w:highlight w:val="none"/>
          <w:lang w:val="en-US" w:eastAsia="zh-CN"/>
        </w:rPr>
        <w:drawing>
          <wp:inline distT="0" distB="0" distL="114300" distR="114300">
            <wp:extent cx="5482590" cy="4077335"/>
            <wp:effectExtent l="0" t="0" r="3810" b="6985"/>
            <wp:docPr id="2" name="图片 2" descr="评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评分"/>
                    <pic:cNvPicPr>
                      <a:picLocks noChangeAspect="1"/>
                    </pic:cNvPicPr>
                  </pic:nvPicPr>
                  <pic:blipFill>
                    <a:blip r:embed="rId13"/>
                    <a:stretch>
                      <a:fillRect/>
                    </a:stretch>
                  </pic:blipFill>
                  <pic:spPr>
                    <a:xfrm>
                      <a:off x="0" y="0"/>
                      <a:ext cx="5482590" cy="4077335"/>
                    </a:xfrm>
                    <a:prstGeom prst="rect">
                      <a:avLst/>
                    </a:prstGeom>
                  </pic:spPr>
                </pic:pic>
              </a:graphicData>
            </a:graphic>
          </wp:inline>
        </w:drawing>
      </w:r>
    </w:p>
    <w:p w14:paraId="75045E48">
      <w:pPr>
        <w:pStyle w:val="14"/>
        <w:keepNext w:val="0"/>
        <w:keepLines w:val="0"/>
        <w:pageBreakBefore w:val="0"/>
        <w:numPr>
          <w:ilvl w:val="0"/>
          <w:numId w:val="0"/>
        </w:numPr>
        <w:kinsoku/>
        <w:wordWrap/>
        <w:overflowPunct/>
        <w:topLinePunct w:val="0"/>
        <w:autoSpaceDE/>
        <w:autoSpaceDN/>
        <w:bidi w:val="0"/>
        <w:spacing w:line="240" w:lineRule="auto"/>
        <w:textAlignment w:val="auto"/>
        <w:rPr>
          <w:rFonts w:hint="default" w:hAnsi="Times New Roman" w:cs="Times New Roman"/>
          <w:color w:val="auto"/>
          <w:sz w:val="32"/>
          <w:szCs w:val="32"/>
          <w:highlight w:val="none"/>
          <w:lang w:val="en-US" w:eastAsia="zh-CN"/>
        </w:rPr>
      </w:pPr>
      <w:r>
        <w:rPr>
          <w:rFonts w:hint="default" w:hAnsi="Times New Roman" w:cs="Times New Roman"/>
          <w:color w:val="auto"/>
          <w:sz w:val="32"/>
          <w:szCs w:val="32"/>
          <w:highlight w:val="none"/>
          <w:lang w:val="en-US" w:eastAsia="zh-CN"/>
        </w:rPr>
        <w:drawing>
          <wp:inline distT="0" distB="0" distL="114300" distR="114300">
            <wp:extent cx="5562600" cy="2655570"/>
            <wp:effectExtent l="0" t="0" r="0" b="11430"/>
            <wp:docPr id="4" name="图片 4" descr="评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评分2"/>
                    <pic:cNvPicPr>
                      <a:picLocks noChangeAspect="1"/>
                    </pic:cNvPicPr>
                  </pic:nvPicPr>
                  <pic:blipFill>
                    <a:blip r:embed="rId14"/>
                    <a:stretch>
                      <a:fillRect/>
                    </a:stretch>
                  </pic:blipFill>
                  <pic:spPr>
                    <a:xfrm>
                      <a:off x="0" y="0"/>
                      <a:ext cx="5562600" cy="2655570"/>
                    </a:xfrm>
                    <a:prstGeom prst="rect">
                      <a:avLst/>
                    </a:prstGeom>
                  </pic:spPr>
                </pic:pic>
              </a:graphicData>
            </a:graphic>
          </wp:inline>
        </w:drawing>
      </w:r>
    </w:p>
    <w:p w14:paraId="4BE7E911">
      <w:pPr>
        <w:pStyle w:val="8"/>
        <w:rPr>
          <w:rFonts w:hint="eastAsia" w:hAnsi="宋体" w:cs="宋体"/>
          <w:color w:val="auto"/>
          <w:kern w:val="0"/>
          <w:sz w:val="32"/>
          <w:szCs w:val="32"/>
          <w:highlight w:val="none"/>
          <w:shd w:val="clear" w:color="auto" w:fill="FFFFFF"/>
          <w:lang w:val="zh-CN"/>
        </w:rPr>
      </w:pPr>
    </w:p>
    <w:p w14:paraId="1AEC1E9A">
      <w:pPr>
        <w:pStyle w:val="8"/>
        <w:rPr>
          <w:rFonts w:hint="eastAsia" w:hAnsi="宋体" w:cs="宋体"/>
          <w:color w:val="auto"/>
          <w:kern w:val="0"/>
          <w:sz w:val="32"/>
          <w:szCs w:val="32"/>
          <w:highlight w:val="none"/>
          <w:shd w:val="clear" w:color="auto" w:fill="FFFFFF"/>
          <w:lang w:val="zh-CN"/>
        </w:rPr>
      </w:pPr>
    </w:p>
    <w:p w14:paraId="232BA663">
      <w:pPr>
        <w:pStyle w:val="8"/>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drawing>
          <wp:inline distT="0" distB="0" distL="114300" distR="114300">
            <wp:extent cx="5271770" cy="2353310"/>
            <wp:effectExtent l="0" t="0" r="1270" b="8890"/>
            <wp:docPr id="7" name="图片 7" descr="微信图片_20251019121338_39_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019121338_39_141"/>
                    <pic:cNvPicPr>
                      <a:picLocks noChangeAspect="1"/>
                    </pic:cNvPicPr>
                  </pic:nvPicPr>
                  <pic:blipFill>
                    <a:blip r:embed="rId15"/>
                    <a:stretch>
                      <a:fillRect/>
                    </a:stretch>
                  </pic:blipFill>
                  <pic:spPr>
                    <a:xfrm>
                      <a:off x="0" y="0"/>
                      <a:ext cx="5271770" cy="2353310"/>
                    </a:xfrm>
                    <a:prstGeom prst="rect">
                      <a:avLst/>
                    </a:prstGeom>
                  </pic:spPr>
                </pic:pic>
              </a:graphicData>
            </a:graphic>
          </wp:inline>
        </w:drawing>
      </w:r>
    </w:p>
    <w:p w14:paraId="6B894903">
      <w:pPr>
        <w:pStyle w:val="8"/>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drawing>
          <wp:inline distT="0" distB="0" distL="114300" distR="114300">
            <wp:extent cx="5273675" cy="2778125"/>
            <wp:effectExtent l="0" t="0" r="14605" b="10795"/>
            <wp:docPr id="8" name="图片 8" descr="微信图片_20251019121338_40_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019121338_40_141"/>
                    <pic:cNvPicPr>
                      <a:picLocks noChangeAspect="1"/>
                    </pic:cNvPicPr>
                  </pic:nvPicPr>
                  <pic:blipFill>
                    <a:blip r:embed="rId16"/>
                    <a:stretch>
                      <a:fillRect/>
                    </a:stretch>
                  </pic:blipFill>
                  <pic:spPr>
                    <a:xfrm>
                      <a:off x="0" y="0"/>
                      <a:ext cx="5273675" cy="2778125"/>
                    </a:xfrm>
                    <a:prstGeom prst="rect">
                      <a:avLst/>
                    </a:prstGeom>
                  </pic:spPr>
                </pic:pic>
              </a:graphicData>
            </a:graphic>
          </wp:inline>
        </w:drawing>
      </w:r>
    </w:p>
    <w:p w14:paraId="58C71088">
      <w:pPr>
        <w:pStyle w:val="8"/>
        <w:rPr>
          <w:rFonts w:hint="eastAsia" w:ascii="黑体" w:hAnsi="黑体" w:eastAsia="黑体"/>
          <w:b/>
          <w:bCs/>
          <w:color w:val="auto"/>
          <w:sz w:val="44"/>
          <w:szCs w:val="44"/>
          <w:highlight w:val="none"/>
        </w:rPr>
      </w:pPr>
      <w:r>
        <w:rPr>
          <w:rFonts w:hint="default" w:hAnsi="宋体" w:eastAsia="仿宋_GB2312" w:cs="宋体"/>
          <w:color w:val="auto"/>
          <w:kern w:val="0"/>
          <w:sz w:val="32"/>
          <w:szCs w:val="32"/>
          <w:highlight w:val="none"/>
          <w:shd w:val="clear" w:color="auto" w:fill="FFFFFF"/>
          <w:lang w:val="en-US" w:eastAsia="zh-CN"/>
        </w:rPr>
        <w:drawing>
          <wp:inline distT="0" distB="0" distL="114300" distR="114300">
            <wp:extent cx="5264150" cy="2583815"/>
            <wp:effectExtent l="0" t="0" r="8890" b="6985"/>
            <wp:docPr id="9" name="图片 9" descr="微信图片_20251019121338_41_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1019121338_41_141"/>
                    <pic:cNvPicPr>
                      <a:picLocks noChangeAspect="1"/>
                    </pic:cNvPicPr>
                  </pic:nvPicPr>
                  <pic:blipFill>
                    <a:blip r:embed="rId17"/>
                    <a:stretch>
                      <a:fillRect/>
                    </a:stretch>
                  </pic:blipFill>
                  <pic:spPr>
                    <a:xfrm>
                      <a:off x="0" y="0"/>
                      <a:ext cx="5264150" cy="2583815"/>
                    </a:xfrm>
                    <a:prstGeom prst="rect">
                      <a:avLst/>
                    </a:prstGeom>
                  </pic:spPr>
                </pic:pic>
              </a:graphicData>
            </a:graphic>
          </wp:inline>
        </w:drawing>
      </w:r>
      <w:bookmarkStart w:id="60" w:name="_Toc15396618"/>
    </w:p>
    <w:p w14:paraId="08DDA93B">
      <w:pPr>
        <w:widowControl/>
        <w:ind w:firstLine="1767" w:firstLineChars="400"/>
        <w:jc w:val="left"/>
        <w:rPr>
          <w:rStyle w:val="19"/>
          <w:rFonts w:hint="eastAsia" w:ascii="黑体" w:hAnsi="黑体" w:eastAsia="黑体"/>
          <w:b/>
          <w:bCs/>
          <w:color w:val="auto"/>
          <w:highlight w:val="none"/>
        </w:rPr>
      </w:pPr>
      <w:r>
        <w:rPr>
          <w:rFonts w:hint="eastAsia" w:ascii="黑体" w:hAnsi="黑体" w:eastAsia="黑体"/>
          <w:b/>
          <w:bCs/>
          <w:color w:val="auto"/>
          <w:sz w:val="44"/>
          <w:szCs w:val="44"/>
          <w:highlight w:val="none"/>
        </w:rPr>
        <w:t>第</w:t>
      </w:r>
      <w:r>
        <w:rPr>
          <w:rStyle w:val="19"/>
          <w:rFonts w:hint="eastAsia" w:ascii="黑体" w:hAnsi="黑体" w:eastAsia="黑体"/>
          <w:b/>
          <w:bCs/>
          <w:color w:val="auto"/>
          <w:highlight w:val="none"/>
        </w:rPr>
        <w:t>五部分 附表</w:t>
      </w:r>
      <w:bookmarkEnd w:id="58"/>
      <w:bookmarkEnd w:id="60"/>
      <w:bookmarkStart w:id="61" w:name="_Toc15396619"/>
    </w:p>
    <w:p w14:paraId="0AD78D43">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20"/>
          <w:rFonts w:hint="eastAsia" w:ascii="仿宋_GB2312" w:hAnsi="仿宋_GB2312" w:eastAsia="仿宋_GB2312" w:cs="仿宋_GB2312"/>
          <w:b w:val="0"/>
          <w:bCs w:val="0"/>
          <w:color w:val="auto"/>
          <w:sz w:val="32"/>
          <w:szCs w:val="32"/>
          <w:highlight w:val="none"/>
        </w:rPr>
        <w:t>入支出决算总表</w:t>
      </w:r>
      <w:bookmarkEnd w:id="61"/>
      <w:bookmarkStart w:id="62" w:name="_Toc15396620"/>
    </w:p>
    <w:p w14:paraId="72A9B7C5">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color w:val="auto"/>
          <w:sz w:val="32"/>
          <w:szCs w:val="32"/>
          <w:highlight w:val="none"/>
        </w:rPr>
        <w:t>二、收</w:t>
      </w:r>
      <w:r>
        <w:rPr>
          <w:rStyle w:val="20"/>
          <w:rFonts w:hint="eastAsia" w:ascii="仿宋_GB2312" w:hAnsi="仿宋_GB2312" w:eastAsia="仿宋_GB2312" w:cs="仿宋_GB2312"/>
          <w:b w:val="0"/>
          <w:bCs w:val="0"/>
          <w:color w:val="auto"/>
          <w:sz w:val="32"/>
          <w:szCs w:val="32"/>
          <w:highlight w:val="none"/>
        </w:rPr>
        <w:t>入决算表</w:t>
      </w:r>
      <w:bookmarkEnd w:id="62"/>
      <w:bookmarkStart w:id="63" w:name="_Toc15396621"/>
    </w:p>
    <w:p w14:paraId="266BCC15">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0"/>
          <w:rFonts w:hint="eastAsia" w:ascii="仿宋_GB2312" w:hAnsi="仿宋_GB2312" w:eastAsia="仿宋_GB2312" w:cs="仿宋_GB2312"/>
          <w:b w:val="0"/>
          <w:bCs w:val="0"/>
          <w:color w:val="auto"/>
          <w:sz w:val="32"/>
          <w:szCs w:val="32"/>
          <w:highlight w:val="none"/>
        </w:rPr>
        <w:t>出决算表</w:t>
      </w:r>
      <w:bookmarkEnd w:id="63"/>
      <w:bookmarkStart w:id="64" w:name="_Toc15396622"/>
    </w:p>
    <w:p w14:paraId="466DBAC4">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0"/>
          <w:rFonts w:hint="eastAsia" w:ascii="仿宋_GB2312" w:hAnsi="仿宋_GB2312" w:eastAsia="仿宋_GB2312" w:cs="仿宋_GB2312"/>
          <w:b w:val="0"/>
          <w:bCs w:val="0"/>
          <w:color w:val="auto"/>
          <w:sz w:val="32"/>
          <w:szCs w:val="32"/>
          <w:highlight w:val="none"/>
        </w:rPr>
        <w:t>政拨款收入支出决算总表</w:t>
      </w:r>
      <w:bookmarkEnd w:id="64"/>
      <w:bookmarkStart w:id="65" w:name="_Toc15396623"/>
    </w:p>
    <w:p w14:paraId="1DC7B0CD">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0"/>
          <w:rFonts w:hint="eastAsia" w:ascii="仿宋_GB2312" w:hAnsi="仿宋_GB2312" w:eastAsia="仿宋_GB2312" w:cs="仿宋_GB2312"/>
          <w:b w:val="0"/>
          <w:bCs w:val="0"/>
          <w:color w:val="auto"/>
          <w:sz w:val="32"/>
          <w:szCs w:val="32"/>
          <w:highlight w:val="none"/>
        </w:rPr>
        <w:t>政拨款支出决算明细表</w:t>
      </w:r>
      <w:bookmarkEnd w:id="65"/>
      <w:bookmarkStart w:id="66" w:name="_Toc15396624"/>
    </w:p>
    <w:p w14:paraId="3A5BE70E">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般公共预算财政拨款支出决算表</w:t>
      </w:r>
      <w:bookmarkEnd w:id="66"/>
      <w:bookmarkStart w:id="67" w:name="_Toc15396625"/>
    </w:p>
    <w:p w14:paraId="5706B864">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般公共预算财政拨款支出决算明细表</w:t>
      </w:r>
      <w:bookmarkEnd w:id="67"/>
      <w:bookmarkStart w:id="68" w:name="_Toc15396626"/>
    </w:p>
    <w:p w14:paraId="265CA315">
      <w:pPr>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般公共预算财政拨款基本支出决算表</w:t>
      </w:r>
      <w:bookmarkEnd w:id="68"/>
      <w:bookmarkStart w:id="69" w:name="_Toc15396627"/>
    </w:p>
    <w:p w14:paraId="2C30241B">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Style w:val="20"/>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般公共预算财政拨款项目支出决算表</w:t>
      </w:r>
      <w:bookmarkEnd w:id="69"/>
    </w:p>
    <w:p w14:paraId="798400A9">
      <w:pPr>
        <w:pStyle w:val="4"/>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bookmarkStart w:id="70" w:name="_Toc15396628"/>
      <w:r>
        <w:rPr>
          <w:rStyle w:val="20"/>
          <w:rFonts w:hint="eastAsia" w:ascii="仿宋_GB2312" w:hAnsi="仿宋_GB2312" w:eastAsia="仿宋_GB2312" w:cs="仿宋_GB2312"/>
          <w:b w:val="0"/>
          <w:bCs w:val="0"/>
          <w:color w:val="auto"/>
          <w:sz w:val="32"/>
          <w:szCs w:val="32"/>
          <w:highlight w:val="none"/>
        </w:rPr>
        <w:t>十、</w:t>
      </w:r>
      <w:bookmarkEnd w:id="70"/>
      <w:r>
        <w:rPr>
          <w:rFonts w:hint="eastAsia" w:ascii="仿宋_GB2312" w:hAnsi="仿宋_GB2312" w:eastAsia="仿宋_GB2312" w:cs="仿宋_GB2312"/>
          <w:b w:val="0"/>
          <w:color w:val="auto"/>
          <w:sz w:val="32"/>
          <w:szCs w:val="32"/>
          <w:highlight w:val="none"/>
        </w:rPr>
        <w:t>政</w:t>
      </w:r>
      <w:r>
        <w:rPr>
          <w:rStyle w:val="20"/>
          <w:rFonts w:hint="eastAsia" w:ascii="仿宋_GB2312" w:hAnsi="仿宋_GB2312" w:eastAsia="仿宋_GB2312" w:cs="仿宋_GB2312"/>
          <w:b w:val="0"/>
          <w:bCs w:val="0"/>
          <w:color w:val="auto"/>
          <w:sz w:val="32"/>
          <w:szCs w:val="32"/>
          <w:highlight w:val="none"/>
        </w:rPr>
        <w:t>府性基金预算财政拨款收入支出决算表</w:t>
      </w:r>
    </w:p>
    <w:p w14:paraId="3C5780D8">
      <w:pPr>
        <w:pStyle w:val="4"/>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bookmarkStart w:id="71" w:name="_Toc15396629"/>
      <w:r>
        <w:rPr>
          <w:rStyle w:val="20"/>
          <w:rFonts w:hint="eastAsia" w:ascii="仿宋_GB2312" w:hAnsi="仿宋_GB2312" w:eastAsia="仿宋_GB2312" w:cs="仿宋_GB2312"/>
          <w:b w:val="0"/>
          <w:bCs w:val="0"/>
          <w:color w:val="auto"/>
          <w:sz w:val="32"/>
          <w:szCs w:val="32"/>
          <w:highlight w:val="none"/>
        </w:rPr>
        <w:t>十一、</w:t>
      </w:r>
      <w:bookmarkEnd w:id="71"/>
      <w:r>
        <w:rPr>
          <w:rFonts w:hint="eastAsia" w:ascii="仿宋_GB2312" w:hAnsi="仿宋_GB2312" w:eastAsia="仿宋_GB2312" w:cs="仿宋_GB2312"/>
          <w:b w:val="0"/>
          <w:color w:val="auto"/>
          <w:sz w:val="32"/>
          <w:szCs w:val="32"/>
          <w:highlight w:val="none"/>
        </w:rPr>
        <w:t>国</w:t>
      </w:r>
      <w:r>
        <w:rPr>
          <w:rStyle w:val="20"/>
          <w:rFonts w:hint="eastAsia" w:ascii="仿宋_GB2312" w:hAnsi="仿宋_GB2312" w:eastAsia="仿宋_GB2312" w:cs="仿宋_GB2312"/>
          <w:b w:val="0"/>
          <w:bCs w:val="0"/>
          <w:color w:val="auto"/>
          <w:sz w:val="32"/>
          <w:szCs w:val="32"/>
          <w:highlight w:val="none"/>
        </w:rPr>
        <w:t>有资本经营预算</w:t>
      </w:r>
      <w:r>
        <w:rPr>
          <w:rStyle w:val="20"/>
          <w:rFonts w:hint="eastAsia" w:ascii="仿宋_GB2312" w:hAnsi="仿宋_GB2312" w:eastAsia="仿宋_GB2312" w:cs="仿宋_GB2312"/>
          <w:b w:val="0"/>
          <w:bCs w:val="0"/>
          <w:color w:val="auto"/>
          <w:sz w:val="32"/>
          <w:szCs w:val="32"/>
          <w:highlight w:val="none"/>
          <w:lang w:eastAsia="zh-CN"/>
        </w:rPr>
        <w:t>财政拨款收入</w:t>
      </w:r>
      <w:r>
        <w:rPr>
          <w:rStyle w:val="20"/>
          <w:rFonts w:hint="eastAsia" w:ascii="仿宋_GB2312" w:hAnsi="仿宋_GB2312" w:eastAsia="仿宋_GB2312" w:cs="仿宋_GB2312"/>
          <w:b w:val="0"/>
          <w:bCs w:val="0"/>
          <w:color w:val="auto"/>
          <w:sz w:val="32"/>
          <w:szCs w:val="32"/>
          <w:highlight w:val="none"/>
        </w:rPr>
        <w:t>支出决算表</w:t>
      </w:r>
    </w:p>
    <w:p w14:paraId="3F73B147">
      <w:pPr>
        <w:pStyle w:val="4"/>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bookmarkStart w:id="72" w:name="_Toc15396630"/>
      <w:r>
        <w:rPr>
          <w:rStyle w:val="20"/>
          <w:rFonts w:hint="eastAsia" w:ascii="仿宋_GB2312" w:hAnsi="仿宋_GB2312" w:eastAsia="仿宋_GB2312" w:cs="仿宋_GB2312"/>
          <w:b w:val="0"/>
          <w:bCs w:val="0"/>
          <w:color w:val="auto"/>
          <w:sz w:val="32"/>
          <w:szCs w:val="32"/>
          <w:highlight w:val="none"/>
        </w:rPr>
        <w:t>十二、</w:t>
      </w:r>
      <w:bookmarkEnd w:id="72"/>
      <w:r>
        <w:rPr>
          <w:rStyle w:val="20"/>
          <w:rFonts w:hint="eastAsia" w:ascii="仿宋_GB2312" w:hAnsi="仿宋_GB2312" w:eastAsia="仿宋_GB2312" w:cs="仿宋_GB2312"/>
          <w:b w:val="0"/>
          <w:bCs w:val="0"/>
          <w:color w:val="auto"/>
          <w:sz w:val="32"/>
          <w:szCs w:val="32"/>
          <w:highlight w:val="none"/>
          <w:lang w:eastAsia="zh-CN"/>
        </w:rPr>
        <w:t>国有资本经营预算财政拨款支出决算表</w:t>
      </w:r>
    </w:p>
    <w:p w14:paraId="6BEA45B9">
      <w:pPr>
        <w:pStyle w:val="4"/>
        <w:pageBreakBefore w:val="0"/>
        <w:kinsoku/>
        <w:wordWrap/>
        <w:overflowPunct/>
        <w:topLinePunct w:val="0"/>
        <w:autoSpaceDE/>
        <w:autoSpaceDN/>
        <w:bidi w:val="0"/>
        <w:adjustRightInd/>
        <w:snapToGrid/>
        <w:spacing w:line="600" w:lineRule="exact"/>
        <w:ind w:firstLine="640" w:firstLineChars="200"/>
        <w:jc w:val="left"/>
        <w:textAlignment w:val="auto"/>
        <w:rPr>
          <w:rStyle w:val="20"/>
          <w:rFonts w:hint="eastAsia" w:ascii="仿宋_GB2312" w:hAnsi="仿宋_GB2312" w:eastAsia="仿宋_GB2312" w:cs="仿宋_GB2312"/>
          <w:b w:val="0"/>
          <w:bCs w:val="0"/>
          <w:color w:val="auto"/>
          <w:sz w:val="32"/>
          <w:szCs w:val="32"/>
          <w:highlight w:val="none"/>
          <w:lang w:eastAsia="zh-CN"/>
        </w:rPr>
      </w:pPr>
      <w:bookmarkStart w:id="73" w:name="_Toc15396631"/>
      <w:r>
        <w:rPr>
          <w:rStyle w:val="20"/>
          <w:rFonts w:hint="eastAsia" w:ascii="仿宋_GB2312" w:hAnsi="仿宋_GB2312" w:eastAsia="仿宋_GB2312" w:cs="仿宋_GB2312"/>
          <w:b w:val="0"/>
          <w:bCs w:val="0"/>
          <w:color w:val="auto"/>
          <w:sz w:val="32"/>
          <w:szCs w:val="32"/>
          <w:highlight w:val="none"/>
        </w:rPr>
        <w:t>十三、</w:t>
      </w:r>
      <w:bookmarkEnd w:id="73"/>
      <w:r>
        <w:rPr>
          <w:rStyle w:val="20"/>
          <w:rFonts w:hint="eastAsia" w:ascii="仿宋_GB2312" w:hAnsi="仿宋_GB2312" w:eastAsia="仿宋_GB2312" w:cs="仿宋_GB2312"/>
          <w:b w:val="0"/>
          <w:bCs w:val="0"/>
          <w:color w:val="auto"/>
          <w:sz w:val="32"/>
          <w:szCs w:val="32"/>
          <w:highlight w:val="none"/>
          <w:lang w:eastAsia="zh-CN"/>
        </w:rPr>
        <w:t>财政拨款“三公”经费支出决算表</w:t>
      </w:r>
    </w:p>
    <w:p w14:paraId="7715E0B2">
      <w:pPr>
        <w:pStyle w:val="5"/>
        <w:rPr>
          <w:rFonts w:hint="eastAsia"/>
          <w:lang w:eastAsia="zh-CN"/>
        </w:rPr>
      </w:pPr>
    </w:p>
    <w:p w14:paraId="4AC0A848">
      <w:pPr>
        <w:pStyle w:val="5"/>
        <w:rPr>
          <w:rFonts w:hint="eastAsia"/>
          <w:lang w:eastAsia="zh-CN"/>
        </w:rPr>
      </w:pPr>
    </w:p>
    <w:p w14:paraId="5F57EE48">
      <w:pPr>
        <w:rPr>
          <w:rFonts w:hint="eastAsia"/>
          <w:lang w:eastAsia="zh-CN"/>
        </w:rPr>
      </w:pPr>
    </w:p>
    <w:p w14:paraId="22184D4F">
      <w:pPr>
        <w:pStyle w:val="5"/>
        <w:rPr>
          <w:rFonts w:hint="eastAsia"/>
          <w:lang w:eastAsia="zh-CN"/>
        </w:rPr>
      </w:pPr>
    </w:p>
    <w:p w14:paraId="361C4BDD">
      <w:pPr>
        <w:rPr>
          <w:rFonts w:hint="eastAsia"/>
          <w:lang w:eastAsia="zh-CN"/>
        </w:rPr>
      </w:pPr>
    </w:p>
    <w:p w14:paraId="59A214F8">
      <w:pPr>
        <w:pStyle w:val="5"/>
        <w:rPr>
          <w:rFonts w:hint="eastAsia"/>
          <w:b/>
          <w:bCs/>
          <w:vanish/>
          <w:sz w:val="32"/>
          <w:lang w:eastAsia="zh-CN"/>
        </w:rPr>
      </w:pPr>
    </w:p>
    <w:p w14:paraId="54AD8DB7"/>
    <w:p w14:paraId="45B87BFA">
      <w:pPr>
        <w:pStyle w:val="5"/>
      </w:pPr>
    </w:p>
    <w:p w14:paraId="58D47841"/>
    <w:p w14:paraId="36D8C074">
      <w:pPr>
        <w:pStyle w:val="5"/>
      </w:pPr>
    </w:p>
    <w:p w14:paraId="0EC51834"/>
    <w:p w14:paraId="2D192203">
      <w:pPr>
        <w:pStyle w:val="5"/>
        <w:keepNext/>
        <w:keepLines/>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p w14:paraId="7773C1F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p w14:paraId="0676C81C"/>
    <w:p w14:paraId="10185CFE">
      <w:pPr>
        <w:pStyle w:val="5"/>
      </w:pPr>
    </w:p>
    <w:p w14:paraId="200D6E1A"/>
    <w:p w14:paraId="431F7B86">
      <w:pPr>
        <w:pStyle w:val="5"/>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DE654CA">
        <w:pPr>
          <w:pStyle w:val="10"/>
          <w:jc w:val="center"/>
        </w:pPr>
        <w:r>
          <w:fldChar w:fldCharType="begin"/>
        </w:r>
        <w:r>
          <w:instrText xml:space="preserve">PAGE   \* MERGEFORMAT</w:instrText>
        </w:r>
        <w:r>
          <w:fldChar w:fldCharType="separate"/>
        </w:r>
        <w:r>
          <w:rPr>
            <w:lang w:val="zh-CN"/>
          </w:rPr>
          <w:t>8</w:t>
        </w:r>
        <w:r>
          <w:fldChar w:fldCharType="end"/>
        </w:r>
      </w:p>
    </w:sdtContent>
  </w:sdt>
  <w:p w14:paraId="4EB0152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CEA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3285F"/>
    <w:multiLevelType w:val="singleLevel"/>
    <w:tmpl w:val="8E03285F"/>
    <w:lvl w:ilvl="0" w:tentative="0">
      <w:start w:val="1"/>
      <w:numFmt w:val="chineseCounting"/>
      <w:suff w:val="nothing"/>
      <w:lvlText w:val="（%1）"/>
      <w:lvlJc w:val="left"/>
      <w:rPr>
        <w:rFonts w:hint="eastAsia"/>
      </w:rPr>
    </w:lvl>
  </w:abstractNum>
  <w:abstractNum w:abstractNumId="1">
    <w:nsid w:val="9B3EB7D7"/>
    <w:multiLevelType w:val="singleLevel"/>
    <w:tmpl w:val="9B3EB7D7"/>
    <w:lvl w:ilvl="0" w:tentative="0">
      <w:start w:val="2"/>
      <w:numFmt w:val="chineseCounting"/>
      <w:suff w:val="nothing"/>
      <w:lvlText w:val="%1、"/>
      <w:lvlJc w:val="left"/>
      <w:rPr>
        <w:rFonts w:hint="eastAsia"/>
      </w:rPr>
    </w:lvl>
  </w:abstractNum>
  <w:abstractNum w:abstractNumId="2">
    <w:nsid w:val="CC580F7E"/>
    <w:multiLevelType w:val="singleLevel"/>
    <w:tmpl w:val="CC580F7E"/>
    <w:lvl w:ilvl="0" w:tentative="0">
      <w:start w:val="1"/>
      <w:numFmt w:val="decimal"/>
      <w:lvlText w:val="%1."/>
      <w:lvlJc w:val="left"/>
      <w:pPr>
        <w:tabs>
          <w:tab w:val="left" w:pos="312"/>
        </w:tabs>
      </w:pPr>
    </w:lvl>
  </w:abstractNum>
  <w:abstractNum w:abstractNumId="3">
    <w:nsid w:val="ED5E0BB5"/>
    <w:multiLevelType w:val="singleLevel"/>
    <w:tmpl w:val="ED5E0BB5"/>
    <w:lvl w:ilvl="0" w:tentative="0">
      <w:start w:val="1"/>
      <w:numFmt w:val="decimal"/>
      <w:suff w:val="nothing"/>
      <w:lvlText w:val="%1、"/>
      <w:lvlJc w:val="left"/>
    </w:lvl>
  </w:abstractNum>
  <w:abstractNum w:abstractNumId="4">
    <w:nsid w:val="F6902D25"/>
    <w:multiLevelType w:val="singleLevel"/>
    <w:tmpl w:val="F6902D25"/>
    <w:lvl w:ilvl="0" w:tentative="0">
      <w:start w:val="2"/>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9E76F97"/>
    <w:multiLevelType w:val="singleLevel"/>
    <w:tmpl w:val="39E76F97"/>
    <w:lvl w:ilvl="0" w:tentative="0">
      <w:start w:val="5"/>
      <w:numFmt w:val="chineseCounting"/>
      <w:suff w:val="nothing"/>
      <w:lvlText w:val="%1、"/>
      <w:lvlJc w:val="left"/>
      <w:rPr>
        <w:rFonts w:hint="eastAsia"/>
      </w:rPr>
    </w:lvl>
  </w:abstractNum>
  <w:num w:numId="1">
    <w:abstractNumId w:val="1"/>
  </w:num>
  <w:num w:numId="2">
    <w:abstractNumId w:val="6"/>
  </w:num>
  <w:num w:numId="3">
    <w:abstractNumId w:val="7"/>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44805FB"/>
    <w:rsid w:val="02764845"/>
    <w:rsid w:val="034D095E"/>
    <w:rsid w:val="044805FB"/>
    <w:rsid w:val="0611346C"/>
    <w:rsid w:val="0710789B"/>
    <w:rsid w:val="075D5A96"/>
    <w:rsid w:val="0B503670"/>
    <w:rsid w:val="0CE7523E"/>
    <w:rsid w:val="0E015E84"/>
    <w:rsid w:val="0E3D322C"/>
    <w:rsid w:val="0F3C1DC4"/>
    <w:rsid w:val="0FEC4A5B"/>
    <w:rsid w:val="10AE6575"/>
    <w:rsid w:val="10B778D4"/>
    <w:rsid w:val="11375C0B"/>
    <w:rsid w:val="150D78F5"/>
    <w:rsid w:val="16567633"/>
    <w:rsid w:val="200559EA"/>
    <w:rsid w:val="24CF64F7"/>
    <w:rsid w:val="260441F6"/>
    <w:rsid w:val="29103043"/>
    <w:rsid w:val="30A10C79"/>
    <w:rsid w:val="327F4AAF"/>
    <w:rsid w:val="32900843"/>
    <w:rsid w:val="33C22D4E"/>
    <w:rsid w:val="3879430C"/>
    <w:rsid w:val="38B67CF8"/>
    <w:rsid w:val="38CE44E5"/>
    <w:rsid w:val="39001403"/>
    <w:rsid w:val="3A183F3D"/>
    <w:rsid w:val="3E501E0B"/>
    <w:rsid w:val="4119209E"/>
    <w:rsid w:val="42495E9F"/>
    <w:rsid w:val="42516E30"/>
    <w:rsid w:val="42CA1208"/>
    <w:rsid w:val="445A2FE7"/>
    <w:rsid w:val="456F72AA"/>
    <w:rsid w:val="49BB3A35"/>
    <w:rsid w:val="4A437967"/>
    <w:rsid w:val="4B251AAE"/>
    <w:rsid w:val="4B357261"/>
    <w:rsid w:val="5329438D"/>
    <w:rsid w:val="534A5089"/>
    <w:rsid w:val="53A83B3B"/>
    <w:rsid w:val="566D7BA2"/>
    <w:rsid w:val="586E1312"/>
    <w:rsid w:val="595975C8"/>
    <w:rsid w:val="5FDB1172"/>
    <w:rsid w:val="64FC5332"/>
    <w:rsid w:val="66E52431"/>
    <w:rsid w:val="693E1EC3"/>
    <w:rsid w:val="69DB0840"/>
    <w:rsid w:val="6C7800B3"/>
    <w:rsid w:val="6C9713D8"/>
    <w:rsid w:val="6DCC26B1"/>
    <w:rsid w:val="73AF55C3"/>
    <w:rsid w:val="74D576F3"/>
    <w:rsid w:val="763C7C78"/>
    <w:rsid w:val="7D76389D"/>
    <w:rsid w:val="7E232352"/>
    <w:rsid w:val="7E84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Normal Indent"/>
    <w:basedOn w:val="1"/>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9"/>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标题 1 Char"/>
    <w:basedOn w:val="16"/>
    <w:link w:val="3"/>
    <w:qFormat/>
    <w:uiPriority w:val="9"/>
    <w:rPr>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a:p>
            <a:pPr defTabSz="914400">
              <a:defRPr lang="zh-CN" sz="1400" b="1" i="0" u="none" strike="noStrike" kern="1200" baseline="0">
                <a:solidFill>
                  <a:schemeClr val="tx1">
                    <a:lumMod val="75000"/>
                    <a:lumOff val="25000"/>
                  </a:schemeClr>
                </a:solidFill>
                <a:latin typeface="+mn-lt"/>
                <a:ea typeface="+mn-ea"/>
                <a:cs typeface="+mn-cs"/>
              </a:defRPr>
            </a:pPr>
          </a:p>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479.14</c:v>
                </c:pt>
                <c:pt idx="1">
                  <c:v>426.45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Sheet1!$C$2:$C$3</c:f>
              <c:numCache>
                <c:formatCode>General</c:formatCode>
                <c:ptCount val="2"/>
                <c:pt idx="0">
                  <c:v>479.14</c:v>
                </c:pt>
                <c:pt idx="1">
                  <c:v>426.45</c:v>
                </c:pt>
              </c:numCache>
            </c:numRef>
          </c:val>
        </c:ser>
        <c:dLbls>
          <c:showLegendKey val="0"/>
          <c:showVal val="1"/>
          <c:showCatName val="0"/>
          <c:showSerName val="0"/>
          <c:showPercent val="0"/>
          <c:showBubbleSize val="0"/>
        </c:dLbls>
        <c:gapWidth val="260"/>
        <c:overlap val="-32"/>
        <c:axId val="320522952"/>
        <c:axId val="781640751"/>
      </c:barChart>
      <c:catAx>
        <c:axId val="320522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640751"/>
        <c:crosses val="autoZero"/>
        <c:auto val="1"/>
        <c:lblAlgn val="ctr"/>
        <c:lblOffset val="100"/>
        <c:noMultiLvlLbl val="0"/>
      </c:catAx>
      <c:valAx>
        <c:axId val="78164075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5229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83b042-7f50-4d14-bc3d-c41be46936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0000FF"/>
                </a:solidFill>
                <a:latin typeface="+mn-lt"/>
                <a:ea typeface="+mn-ea"/>
                <a:cs typeface="+mn-cs"/>
              </a:defRPr>
            </a:pPr>
            <a:r>
              <a:rPr>
                <a:solidFill>
                  <a:srgbClr val="0000FF"/>
                </a:solidFill>
              </a:rPr>
              <a:t>收入决算结构图</a:t>
            </a:r>
            <a:endParaRPr>
              <a:solidFill>
                <a:srgbClr val="0000FF"/>
              </a:solidFill>
            </a:endParaRPr>
          </a:p>
          <a:p>
            <a:pPr defTabSz="914400">
              <a:defRPr lang="zh-CN" sz="1400" b="0" i="0" u="none" strike="noStrike" kern="1200" spc="0" baseline="0">
                <a:solidFill>
                  <a:srgbClr val="0000FF"/>
                </a:solidFill>
                <a:latin typeface="+mn-lt"/>
                <a:ea typeface="+mn-ea"/>
                <a:cs typeface="+mn-cs"/>
              </a:defRPr>
            </a:pPr>
            <a:r>
              <a:rPr altLang="zh-CN">
                <a:solidFill>
                  <a:srgbClr val="0000FF"/>
                </a:solidFill>
              </a:rPr>
              <a:t>单位：万元</a:t>
            </a:r>
            <a:endParaRPr altLang="zh-CN">
              <a:solidFill>
                <a:srgbClr val="0000FF"/>
              </a:solidFill>
            </a:endParaRPr>
          </a:p>
        </c:rich>
      </c:tx>
      <c:layout>
        <c:manualLayout>
          <c:xMode val="edge"/>
          <c:yMode val="edge"/>
          <c:x val="0.369"/>
          <c:y val="0.0241666666666667"/>
        </c:manualLayout>
      </c:layout>
      <c:overlay val="0"/>
      <c:spPr>
        <a:noFill/>
        <a:ln>
          <a:noFill/>
        </a:ln>
        <a:effectLst/>
      </c:spPr>
    </c:title>
    <c:autoTitleDeleted val="0"/>
    <c:plotArea>
      <c:layout/>
      <c:pieChart>
        <c:varyColors val="1"/>
        <c:ser>
          <c:idx val="0"/>
          <c:order val="0"/>
          <c:tx>
            <c:strRef>
              <c:f>Sheet1!$B$1</c:f>
              <c:strCache>
                <c:ptCount val="1"/>
                <c:pt idx="0">
                  <c:v>支出决算结构图  单位：万元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elete val="1"/>
          </c:dLbls>
          <c:cat>
            <c:strRef>
              <c:f>Sheet1!$A$2:$A$4</c:f>
              <c:strCache>
                <c:ptCount val="3"/>
                <c:pt idx="0">
                  <c:v>基本支出</c:v>
                </c:pt>
                <c:pt idx="1">
                  <c:v>政府性基金支出
</c:v>
                </c:pt>
                <c:pt idx="2">
                  <c:v>项目支出</c:v>
                </c:pt>
              </c:strCache>
            </c:strRef>
          </c:cat>
          <c:val>
            <c:numRef>
              <c:f>Sheet1!$B$2:$B$4</c:f>
              <c:numCache>
                <c:formatCode>General</c:formatCode>
                <c:ptCount val="3"/>
                <c:pt idx="0">
                  <c:v>361.25</c:v>
                </c:pt>
                <c:pt idx="1">
                  <c:v>0</c:v>
                </c:pt>
                <c:pt idx="2">
                  <c:v>65.2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73e75e-f847-4db6-8ba9-d0629b9d55c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a:p>
            <a:pPr defTabSz="914400">
              <a:defRPr lang="zh-CN" sz="1400" b="1" i="0" u="none" strike="noStrike" kern="1200" baseline="0">
                <a:solidFill>
                  <a:schemeClr val="dk1">
                    <a:lumMod val="75000"/>
                    <a:lumOff val="2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支出决算结构图单位:万元</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Sheet1!$A$2:$A$5</c:f>
              <c:strCache>
                <c:ptCount val="4"/>
                <c:pt idx="0">
                  <c:v>基本支出</c:v>
                </c:pt>
                <c:pt idx="1">
                  <c:v>项目支出</c:v>
                </c:pt>
                <c:pt idx="2">
                  <c:v>政府性基金支出</c:v>
                </c:pt>
              </c:strCache>
            </c:strRef>
          </c:cat>
          <c:val>
            <c:numRef>
              <c:f>Sheet1!$B$2:$B$5</c:f>
              <c:numCache>
                <c:formatCode>General</c:formatCode>
                <c:ptCount val="4"/>
                <c:pt idx="0">
                  <c:v>361.25</c:v>
                </c:pt>
                <c:pt idx="1">
                  <c:v>65.2</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cb6f0e-c8f4-4c9d-9825-e93bdadf0a7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accent1"/>
                </a:solidFill>
                <a:latin typeface="+mn-lt"/>
                <a:ea typeface="+mn-ea"/>
                <a:cs typeface="+mn-cs"/>
              </a:defRPr>
            </a:pPr>
            <a:r>
              <a:rPr>
                <a:solidFill>
                  <a:schemeClr val="accent1"/>
                </a:solidFill>
              </a:rPr>
              <a:t>收、支决算总计变动情况图</a:t>
            </a:r>
            <a:endParaRPr>
              <a:solidFill>
                <a:schemeClr val="accent1"/>
              </a:solidFill>
            </a:endParaRPr>
          </a:p>
          <a:p>
            <a:pPr defTabSz="914400">
              <a:defRPr lang="zh-CN" sz="1400" b="1" i="0" u="none" strike="noStrike" kern="1200" baseline="0">
                <a:solidFill>
                  <a:schemeClr val="accent1"/>
                </a:solidFill>
                <a:latin typeface="+mn-lt"/>
                <a:ea typeface="+mn-ea"/>
                <a:cs typeface="+mn-cs"/>
              </a:defRPr>
            </a:pPr>
            <a:r>
              <a:rPr>
                <a:solidFill>
                  <a:schemeClr val="accent1"/>
                </a:solidFill>
              </a:rPr>
              <a:t>单位：万元</a:t>
            </a:r>
            <a:endParaRPr>
              <a:solidFill>
                <a:schemeClr val="accent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Sheet1!$B$2:$B$5</c:f>
              <c:numCache>
                <c:formatCode>General</c:formatCode>
                <c:ptCount val="4"/>
                <c:pt idx="0">
                  <c:v>479.14</c:v>
                </c:pt>
                <c:pt idx="1">
                  <c:v>426.45</c:v>
                </c:pt>
              </c:numCache>
            </c:numRef>
          </c:val>
        </c:ser>
        <c:ser>
          <c:idx val="1"/>
          <c:order val="1"/>
          <c:tx>
            <c:strRef>
              <c:f>Sheet1!$C$1</c:f>
              <c:strCache>
                <c:ptCount val="1"/>
                <c:pt idx="0">
                  <c:v>支出</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Sheet1!$C$2:$C$5</c:f>
              <c:numCache>
                <c:formatCode>General</c:formatCode>
                <c:ptCount val="4"/>
                <c:pt idx="0">
                  <c:v>479.14</c:v>
                </c:pt>
                <c:pt idx="1">
                  <c:v>426.45</c:v>
                </c:pt>
              </c:numCache>
            </c:numRef>
          </c:val>
        </c:ser>
        <c:ser>
          <c:idx val="2"/>
          <c:order val="2"/>
          <c:tx>
            <c:strRef>
              <c:f>Sheet1!$D$1</c:f>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Sheet1!$D$2:$D$5</c:f>
              <c:numCache>
                <c:formatCode>General</c:formatCode>
                <c:ptCount val="4"/>
              </c:numCache>
            </c:numRef>
          </c:val>
        </c:ser>
        <c:dLbls>
          <c:showLegendKey val="0"/>
          <c:showVal val="1"/>
          <c:showCatName val="0"/>
          <c:showSerName val="0"/>
          <c:showPercent val="0"/>
          <c:showBubbleSize val="0"/>
        </c:dLbls>
        <c:gapWidth val="260"/>
        <c:overlap val="-32"/>
        <c:axId val="438778218"/>
        <c:axId val="134892712"/>
      </c:barChart>
      <c:catAx>
        <c:axId val="4387782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accent1"/>
                </a:solidFill>
                <a:latin typeface="+mn-lt"/>
                <a:ea typeface="+mn-ea"/>
                <a:cs typeface="+mn-cs"/>
              </a:defRPr>
            </a:pPr>
          </a:p>
        </c:txPr>
        <c:crossAx val="134892712"/>
        <c:crosses val="autoZero"/>
        <c:auto val="1"/>
        <c:lblAlgn val="ctr"/>
        <c:lblOffset val="100"/>
        <c:noMultiLvlLbl val="0"/>
      </c:catAx>
      <c:valAx>
        <c:axId val="13489271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accent1"/>
                </a:solidFill>
                <a:latin typeface="+mn-lt"/>
                <a:ea typeface="+mn-ea"/>
                <a:cs typeface="+mn-cs"/>
              </a:defRPr>
            </a:pPr>
          </a:p>
        </c:txPr>
        <c:crossAx val="438778218"/>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accent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accent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accent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accent1"/>
              </a:solidFill>
              <a:latin typeface="+mn-lt"/>
              <a:ea typeface="+mn-ea"/>
              <a:cs typeface="+mn-cs"/>
            </a:defRPr>
          </a:pPr>
        </a:p>
      </c:txPr>
    </c:legend>
    <c:plotVisOnly val="1"/>
    <c:dispBlanksAs val="gap"/>
    <c:showDLblsOverMax val="0"/>
    <c:extLst>
      <c:ext uri="{0b15fc19-7d7d-44ad-8c2d-2c3a37ce22c3}">
        <chartProps xmlns="https://web.wps.cn/et/2018/main" chartId="{ad6c5ea1-5add-4263-85ee-cf52e8c5ae72}"/>
      </c:ext>
    </c:extLst>
  </c:chart>
  <c:spPr>
    <a:solidFill>
      <a:schemeClr val="bg1"/>
    </a:solidFill>
    <a:ln w="9525" cap="flat" cmpd="sng" algn="ctr">
      <a:solidFill>
        <a:schemeClr val="tx1">
          <a:lumMod val="15000"/>
          <a:lumOff val="85000"/>
        </a:schemeClr>
      </a:solidFill>
      <a:round/>
    </a:ln>
    <a:effectLst/>
  </c:spPr>
  <c:txPr>
    <a:bodyPr/>
    <a:lstStyle/>
    <a:p>
      <a:pPr>
        <a:defRPr lang="zh-CN">
          <a:solidFill>
            <a:schemeClr val="accent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 </a:t>
            </a:r>
          </a:p>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manualLayout>
          <c:xMode val="edge"/>
          <c:yMode val="edge"/>
          <c:x val="0.34968965617041"/>
          <c:y val="0.0312320174268694"/>
        </c:manualLayout>
      </c:layout>
      <c:overlay val="0"/>
      <c:spPr>
        <a:noFill/>
        <a:ln>
          <a:noFill/>
        </a:ln>
        <a:effectLst/>
      </c:spPr>
    </c:title>
    <c:autoTitleDeleted val="0"/>
    <c:plotArea>
      <c:layout>
        <c:manualLayout>
          <c:layoutTarget val="inner"/>
          <c:xMode val="edge"/>
          <c:yMode val="edge"/>
          <c:x val="0.0860847418383885"/>
          <c:y val="0.20792211256335"/>
          <c:w val="0.905232692752952"/>
          <c:h val="0.544065084022406"/>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2024年度</c:v>
                </c:pt>
                <c:pt idx="1">
                  <c:v>2023年度</c:v>
                </c:pt>
              </c:strCache>
            </c:strRef>
          </c:cat>
          <c:val>
            <c:numRef>
              <c:f>Sheet1!$B$2:$B$5</c:f>
              <c:numCache>
                <c:formatCode>General</c:formatCode>
                <c:ptCount val="4"/>
                <c:pt idx="0">
                  <c:v>361.25</c:v>
                </c:pt>
                <c:pt idx="1">
                  <c:v>424.98</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2024年度</c:v>
                </c:pt>
                <c:pt idx="1">
                  <c:v>2023年度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2024年度</c:v>
                </c:pt>
                <c:pt idx="1">
                  <c:v>2023年度</c:v>
                </c:pt>
              </c:strCache>
            </c:strRef>
          </c:cat>
          <c:val>
            <c:numRef>
              <c:f>Sheet1!$D$2:$D$5</c:f>
              <c:numCache>
                <c:formatCode>General</c:formatCode>
                <c:ptCount val="4"/>
              </c:numCache>
            </c:numRef>
          </c:val>
        </c:ser>
        <c:dLbls>
          <c:showLegendKey val="0"/>
          <c:showVal val="1"/>
          <c:showCatName val="0"/>
          <c:showSerName val="0"/>
          <c:showPercent val="0"/>
          <c:showBubbleSize val="0"/>
        </c:dLbls>
        <c:gapWidth val="260"/>
        <c:overlap val="-32"/>
        <c:axId val="39161742"/>
        <c:axId val="334538263"/>
      </c:barChart>
      <c:catAx>
        <c:axId val="391617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538263"/>
        <c:crosses val="autoZero"/>
        <c:auto val="1"/>
        <c:lblAlgn val="ctr"/>
        <c:lblOffset val="100"/>
        <c:noMultiLvlLbl val="0"/>
      </c:catAx>
      <c:valAx>
        <c:axId val="334538263"/>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61742"/>
        <c:crosses val="autoZero"/>
        <c:crossBetween val="between"/>
      </c:valAx>
      <c:spPr>
        <a:noFill/>
        <a:ln>
          <a:noFill/>
        </a:ln>
        <a:effectLst/>
      </c:spPr>
    </c:plotArea>
    <c:legend>
      <c:legendPos val="t"/>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40eec3-dc33-46a3-b675-a1e049628d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一般公共预算财政拨款支出结构图 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文化旅游体育与传媒支出</c:v>
                </c:pt>
                <c:pt idx="2">
                  <c:v>社会保障和就业支出</c:v>
                </c:pt>
                <c:pt idx="3">
                  <c:v>卫生健康支出</c:v>
                </c:pt>
                <c:pt idx="4">
                  <c:v>住房保障支出</c:v>
                </c:pt>
                <c:pt idx="5">
                  <c:v>农林水支出</c:v>
                </c:pt>
              </c:strCache>
            </c:strRef>
          </c:cat>
          <c:val>
            <c:numRef>
              <c:f>Sheet1!$B$2:$B$7</c:f>
              <c:numCache>
                <c:formatCode>General</c:formatCode>
                <c:ptCount val="6"/>
                <c:pt idx="0">
                  <c:v>65.2</c:v>
                </c:pt>
                <c:pt idx="1">
                  <c:v>263.53</c:v>
                </c:pt>
                <c:pt idx="2">
                  <c:v>49.7</c:v>
                </c:pt>
                <c:pt idx="3">
                  <c:v>8.57</c:v>
                </c:pt>
                <c:pt idx="4">
                  <c:v>25.68</c:v>
                </c:pt>
                <c:pt idx="5">
                  <c:v>13.77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32285f-6640-48eb-b864-35fac73f25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accent1"/>
                </a:solidFill>
                <a:latin typeface="+mn-lt"/>
                <a:ea typeface="+mn-ea"/>
                <a:cs typeface="+mn-cs"/>
              </a:defRPr>
            </a:pPr>
            <a:r>
              <a:rPr>
                <a:solidFill>
                  <a:schemeClr val="accent1"/>
                </a:solidFill>
              </a:rPr>
              <a:t>三公经费支出决算结构图</a:t>
            </a:r>
            <a:endParaRPr>
              <a:solidFill>
                <a:schemeClr val="accent1"/>
              </a:solidFill>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公务用车运行维护费</c:v>
                </c:pt>
                <c:pt idx="1">
                  <c:v>公务接待费</c:v>
                </c:pt>
                <c:pt idx="2">
                  <c:v>因公出国（境）费</c:v>
                </c:pt>
              </c:strCache>
            </c:strRef>
          </c:cat>
          <c:val>
            <c:numRef>
              <c:f>Sheet1!$B$2:$B$4</c:f>
              <c:numCache>
                <c:formatCode>General</c:formatCode>
                <c:ptCount val="3"/>
                <c:pt idx="0">
                  <c:v>0</c:v>
                </c:pt>
                <c:pt idx="1">
                  <c:v>0.06</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1468ce4f-fd99-49b8-b20e-138ff0158d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4651</Words>
  <Characters>5056</Characters>
  <Lines>0</Lines>
  <Paragraphs>0</Paragraphs>
  <TotalTime>121</TotalTime>
  <ScaleCrop>false</ScaleCrop>
  <LinksUpToDate>false</LinksUpToDate>
  <CharactersWithSpaces>5113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A. K. F. T</cp:lastModifiedBy>
  <cp:lastPrinted>2023-10-26T03:53:00Z</cp:lastPrinted>
  <dcterms:modified xsi:type="dcterms:W3CDTF">2025-12-03T02:18:16Z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47D9AEDB05D9436C8F944F0827A9BE87_13</vt:lpwstr>
  </property>
  <property fmtid="{D5CDD505-2E9C-101B-9397-08002B2CF9AE}" pid="4" name="KSOTemplateDocerSaveRecord">
    <vt:lpwstr>eyJoZGlkIjoiNTNkYjUyODdiMjRjOTlmYzFkZDk5NjdjZTdiMmNkNjIiLCJ1c2VySWQiOiIzMDgzNDI5NjMifQ==</vt:lpwstr>
  </property>
</Properties>
</file>