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FB7F02">
      <w:pPr>
        <w:rPr>
          <w:rFonts w:hint="default" w:eastAsiaTheme="minorEastAsia"/>
          <w:lang w:val="en-US" w:eastAsia="zh-CN"/>
        </w:rPr>
      </w:pPr>
      <w:r>
        <w:rPr>
          <w:rFonts w:hint="eastAsia" w:ascii="方正小标宋简体" w:hAnsi="方正小标宋简体" w:eastAsia="方正小标宋简体" w:cs="方正小标宋简体"/>
          <w:b/>
          <w:bCs/>
          <w:sz w:val="32"/>
          <w:szCs w:val="32"/>
          <w:lang w:val="en-US" w:eastAsia="zh-CN"/>
        </w:rPr>
        <w:t>附件</w:t>
      </w:r>
    </w:p>
    <w:p w14:paraId="54857905"/>
    <w:p w14:paraId="73BBAFDA"/>
    <w:p w14:paraId="6C247B60"/>
    <w:p w14:paraId="35AA42F9"/>
    <w:p w14:paraId="75D94BBF"/>
    <w:p w14:paraId="23004819"/>
    <w:p w14:paraId="7E27C51C"/>
    <w:p w14:paraId="757B28D0">
      <w:pPr>
        <w:rPr>
          <w:sz w:val="52"/>
          <w:szCs w:val="52"/>
        </w:rPr>
      </w:pPr>
    </w:p>
    <w:p w14:paraId="6149A789">
      <w:pPr>
        <w:rPr>
          <w:sz w:val="52"/>
          <w:szCs w:val="52"/>
        </w:rPr>
      </w:pPr>
    </w:p>
    <w:p w14:paraId="1FC727B6">
      <w:pPr>
        <w:jc w:val="center"/>
        <w:rPr>
          <w:rFonts w:hint="eastAsia" w:ascii="方正小标宋简体" w:hAnsi="方正小标宋简体" w:eastAsia="方正小标宋简体" w:cs="方正小标宋简体"/>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峨边彝族自治县融媒体中心</w:t>
      </w:r>
    </w:p>
    <w:p w14:paraId="16ABCBBF">
      <w:pPr>
        <w:jc w:val="center"/>
        <w:rPr>
          <w:rFonts w:hint="eastAsia" w:ascii="方正小标宋简体" w:hAnsi="方正小标宋简体" w:eastAsia="方正小标宋简体" w:cs="方正小标宋简体"/>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2025年部门预算</w:t>
      </w:r>
    </w:p>
    <w:p w14:paraId="1691DB05">
      <w:pPr>
        <w:jc w:val="center"/>
        <w:rPr>
          <w:rFonts w:hint="eastAsia"/>
          <w:b/>
          <w:bCs/>
          <w:sz w:val="52"/>
          <w:szCs w:val="52"/>
          <w:lang w:val="en-US" w:eastAsia="zh-CN"/>
        </w:rPr>
      </w:pPr>
    </w:p>
    <w:p w14:paraId="4FC3657A">
      <w:pPr>
        <w:jc w:val="both"/>
        <w:rPr>
          <w:rFonts w:hint="default"/>
          <w:b/>
          <w:bCs/>
          <w:sz w:val="52"/>
          <w:szCs w:val="52"/>
          <w:lang w:val="en-US" w:eastAsia="zh-CN"/>
        </w:rPr>
      </w:pPr>
    </w:p>
    <w:p w14:paraId="18BED4A8">
      <w:pPr>
        <w:jc w:val="both"/>
        <w:rPr>
          <w:rFonts w:hint="default"/>
          <w:b/>
          <w:bCs/>
          <w:sz w:val="52"/>
          <w:szCs w:val="52"/>
          <w:lang w:val="en-US" w:eastAsia="zh-CN"/>
        </w:rPr>
      </w:pPr>
    </w:p>
    <w:p w14:paraId="159DDF25">
      <w:pPr>
        <w:tabs>
          <w:tab w:val="left" w:pos="3278"/>
        </w:tabs>
        <w:jc w:val="both"/>
        <w:rPr>
          <w:rFonts w:hint="default"/>
          <w:b/>
          <w:bCs/>
          <w:sz w:val="52"/>
          <w:szCs w:val="52"/>
          <w:lang w:val="en-US" w:eastAsia="zh-CN"/>
        </w:rPr>
      </w:pPr>
    </w:p>
    <w:p w14:paraId="311D91C8">
      <w:pPr>
        <w:jc w:val="center"/>
        <w:rPr>
          <w:rFonts w:hint="eastAsia" w:ascii="方正小标宋简体" w:hAnsi="方正小标宋简体" w:eastAsia="方正小标宋简体" w:cs="方正小标宋简体"/>
          <w:b/>
          <w:bCs/>
          <w:sz w:val="32"/>
          <w:szCs w:val="32"/>
          <w:u w:val="single"/>
          <w:lang w:val="en-US" w:eastAsia="zh-CN"/>
        </w:rPr>
      </w:pPr>
      <w:r>
        <w:rPr>
          <w:rFonts w:hint="eastAsia" w:ascii="方正小标宋简体" w:hAnsi="方正小标宋简体" w:eastAsia="方正小标宋简体" w:cs="方正小标宋简体"/>
          <w:b/>
          <w:bCs/>
          <w:sz w:val="32"/>
          <w:szCs w:val="32"/>
          <w:lang w:val="en-US" w:eastAsia="zh-CN"/>
        </w:rPr>
        <w:t>单位(签章)：</w:t>
      </w:r>
      <w:r>
        <w:rPr>
          <w:rFonts w:hint="eastAsia" w:ascii="方正小标宋简体" w:hAnsi="方正小标宋简体" w:eastAsia="方正小标宋简体" w:cs="方正小标宋简体"/>
          <w:b/>
          <w:bCs/>
          <w:sz w:val="32"/>
          <w:szCs w:val="32"/>
          <w:u w:val="single"/>
          <w:lang w:val="en-US" w:eastAsia="zh-CN"/>
        </w:rPr>
        <w:t>峨边彝族自治县融媒体中心</w:t>
      </w:r>
    </w:p>
    <w:p w14:paraId="15F952B7">
      <w:pPr>
        <w:jc w:val="both"/>
        <w:rPr>
          <w:rFonts w:hint="eastAsia" w:ascii="方正小标宋简体" w:hAnsi="方正小标宋简体" w:eastAsia="方正小标宋简体" w:cs="方正小标宋简体"/>
          <w:b/>
          <w:bCs/>
          <w:sz w:val="32"/>
          <w:szCs w:val="32"/>
          <w:lang w:val="en-US" w:eastAsia="zh-CN"/>
        </w:rPr>
      </w:pPr>
    </w:p>
    <w:p w14:paraId="155E56FB">
      <w:pPr>
        <w:jc w:val="center"/>
        <w:rPr>
          <w:rFonts w:hint="eastAsia" w:ascii="方正小标宋简体" w:hAnsi="方正小标宋简体" w:eastAsia="方正小标宋简体" w:cs="方正小标宋简体"/>
          <w:b/>
          <w:bCs/>
          <w:sz w:val="32"/>
          <w:szCs w:val="32"/>
          <w:lang w:val="en-US" w:eastAsia="zh-CN"/>
        </w:rPr>
      </w:pPr>
      <w:r>
        <w:rPr>
          <w:rFonts w:hint="eastAsia" w:ascii="方正小标宋简体" w:hAnsi="方正小标宋简体" w:eastAsia="方正小标宋简体" w:cs="方正小标宋简体"/>
          <w:b/>
          <w:bCs/>
          <w:sz w:val="32"/>
          <w:szCs w:val="32"/>
          <w:lang w:val="en-US" w:eastAsia="zh-CN"/>
        </w:rPr>
        <w:t>2025年5月12日</w:t>
      </w:r>
    </w:p>
    <w:p w14:paraId="3723CA33">
      <w:pPr>
        <w:jc w:val="both"/>
        <w:rPr>
          <w:rFonts w:hint="eastAsia"/>
          <w:b/>
          <w:bCs/>
          <w:sz w:val="32"/>
          <w:szCs w:val="32"/>
          <w:lang w:val="en-US" w:eastAsia="zh-CN"/>
        </w:rPr>
      </w:pPr>
    </w:p>
    <w:p w14:paraId="13549831">
      <w:pPr>
        <w:jc w:val="center"/>
        <w:rPr>
          <w:rFonts w:hint="eastAsia"/>
          <w:b/>
          <w:bCs/>
          <w:sz w:val="32"/>
          <w:szCs w:val="32"/>
          <w:lang w:val="en-US" w:eastAsia="zh-CN"/>
        </w:rPr>
      </w:pPr>
    </w:p>
    <w:p w14:paraId="73F77DB6">
      <w:pPr>
        <w:jc w:val="center"/>
        <w:rPr>
          <w:rFonts w:hint="eastAsia"/>
          <w:b/>
          <w:bCs/>
          <w:sz w:val="32"/>
          <w:szCs w:val="32"/>
          <w:lang w:val="en-US" w:eastAsia="zh-CN"/>
        </w:rPr>
      </w:pPr>
    </w:p>
    <w:p w14:paraId="79D94231">
      <w:pPr>
        <w:ind w:firstLine="3534" w:firstLineChars="800"/>
        <w:jc w:val="both"/>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目 录</w:t>
      </w:r>
    </w:p>
    <w:p w14:paraId="206DFE8E">
      <w:pPr>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第一部分 峨边彝族自治县融媒体中心概况</w:t>
      </w:r>
    </w:p>
    <w:p w14:paraId="7333E7F4">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一、基本职能及主要工作</w:t>
      </w:r>
    </w:p>
    <w:p w14:paraId="7B6F3318">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二、</w:t>
      </w:r>
      <w:r>
        <w:rPr>
          <w:rFonts w:hint="eastAsia" w:ascii="仿宋_GB2312" w:hAnsi="仿宋_GB2312" w:eastAsia="仿宋_GB2312" w:cs="仿宋_GB2312"/>
          <w:b w:val="0"/>
          <w:bCs w:val="0"/>
          <w:sz w:val="32"/>
          <w:szCs w:val="32"/>
          <w:lang w:val="en-US" w:eastAsia="zh-CN"/>
        </w:rPr>
        <w:t>2025年重点工作</w:t>
      </w:r>
    </w:p>
    <w:p w14:paraId="308AF9A3">
      <w:pPr>
        <w:jc w:val="left"/>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 xml:space="preserve">第二部分 </w:t>
      </w:r>
      <w:r>
        <w:rPr>
          <w:rFonts w:hint="eastAsia" w:ascii="黑体" w:hAnsi="黑体" w:eastAsia="黑体" w:cs="黑体"/>
          <w:b w:val="0"/>
          <w:bCs w:val="0"/>
          <w:sz w:val="32"/>
          <w:szCs w:val="32"/>
          <w:lang w:val="en-US" w:eastAsia="zh-CN"/>
        </w:rPr>
        <w:t>峨边彝族自治县融媒体中心</w:t>
      </w:r>
      <w:r>
        <w:rPr>
          <w:rFonts w:hint="default" w:ascii="黑体" w:hAnsi="黑体" w:eastAsia="黑体" w:cs="黑体"/>
          <w:b w:val="0"/>
          <w:bCs w:val="0"/>
          <w:sz w:val="32"/>
          <w:szCs w:val="32"/>
          <w:lang w:val="en-US" w:eastAsia="zh-CN"/>
        </w:rPr>
        <w:t>202</w:t>
      </w:r>
      <w:r>
        <w:rPr>
          <w:rFonts w:hint="eastAsia" w:ascii="黑体" w:hAnsi="黑体" w:eastAsia="黑体" w:cs="黑体"/>
          <w:b w:val="0"/>
          <w:bCs w:val="0"/>
          <w:sz w:val="32"/>
          <w:szCs w:val="32"/>
          <w:lang w:val="en-US" w:eastAsia="zh-CN"/>
        </w:rPr>
        <w:t>5</w:t>
      </w:r>
      <w:r>
        <w:rPr>
          <w:rFonts w:hint="default" w:ascii="黑体" w:hAnsi="黑体" w:eastAsia="黑体" w:cs="黑体"/>
          <w:b w:val="0"/>
          <w:bCs w:val="0"/>
          <w:sz w:val="32"/>
          <w:szCs w:val="32"/>
          <w:lang w:val="en-US" w:eastAsia="zh-CN"/>
        </w:rPr>
        <w:t>年部门预算表</w:t>
      </w:r>
    </w:p>
    <w:p w14:paraId="6790B470">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一、部门收支总表</w:t>
      </w:r>
    </w:p>
    <w:p w14:paraId="201EEEAE">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二、部门收入总表</w:t>
      </w:r>
    </w:p>
    <w:p w14:paraId="7B235A9A">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三、部门支出总表</w:t>
      </w:r>
    </w:p>
    <w:p w14:paraId="7327BB5C">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四、财政拨款收支预算总表</w:t>
      </w:r>
    </w:p>
    <w:p w14:paraId="12E719EF">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五、财政拨款支出预算表（部门经济分类科目）</w:t>
      </w:r>
    </w:p>
    <w:p w14:paraId="210C6F19">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六、一般公共预算支出预算表</w:t>
      </w:r>
    </w:p>
    <w:p w14:paraId="2CAF21D0">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七、一般公共预算基本支出预算表</w:t>
      </w:r>
    </w:p>
    <w:p w14:paraId="53F0E789">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八、一般公共预算项目支出预算表</w:t>
      </w:r>
    </w:p>
    <w:p w14:paraId="48AAAC89">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九、一般公共预算“三公”经费支出预算表</w:t>
      </w:r>
    </w:p>
    <w:p w14:paraId="4F0CBBD5">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十、政府性基金预算支出表</w:t>
      </w:r>
    </w:p>
    <w:p w14:paraId="24581ACA">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十一、政府性基金预算“三公”经费支出预算表</w:t>
      </w:r>
    </w:p>
    <w:p w14:paraId="0D26A3A8">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十二、国有资本经营预算支出表</w:t>
      </w:r>
    </w:p>
    <w:p w14:paraId="324058C8">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十三、部门预算项目支出绩效目标表</w:t>
      </w:r>
    </w:p>
    <w:p w14:paraId="6397C82F">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十四、部门整体支出绩效目标表</w:t>
      </w:r>
    </w:p>
    <w:p w14:paraId="672D75B8">
      <w:pPr>
        <w:jc w:val="left"/>
        <w:rPr>
          <w:rFonts w:hint="default" w:ascii="仿宋_GB2312" w:hAnsi="仿宋_GB2312" w:eastAsia="仿宋_GB2312" w:cs="仿宋_GB2312"/>
          <w:b w:val="0"/>
          <w:bCs w:val="0"/>
          <w:sz w:val="32"/>
          <w:szCs w:val="32"/>
          <w:lang w:val="en-US" w:eastAsia="zh-CN"/>
        </w:rPr>
      </w:pPr>
      <w:r>
        <w:rPr>
          <w:rFonts w:hint="default" w:ascii="仿宋_GB2312" w:hAnsi="仿宋_GB2312" w:eastAsia="仿宋_GB2312" w:cs="仿宋_GB2312"/>
          <w:b w:val="0"/>
          <w:bCs w:val="0"/>
          <w:sz w:val="32"/>
          <w:szCs w:val="32"/>
          <w:lang w:val="en-US" w:eastAsia="zh-CN"/>
        </w:rPr>
        <w:t>十五、政府采购预算表</w:t>
      </w:r>
    </w:p>
    <w:p w14:paraId="61EC39B5">
      <w:pPr>
        <w:jc w:val="left"/>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 xml:space="preserve">第三部分 </w:t>
      </w:r>
      <w:r>
        <w:rPr>
          <w:rFonts w:hint="eastAsia" w:ascii="黑体" w:hAnsi="黑体" w:eastAsia="黑体" w:cs="黑体"/>
          <w:b w:val="0"/>
          <w:bCs w:val="0"/>
          <w:sz w:val="32"/>
          <w:szCs w:val="32"/>
          <w:lang w:val="en-US" w:eastAsia="zh-CN"/>
        </w:rPr>
        <w:t>峨边彝族自治县融媒体中心</w:t>
      </w:r>
      <w:r>
        <w:rPr>
          <w:rFonts w:hint="default" w:ascii="黑体" w:hAnsi="黑体" w:eastAsia="黑体" w:cs="黑体"/>
          <w:b w:val="0"/>
          <w:bCs w:val="0"/>
          <w:sz w:val="32"/>
          <w:szCs w:val="32"/>
          <w:lang w:val="en-US" w:eastAsia="zh-CN"/>
        </w:rPr>
        <w:t>20</w:t>
      </w:r>
      <w:r>
        <w:rPr>
          <w:rFonts w:hint="eastAsia" w:ascii="黑体" w:hAnsi="黑体" w:eastAsia="黑体" w:cs="黑体"/>
          <w:b w:val="0"/>
          <w:bCs w:val="0"/>
          <w:sz w:val="32"/>
          <w:szCs w:val="32"/>
          <w:lang w:val="en-US" w:eastAsia="zh-CN"/>
        </w:rPr>
        <w:t>25</w:t>
      </w:r>
      <w:r>
        <w:rPr>
          <w:rFonts w:hint="default" w:ascii="黑体" w:hAnsi="黑体" w:eastAsia="黑体" w:cs="黑体"/>
          <w:b w:val="0"/>
          <w:bCs w:val="0"/>
          <w:sz w:val="32"/>
          <w:szCs w:val="32"/>
          <w:lang w:val="en-US" w:eastAsia="zh-CN"/>
        </w:rPr>
        <w:t>年部门预算情况说明</w:t>
      </w:r>
    </w:p>
    <w:p w14:paraId="6227E6A6">
      <w:pPr>
        <w:jc w:val="left"/>
        <w:rPr>
          <w:rFonts w:hint="default" w:ascii="黑体" w:hAnsi="黑体" w:eastAsia="黑体" w:cs="黑体"/>
          <w:b w:val="0"/>
          <w:bCs w:val="0"/>
          <w:sz w:val="32"/>
          <w:szCs w:val="32"/>
          <w:lang w:val="en-US" w:eastAsia="zh-CN"/>
        </w:rPr>
      </w:pPr>
    </w:p>
    <w:p w14:paraId="76948E7A">
      <w:pPr>
        <w:jc w:val="left"/>
        <w:rPr>
          <w:rFonts w:hint="default" w:ascii="黑体" w:hAnsi="黑体" w:eastAsia="黑体" w:cs="黑体"/>
          <w:b w:val="0"/>
          <w:bCs w:val="0"/>
          <w:sz w:val="32"/>
          <w:szCs w:val="32"/>
          <w:lang w:val="en-US" w:eastAsia="zh-CN"/>
        </w:rPr>
      </w:pPr>
      <w:r>
        <w:rPr>
          <w:rFonts w:hint="default" w:ascii="黑体" w:hAnsi="黑体" w:eastAsia="黑体" w:cs="黑体"/>
          <w:b w:val="0"/>
          <w:bCs w:val="0"/>
          <w:sz w:val="32"/>
          <w:szCs w:val="32"/>
          <w:lang w:val="en-US" w:eastAsia="zh-CN"/>
        </w:rPr>
        <w:t>第四部分 名词解释</w:t>
      </w:r>
    </w:p>
    <w:p w14:paraId="0967F0DC">
      <w:pPr>
        <w:jc w:val="center"/>
        <w:rPr>
          <w:rFonts w:hint="eastAsia"/>
          <w:b/>
          <w:bCs/>
          <w:sz w:val="52"/>
          <w:szCs w:val="52"/>
          <w:lang w:val="en-US" w:eastAsia="zh-CN"/>
        </w:rPr>
      </w:pPr>
    </w:p>
    <w:p w14:paraId="14988D17">
      <w:pPr>
        <w:jc w:val="center"/>
        <w:rPr>
          <w:rFonts w:hint="eastAsia"/>
          <w:b/>
          <w:bCs/>
          <w:sz w:val="52"/>
          <w:szCs w:val="52"/>
          <w:lang w:val="en-US" w:eastAsia="zh-CN"/>
        </w:rPr>
      </w:pPr>
    </w:p>
    <w:p w14:paraId="6F470D2E">
      <w:pPr>
        <w:jc w:val="both"/>
        <w:rPr>
          <w:rFonts w:hint="eastAsia"/>
          <w:b/>
          <w:bCs/>
          <w:sz w:val="52"/>
          <w:szCs w:val="52"/>
          <w:lang w:val="en-US" w:eastAsia="zh-CN"/>
        </w:rPr>
      </w:pPr>
    </w:p>
    <w:p w14:paraId="1B2CBD9D">
      <w:pPr>
        <w:jc w:val="both"/>
        <w:rPr>
          <w:rFonts w:hint="eastAsia" w:ascii="方正小标宋简体" w:hAnsi="方正小标宋简体" w:eastAsia="方正小标宋简体" w:cs="方正小标宋简体"/>
          <w:b/>
          <w:bCs/>
          <w:sz w:val="52"/>
          <w:szCs w:val="52"/>
          <w:lang w:val="en-US" w:eastAsia="zh-CN"/>
        </w:rPr>
      </w:pPr>
    </w:p>
    <w:p w14:paraId="138D69E7">
      <w:pPr>
        <w:jc w:val="both"/>
        <w:rPr>
          <w:rFonts w:hint="eastAsia" w:ascii="方正小标宋简体" w:hAnsi="方正小标宋简体" w:eastAsia="方正小标宋简体" w:cs="方正小标宋简体"/>
          <w:b/>
          <w:bCs/>
          <w:sz w:val="52"/>
          <w:szCs w:val="52"/>
          <w:lang w:val="en-US" w:eastAsia="zh-CN"/>
        </w:rPr>
      </w:pPr>
    </w:p>
    <w:p w14:paraId="049EF736">
      <w:pPr>
        <w:jc w:val="center"/>
        <w:rPr>
          <w:rFonts w:hint="default"/>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 xml:space="preserve">第一部分   </w:t>
      </w:r>
      <w:r>
        <w:rPr>
          <w:rFonts w:hint="eastAsia" w:ascii="方正小标宋简体" w:hAnsi="方正小标宋简体" w:eastAsia="方正小标宋简体" w:cs="方正小标宋简体"/>
          <w:b/>
          <w:bCs/>
          <w:w w:val="85"/>
          <w:sz w:val="52"/>
          <w:szCs w:val="52"/>
          <w:lang w:val="en-US" w:eastAsia="zh-CN"/>
        </w:rPr>
        <w:t>峨边彝族自治县融媒体中心</w:t>
      </w:r>
      <w:r>
        <w:rPr>
          <w:rFonts w:hint="eastAsia" w:ascii="方正小标宋简体" w:hAnsi="方正小标宋简体" w:eastAsia="方正小标宋简体" w:cs="方正小标宋简体"/>
          <w:b/>
          <w:bCs/>
          <w:sz w:val="52"/>
          <w:szCs w:val="52"/>
          <w:lang w:val="en-US" w:eastAsia="zh-CN"/>
        </w:rPr>
        <w:t>概况</w:t>
      </w:r>
    </w:p>
    <w:p w14:paraId="65A6A6F5">
      <w:pPr>
        <w:rPr>
          <w:rFonts w:hint="default"/>
          <w:b/>
          <w:bCs/>
          <w:sz w:val="52"/>
          <w:szCs w:val="52"/>
          <w:lang w:val="en-US" w:eastAsia="zh-CN"/>
        </w:rPr>
      </w:pPr>
      <w:r>
        <w:rPr>
          <w:rFonts w:hint="default"/>
          <w:b/>
          <w:bCs/>
          <w:sz w:val="52"/>
          <w:szCs w:val="52"/>
          <w:lang w:val="en-US" w:eastAsia="zh-CN"/>
        </w:rPr>
        <w:br w:type="page"/>
      </w:r>
    </w:p>
    <w:p w14:paraId="16BEE30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一、基本职能及主要工作</w:t>
      </w:r>
    </w:p>
    <w:p w14:paraId="3E939A5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b w:val="0"/>
          <w:bCs w:val="0"/>
          <w:sz w:val="32"/>
          <w:szCs w:val="32"/>
        </w:rPr>
      </w:pPr>
      <w:r>
        <w:rPr>
          <w:rFonts w:hint="eastAsia" w:ascii="楷体_GB2312" w:hAnsi="楷体_GB2312" w:eastAsia="楷体_GB2312" w:cs="楷体_GB2312"/>
          <w:b w:val="0"/>
          <w:bCs w:val="0"/>
          <w:sz w:val="32"/>
          <w:szCs w:val="32"/>
          <w:lang w:eastAsia="zh-CN"/>
        </w:rPr>
        <w:t>（一）</w:t>
      </w:r>
      <w:r>
        <w:rPr>
          <w:rFonts w:hint="eastAsia" w:ascii="楷体_GB2312" w:hAnsi="楷体_GB2312" w:eastAsia="楷体_GB2312" w:cs="楷体_GB2312"/>
          <w:b w:val="0"/>
          <w:bCs w:val="0"/>
          <w:sz w:val="32"/>
          <w:szCs w:val="32"/>
        </w:rPr>
        <w:t>职能简介：</w:t>
      </w:r>
    </w:p>
    <w:p w14:paraId="0827FE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贯彻落实党的理论、路线和各项宣传方针政策，把握新闻宣传基调，坚持正面宣传、团结鼓劲，为全县经济社会发展提供舆论支持；围绕县委、县政府中心工作，积极开展新闻网络内外宣传，落实全县新闻报道计划，完成上级下达的各项内外宣传和创优任务。</w:t>
      </w:r>
    </w:p>
    <w:p w14:paraId="128B1A4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2.抓好公共数据和社会数据汇聚整合、共享开发、应用融合等服务工作，为全县经济社会发展提供信息和数据支撑。</w:t>
      </w:r>
    </w:p>
    <w:p w14:paraId="76A4783B">
      <w:pPr>
        <w:keepNext w:val="0"/>
        <w:keepLines w:val="0"/>
        <w:widowControl/>
        <w:suppressLineNumbers w:val="0"/>
        <w:ind w:firstLine="640" w:firstLineChars="200"/>
        <w:jc w:val="left"/>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负责全县新闻业务管理和对外通联工作，抓好全县新闻网络宣传阵地和人才队伍建设</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13059D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协助配合上级媒体和新闻单位来县采访工作。</w:t>
      </w:r>
    </w:p>
    <w:p w14:paraId="605581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负责与县内各乡镇各部门之间的沟通协调，负责县内各类具有传播功能的媒介资源管理工作，负责网络对话和舆情收集、引导工作。</w:t>
      </w:r>
    </w:p>
    <w:p w14:paraId="387DF02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负责政府信息公开相关事宜。</w:t>
      </w:r>
    </w:p>
    <w:p w14:paraId="5982741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负责上级下发的各项网评、网宣任务。</w:t>
      </w:r>
    </w:p>
    <w:p w14:paraId="31EED0E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负责舆情分析研判，提供决策咨询。</w:t>
      </w:r>
    </w:p>
    <w:p w14:paraId="1247EB5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完成</w:t>
      </w:r>
      <w:r>
        <w:rPr>
          <w:rFonts w:hint="eastAsia" w:ascii="仿宋_GB2312" w:hAnsi="仿宋_GB2312" w:eastAsia="仿宋_GB2312" w:cs="仿宋_GB2312"/>
          <w:color w:val="000000" w:themeColor="text1"/>
          <w:sz w:val="32"/>
          <w:szCs w:val="32"/>
          <w:lang w:eastAsia="zh-CN"/>
          <w14:textFill>
            <w14:solidFill>
              <w14:schemeClr w14:val="tx1"/>
            </w14:solidFill>
          </w14:textFill>
        </w:rPr>
        <w:t>县委、县政府</w:t>
      </w:r>
      <w:r>
        <w:rPr>
          <w:rFonts w:hint="eastAsia" w:ascii="仿宋_GB2312" w:hAnsi="仿宋_GB2312" w:eastAsia="仿宋_GB2312" w:cs="仿宋_GB2312"/>
          <w:color w:val="000000" w:themeColor="text1"/>
          <w:sz w:val="32"/>
          <w:szCs w:val="32"/>
          <w14:textFill>
            <w14:solidFill>
              <w14:schemeClr w14:val="tx1"/>
            </w14:solidFill>
          </w14:textFill>
        </w:rPr>
        <w:t>交办的其他工作任务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2CF9AA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贯彻执行党和国家有关网络安全和信息工作的法律法规和方针政策；抓好公共数据和社会数据汇聚整合、共享开发、应用融合等服务工作，为全县经济社会发展提供信息和数据支撑；协助完成互联网宣传和舆论引导工作；协助开展舆情信息收集分析研判工作，跟踪了解、研究掌握宣传舆情动态；统筹协调区域内互联网社会平台和行业平台；协助县委网信办处理全县互联网信息内容；完成上级单位交办的其他工作。</w:t>
      </w:r>
    </w:p>
    <w:p w14:paraId="6B0016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b w:val="0"/>
          <w:bCs w:val="0"/>
          <w:color w:val="0000FF"/>
          <w:sz w:val="32"/>
          <w:szCs w:val="32"/>
          <w:lang w:eastAsia="zh-CN"/>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（二）202</w:t>
      </w:r>
      <w:r>
        <w:rPr>
          <w:rFonts w:hint="eastAsia" w:ascii="楷体_GB2312" w:hAnsi="楷体_GB2312" w:eastAsia="楷体_GB2312" w:cs="楷体_GB2312"/>
          <w:b w:val="0"/>
          <w:bCs w:val="0"/>
          <w:color w:val="000000" w:themeColor="text1"/>
          <w:sz w:val="32"/>
          <w:szCs w:val="32"/>
          <w:lang w:val="en-US" w:eastAsia="zh-CN"/>
          <w14:textFill>
            <w14:solidFill>
              <w14:schemeClr w14:val="tx1"/>
            </w14:solidFill>
          </w14:textFill>
        </w:rPr>
        <w:t>5</w:t>
      </w: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年重点工作任务介绍</w:t>
      </w:r>
    </w:p>
    <w:p w14:paraId="4219C541">
      <w:pPr>
        <w:pStyle w:val="6"/>
        <w:keepNext w:val="0"/>
        <w:keepLines w:val="0"/>
        <w:pageBreakBefore w:val="0"/>
        <w:widowControl/>
        <w:numPr>
          <w:ilvl w:val="0"/>
          <w:numId w:val="0"/>
        </w:numPr>
        <w:kinsoku/>
        <w:wordWrap/>
        <w:overflowPunct/>
        <w:topLinePunct w:val="0"/>
        <w:autoSpaceDE/>
        <w:autoSpaceDN/>
        <w:bidi w:val="0"/>
        <w:adjustRightInd/>
        <w:snapToGrid/>
        <w:spacing w:before="0" w:after="0" w:line="600" w:lineRule="exact"/>
        <w:ind w:firstLine="640" w:firstLineChars="200"/>
        <w:jc w:val="left"/>
        <w:textAlignment w:val="auto"/>
        <w:rPr>
          <w:rFonts w:hint="default"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加强基层党的建设，夯实党建“基石”；2.重视意识形态工作，铸牢思想“防线”；3.坚持正确舆论导向，守牢党的“喉舌”；4.管好县域媒体平台，打造清朗网络；5.加速推动媒体融合，提高平台影响；6.强化干部人才培养，激扬队伍活力；7.做实乡村振兴工作，巩固脱贫成果。</w:t>
      </w:r>
    </w:p>
    <w:p w14:paraId="72F793E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二、部门预算单位构成</w:t>
      </w:r>
    </w:p>
    <w:p w14:paraId="4845795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峨边彝族自治县融媒体中心</w:t>
      </w:r>
      <w:r>
        <w:rPr>
          <w:rFonts w:hint="eastAsia" w:ascii="仿宋_GB2312" w:hAnsi="仿宋_GB2312" w:eastAsia="仿宋_GB2312" w:cs="仿宋_GB2312"/>
          <w:sz w:val="32"/>
          <w:szCs w:val="32"/>
          <w:highlight w:val="none"/>
        </w:rPr>
        <w:t>预算单位</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个，其中：行政单位</w:t>
      </w:r>
      <w:r>
        <w:rPr>
          <w:rFonts w:hint="eastAsia" w:ascii="仿宋_GB2312" w:hAnsi="仿宋_GB2312" w:eastAsia="仿宋_GB2312" w:cs="仿宋_GB2312"/>
          <w:sz w:val="32"/>
          <w:szCs w:val="32"/>
          <w:highlight w:val="none"/>
          <w:lang w:val="en-US" w:eastAsia="zh-CN"/>
        </w:rPr>
        <w:t>0</w:t>
      </w:r>
      <w:r>
        <w:rPr>
          <w:rFonts w:hint="eastAsia" w:ascii="仿宋_GB2312" w:hAnsi="仿宋_GB2312" w:eastAsia="仿宋_GB2312" w:cs="仿宋_GB2312"/>
          <w:sz w:val="32"/>
          <w:szCs w:val="32"/>
          <w:highlight w:val="none"/>
        </w:rPr>
        <w:t>个，事业单位</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个。</w:t>
      </w:r>
    </w:p>
    <w:p w14:paraId="3A65168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峨边彝族自治县融媒体中心</w:t>
      </w:r>
      <w:r>
        <w:rPr>
          <w:rFonts w:hint="eastAsia" w:ascii="仿宋_GB2312" w:hAnsi="仿宋_GB2312" w:eastAsia="仿宋_GB2312" w:cs="仿宋_GB2312"/>
          <w:sz w:val="32"/>
          <w:szCs w:val="32"/>
          <w:highlight w:val="none"/>
        </w:rPr>
        <w:t>总编制</w:t>
      </w:r>
      <w:r>
        <w:rPr>
          <w:rFonts w:hint="eastAsia" w:ascii="仿宋_GB2312" w:hAnsi="仿宋_GB2312" w:eastAsia="仿宋_GB2312" w:cs="仿宋_GB2312"/>
          <w:sz w:val="32"/>
          <w:szCs w:val="32"/>
          <w:highlight w:val="none"/>
          <w:lang w:val="en-US" w:eastAsia="zh-CN"/>
        </w:rPr>
        <w:t>19</w:t>
      </w:r>
      <w:r>
        <w:rPr>
          <w:rFonts w:hint="eastAsia" w:ascii="仿宋_GB2312" w:hAnsi="仿宋_GB2312" w:eastAsia="仿宋_GB2312" w:cs="仿宋_GB2312"/>
          <w:sz w:val="32"/>
          <w:szCs w:val="32"/>
          <w:highlight w:val="none"/>
        </w:rPr>
        <w:t>名，其中：行政编制</w:t>
      </w:r>
      <w:r>
        <w:rPr>
          <w:rFonts w:hint="eastAsia" w:ascii="仿宋_GB2312" w:hAnsi="仿宋_GB2312" w:eastAsia="仿宋_GB2312" w:cs="仿宋_GB2312"/>
          <w:sz w:val="32"/>
          <w:szCs w:val="32"/>
          <w:highlight w:val="none"/>
          <w:lang w:val="en-US" w:eastAsia="zh-CN"/>
        </w:rPr>
        <w:t>0</w:t>
      </w:r>
      <w:r>
        <w:rPr>
          <w:rFonts w:hint="eastAsia" w:ascii="仿宋_GB2312" w:hAnsi="仿宋_GB2312" w:eastAsia="仿宋_GB2312" w:cs="仿宋_GB2312"/>
          <w:sz w:val="32"/>
          <w:szCs w:val="32"/>
          <w:highlight w:val="none"/>
        </w:rPr>
        <w:t>名，工勤编制</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名，事业编制</w:t>
      </w:r>
      <w:r>
        <w:rPr>
          <w:rFonts w:hint="eastAsia" w:ascii="仿宋_GB2312" w:hAnsi="仿宋_GB2312" w:eastAsia="仿宋_GB2312" w:cs="仿宋_GB2312"/>
          <w:sz w:val="32"/>
          <w:szCs w:val="32"/>
          <w:highlight w:val="none"/>
          <w:lang w:val="en-US" w:eastAsia="zh-CN"/>
        </w:rPr>
        <w:t>18</w:t>
      </w:r>
      <w:r>
        <w:rPr>
          <w:rFonts w:hint="eastAsia" w:ascii="仿宋_GB2312" w:hAnsi="仿宋_GB2312" w:eastAsia="仿宋_GB2312" w:cs="仿宋_GB2312"/>
          <w:sz w:val="32"/>
          <w:szCs w:val="32"/>
          <w:highlight w:val="none"/>
        </w:rPr>
        <w:t>名。在职人员总数</w:t>
      </w:r>
      <w:r>
        <w:rPr>
          <w:rFonts w:hint="eastAsia" w:ascii="仿宋_GB2312" w:hAnsi="仿宋_GB2312" w:eastAsia="仿宋_GB2312" w:cs="仿宋_GB2312"/>
          <w:sz w:val="32"/>
          <w:szCs w:val="32"/>
          <w:highlight w:val="none"/>
          <w:lang w:val="en-US" w:eastAsia="zh-CN"/>
        </w:rPr>
        <w:t>17</w:t>
      </w:r>
      <w:r>
        <w:rPr>
          <w:rFonts w:hint="eastAsia" w:ascii="仿宋_GB2312" w:hAnsi="仿宋_GB2312" w:eastAsia="仿宋_GB2312" w:cs="仿宋_GB2312"/>
          <w:sz w:val="32"/>
          <w:szCs w:val="32"/>
          <w:highlight w:val="none"/>
        </w:rPr>
        <w:t>名，其中：行政</w:t>
      </w:r>
      <w:r>
        <w:rPr>
          <w:rFonts w:hint="eastAsia" w:ascii="仿宋_GB2312" w:hAnsi="仿宋_GB2312" w:eastAsia="仿宋_GB2312" w:cs="仿宋_GB2312"/>
          <w:sz w:val="32"/>
          <w:szCs w:val="32"/>
          <w:highlight w:val="none"/>
          <w:lang w:val="en-US" w:eastAsia="zh-CN"/>
        </w:rPr>
        <w:t>0</w:t>
      </w:r>
      <w:r>
        <w:rPr>
          <w:rFonts w:hint="eastAsia" w:ascii="仿宋_GB2312" w:hAnsi="仿宋_GB2312" w:eastAsia="仿宋_GB2312" w:cs="仿宋_GB2312"/>
          <w:sz w:val="32"/>
          <w:szCs w:val="32"/>
          <w:highlight w:val="none"/>
        </w:rPr>
        <w:t>名，工勤</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名，事业</w:t>
      </w:r>
      <w:r>
        <w:rPr>
          <w:rFonts w:hint="eastAsia" w:ascii="仿宋_GB2312" w:hAnsi="仿宋_GB2312" w:eastAsia="仿宋_GB2312" w:cs="仿宋_GB2312"/>
          <w:sz w:val="32"/>
          <w:szCs w:val="32"/>
          <w:highlight w:val="none"/>
          <w:lang w:val="en-US" w:eastAsia="zh-CN"/>
        </w:rPr>
        <w:t>16</w:t>
      </w:r>
      <w:r>
        <w:rPr>
          <w:rFonts w:hint="eastAsia" w:ascii="仿宋_GB2312" w:hAnsi="仿宋_GB2312" w:eastAsia="仿宋_GB2312" w:cs="仿宋_GB2312"/>
          <w:sz w:val="32"/>
          <w:szCs w:val="32"/>
          <w:highlight w:val="none"/>
        </w:rPr>
        <w:t>名。离休</w:t>
      </w:r>
      <w:r>
        <w:rPr>
          <w:rFonts w:hint="eastAsia" w:ascii="仿宋_GB2312" w:hAnsi="仿宋_GB2312" w:eastAsia="仿宋_GB2312" w:cs="仿宋_GB2312"/>
          <w:sz w:val="32"/>
          <w:szCs w:val="32"/>
          <w:highlight w:val="none"/>
          <w:lang w:val="en-US" w:eastAsia="zh-CN"/>
        </w:rPr>
        <w:t>0</w:t>
      </w:r>
      <w:r>
        <w:rPr>
          <w:rFonts w:hint="eastAsia" w:ascii="仿宋_GB2312" w:hAnsi="仿宋_GB2312" w:eastAsia="仿宋_GB2312" w:cs="仿宋_GB2312"/>
          <w:sz w:val="32"/>
          <w:szCs w:val="32"/>
          <w:highlight w:val="none"/>
        </w:rPr>
        <w:t>名。</w:t>
      </w:r>
    </w:p>
    <w:p w14:paraId="67601238">
      <w:pPr>
        <w:spacing w:line="600" w:lineRule="exact"/>
        <w:ind w:firstLine="640" w:firstLineChars="200"/>
        <w:rPr>
          <w:rFonts w:hint="eastAsia" w:ascii="仿宋" w:hAnsi="仿宋" w:eastAsia="仿宋"/>
          <w:sz w:val="32"/>
          <w:szCs w:val="32"/>
          <w:highlight w:val="yellow"/>
        </w:rPr>
      </w:pPr>
    </w:p>
    <w:p w14:paraId="07A7CD2A">
      <w:pPr>
        <w:spacing w:line="600" w:lineRule="exact"/>
        <w:ind w:firstLine="640" w:firstLineChars="200"/>
        <w:rPr>
          <w:rFonts w:hint="eastAsia" w:ascii="仿宋" w:hAnsi="仿宋" w:eastAsia="仿宋"/>
          <w:sz w:val="32"/>
          <w:szCs w:val="32"/>
        </w:rPr>
      </w:pPr>
    </w:p>
    <w:p w14:paraId="4D7DAE61">
      <w:pPr>
        <w:spacing w:line="600" w:lineRule="exact"/>
        <w:ind w:firstLine="640" w:firstLineChars="200"/>
        <w:rPr>
          <w:rFonts w:hint="eastAsia" w:ascii="仿宋" w:hAnsi="仿宋" w:eastAsia="仿宋"/>
          <w:sz w:val="32"/>
          <w:szCs w:val="32"/>
        </w:rPr>
      </w:pPr>
    </w:p>
    <w:p w14:paraId="64DC27CF">
      <w:pPr>
        <w:numPr>
          <w:ilvl w:val="0"/>
          <w:numId w:val="0"/>
        </w:numPr>
        <w:ind w:leftChars="0"/>
        <w:jc w:val="both"/>
        <w:rPr>
          <w:rFonts w:hint="eastAsia"/>
          <w:b/>
          <w:bCs/>
          <w:sz w:val="52"/>
          <w:szCs w:val="52"/>
          <w:lang w:val="en-US" w:eastAsia="zh-CN"/>
        </w:rPr>
      </w:pPr>
    </w:p>
    <w:p w14:paraId="2EB4F15D">
      <w:pPr>
        <w:pStyle w:val="2"/>
        <w:rPr>
          <w:rFonts w:hint="eastAsia"/>
          <w:b/>
          <w:bCs/>
          <w:sz w:val="52"/>
          <w:szCs w:val="52"/>
          <w:lang w:val="en-US" w:eastAsia="zh-CN"/>
        </w:rPr>
      </w:pPr>
    </w:p>
    <w:p w14:paraId="5A25AFAA">
      <w:pPr>
        <w:rPr>
          <w:rFonts w:hint="eastAsia"/>
          <w:b/>
          <w:bCs/>
          <w:sz w:val="52"/>
          <w:szCs w:val="52"/>
          <w:lang w:val="en-US" w:eastAsia="zh-CN"/>
        </w:rPr>
      </w:pPr>
    </w:p>
    <w:p w14:paraId="6E7E74A1">
      <w:pPr>
        <w:pStyle w:val="2"/>
        <w:rPr>
          <w:rFonts w:hint="eastAsia"/>
          <w:lang w:val="en-US" w:eastAsia="zh-CN"/>
        </w:rPr>
      </w:pPr>
    </w:p>
    <w:p w14:paraId="2ADB5B05">
      <w:pPr>
        <w:numPr>
          <w:ilvl w:val="0"/>
          <w:numId w:val="0"/>
        </w:numPr>
        <w:jc w:val="both"/>
        <w:rPr>
          <w:rFonts w:hint="eastAsia" w:ascii="方正小标宋简体" w:hAnsi="方正小标宋简体" w:eastAsia="方正小标宋简体" w:cs="方正小标宋简体"/>
          <w:b/>
          <w:bCs/>
          <w:sz w:val="52"/>
          <w:szCs w:val="52"/>
          <w:lang w:val="en-US" w:eastAsia="zh-CN"/>
        </w:rPr>
      </w:pPr>
    </w:p>
    <w:p w14:paraId="0582688E">
      <w:pPr>
        <w:pStyle w:val="2"/>
        <w:rPr>
          <w:rFonts w:hint="eastAsia" w:ascii="方正小标宋简体" w:hAnsi="方正小标宋简体" w:eastAsia="方正小标宋简体" w:cs="方正小标宋简体"/>
          <w:b/>
          <w:bCs/>
          <w:sz w:val="52"/>
          <w:szCs w:val="52"/>
          <w:lang w:val="en-US" w:eastAsia="zh-CN"/>
        </w:rPr>
      </w:pPr>
    </w:p>
    <w:p w14:paraId="07845513">
      <w:pPr>
        <w:rPr>
          <w:rFonts w:hint="eastAsia" w:ascii="方正小标宋简体" w:hAnsi="方正小标宋简体" w:eastAsia="方正小标宋简体" w:cs="方正小标宋简体"/>
          <w:b/>
          <w:bCs/>
          <w:sz w:val="52"/>
          <w:szCs w:val="52"/>
          <w:lang w:val="en-US" w:eastAsia="zh-CN"/>
        </w:rPr>
      </w:pPr>
    </w:p>
    <w:p w14:paraId="20EBB514">
      <w:pPr>
        <w:pStyle w:val="2"/>
        <w:rPr>
          <w:rFonts w:hint="eastAsia"/>
          <w:lang w:val="en-US" w:eastAsia="zh-CN"/>
        </w:rPr>
      </w:pPr>
    </w:p>
    <w:p w14:paraId="25B10FF2">
      <w:pPr>
        <w:numPr>
          <w:ilvl w:val="0"/>
          <w:numId w:val="0"/>
        </w:numPr>
        <w:jc w:val="both"/>
        <w:rPr>
          <w:rFonts w:hint="eastAsia" w:ascii="方正小标宋简体" w:hAnsi="方正小标宋简体" w:eastAsia="方正小标宋简体" w:cs="方正小标宋简体"/>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 xml:space="preserve"> </w:t>
      </w:r>
    </w:p>
    <w:p w14:paraId="2B38E839">
      <w:pPr>
        <w:numPr>
          <w:ilvl w:val="0"/>
          <w:numId w:val="0"/>
        </w:numPr>
        <w:jc w:val="center"/>
        <w:rPr>
          <w:rFonts w:hint="eastAsia" w:ascii="方正小标宋简体" w:hAnsi="方正小标宋简体" w:eastAsia="方正小标宋简体" w:cs="方正小标宋简体"/>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第二部分  峨边彝族自治县融媒体中心2025年部门预算表</w:t>
      </w:r>
    </w:p>
    <w:p w14:paraId="595D2CAF">
      <w:pPr>
        <w:spacing w:line="600" w:lineRule="exact"/>
        <w:rPr>
          <w:rFonts w:hint="default" w:ascii="仿宋" w:hAnsi="仿宋" w:eastAsia="仿宋" w:cs="Times New Roman"/>
          <w:sz w:val="32"/>
          <w:szCs w:val="32"/>
          <w:lang w:val="en-US" w:eastAsia="zh-CN"/>
        </w:rPr>
      </w:pPr>
    </w:p>
    <w:p w14:paraId="4CF81D51">
      <w:pPr>
        <w:spacing w:line="600" w:lineRule="exact"/>
        <w:rPr>
          <w:rFonts w:hint="eastAsia" w:ascii="仿宋" w:hAnsi="仿宋" w:eastAsia="仿宋"/>
          <w:sz w:val="32"/>
          <w:szCs w:val="32"/>
          <w:lang w:val="en-US" w:eastAsia="zh-CN"/>
        </w:rPr>
      </w:pPr>
    </w:p>
    <w:p w14:paraId="4E28901F">
      <w:pPr>
        <w:spacing w:line="600" w:lineRule="exact"/>
        <w:rPr>
          <w:rFonts w:hint="eastAsia" w:ascii="仿宋" w:hAnsi="仿宋" w:eastAsia="仿宋"/>
          <w:sz w:val="32"/>
          <w:szCs w:val="32"/>
          <w:lang w:val="en-US" w:eastAsia="zh-CN"/>
        </w:rPr>
      </w:pPr>
    </w:p>
    <w:p w14:paraId="425726D7">
      <w:pPr>
        <w:spacing w:line="600" w:lineRule="exact"/>
        <w:rPr>
          <w:rFonts w:hint="eastAsia" w:ascii="仿宋" w:hAnsi="仿宋" w:eastAsia="仿宋"/>
          <w:sz w:val="32"/>
          <w:szCs w:val="32"/>
          <w:lang w:val="en-US" w:eastAsia="zh-CN"/>
        </w:rPr>
      </w:pPr>
    </w:p>
    <w:p w14:paraId="31005A36">
      <w:pPr>
        <w:spacing w:line="600" w:lineRule="exact"/>
        <w:rPr>
          <w:rFonts w:hint="default" w:ascii="仿宋" w:hAnsi="仿宋" w:eastAsia="仿宋"/>
          <w:sz w:val="32"/>
          <w:szCs w:val="32"/>
          <w:lang w:val="en-US" w:eastAsia="zh-CN"/>
        </w:rPr>
      </w:pPr>
    </w:p>
    <w:p w14:paraId="1554946F">
      <w:pPr>
        <w:numPr>
          <w:ilvl w:val="0"/>
          <w:numId w:val="0"/>
        </w:numPr>
        <w:spacing w:line="600" w:lineRule="exact"/>
        <w:rPr>
          <w:rFonts w:hint="eastAsia" w:ascii="仿宋" w:hAnsi="仿宋" w:eastAsia="仿宋" w:cs="Times New Roman"/>
          <w:sz w:val="32"/>
          <w:szCs w:val="32"/>
          <w:lang w:val="en-US" w:eastAsia="zh-CN"/>
        </w:rPr>
      </w:pPr>
    </w:p>
    <w:p w14:paraId="2D0509F8">
      <w:pPr>
        <w:numPr>
          <w:ilvl w:val="0"/>
          <w:numId w:val="0"/>
        </w:numPr>
        <w:spacing w:line="600" w:lineRule="exact"/>
        <w:rPr>
          <w:rFonts w:hint="eastAsia" w:ascii="仿宋" w:hAnsi="仿宋" w:eastAsia="仿宋" w:cs="Times New Roman"/>
          <w:sz w:val="32"/>
          <w:szCs w:val="32"/>
          <w:lang w:val="en-US" w:eastAsia="zh-CN"/>
        </w:rPr>
      </w:pPr>
    </w:p>
    <w:p w14:paraId="595FE0F3">
      <w:pPr>
        <w:numPr>
          <w:ilvl w:val="0"/>
          <w:numId w:val="0"/>
        </w:numPr>
        <w:spacing w:line="600" w:lineRule="exact"/>
        <w:rPr>
          <w:rFonts w:hint="eastAsia" w:ascii="仿宋" w:hAnsi="仿宋" w:eastAsia="仿宋" w:cs="Times New Roman"/>
          <w:sz w:val="32"/>
          <w:szCs w:val="32"/>
          <w:lang w:val="en-US" w:eastAsia="zh-CN"/>
        </w:rPr>
      </w:pPr>
    </w:p>
    <w:p w14:paraId="24FD861F">
      <w:pPr>
        <w:numPr>
          <w:ilvl w:val="0"/>
          <w:numId w:val="0"/>
        </w:numPr>
        <w:spacing w:line="600" w:lineRule="exact"/>
        <w:rPr>
          <w:rFonts w:hint="eastAsia" w:ascii="仿宋" w:hAnsi="仿宋" w:eastAsia="仿宋" w:cs="Times New Roman"/>
          <w:sz w:val="32"/>
          <w:szCs w:val="32"/>
          <w:lang w:val="en-US" w:eastAsia="zh-CN"/>
        </w:rPr>
      </w:pPr>
    </w:p>
    <w:p w14:paraId="4BBF7F39">
      <w:pPr>
        <w:numPr>
          <w:ilvl w:val="0"/>
          <w:numId w:val="0"/>
        </w:numPr>
        <w:spacing w:line="600" w:lineRule="exact"/>
        <w:rPr>
          <w:rFonts w:hint="eastAsia" w:ascii="仿宋" w:hAnsi="仿宋" w:eastAsia="仿宋" w:cs="Times New Roman"/>
          <w:sz w:val="32"/>
          <w:szCs w:val="32"/>
          <w:lang w:val="en-US" w:eastAsia="zh-CN"/>
        </w:rPr>
      </w:pPr>
    </w:p>
    <w:p w14:paraId="5D21DB98">
      <w:pPr>
        <w:numPr>
          <w:ilvl w:val="0"/>
          <w:numId w:val="0"/>
        </w:numPr>
        <w:ind w:leftChars="0"/>
        <w:jc w:val="center"/>
        <w:rPr>
          <w:rFonts w:hint="eastAsia"/>
          <w:b/>
          <w:bCs/>
          <w:sz w:val="52"/>
          <w:szCs w:val="52"/>
          <w:lang w:val="en-US" w:eastAsia="zh-CN"/>
        </w:rPr>
      </w:pPr>
    </w:p>
    <w:p w14:paraId="6EDD4BB1">
      <w:pPr>
        <w:numPr>
          <w:ilvl w:val="0"/>
          <w:numId w:val="0"/>
        </w:numPr>
        <w:ind w:leftChars="0"/>
        <w:jc w:val="center"/>
        <w:rPr>
          <w:rFonts w:hint="eastAsia"/>
          <w:b/>
          <w:bCs/>
          <w:sz w:val="52"/>
          <w:szCs w:val="52"/>
          <w:lang w:val="en-US" w:eastAsia="zh-CN"/>
        </w:rPr>
      </w:pPr>
    </w:p>
    <w:p w14:paraId="1FC10291">
      <w:pPr>
        <w:numPr>
          <w:ilvl w:val="0"/>
          <w:numId w:val="0"/>
        </w:numPr>
        <w:ind w:leftChars="0"/>
        <w:jc w:val="center"/>
        <w:rPr>
          <w:rFonts w:hint="eastAsia"/>
          <w:b/>
          <w:bCs/>
          <w:sz w:val="52"/>
          <w:szCs w:val="52"/>
          <w:lang w:val="en-US" w:eastAsia="zh-CN"/>
        </w:rPr>
      </w:pPr>
    </w:p>
    <w:p w14:paraId="6E8FA847">
      <w:pPr>
        <w:numPr>
          <w:ilvl w:val="0"/>
          <w:numId w:val="0"/>
        </w:numPr>
        <w:ind w:leftChars="0"/>
        <w:jc w:val="center"/>
        <w:rPr>
          <w:rFonts w:hint="eastAsia"/>
          <w:b/>
          <w:bCs/>
          <w:sz w:val="52"/>
          <w:szCs w:val="52"/>
          <w:lang w:val="en-US" w:eastAsia="zh-CN"/>
        </w:rPr>
      </w:pPr>
    </w:p>
    <w:p w14:paraId="0B982A52">
      <w:pPr>
        <w:numPr>
          <w:ilvl w:val="0"/>
          <w:numId w:val="0"/>
        </w:numPr>
        <w:ind w:leftChars="0"/>
        <w:jc w:val="center"/>
        <w:rPr>
          <w:rFonts w:hint="eastAsia"/>
          <w:b/>
          <w:bCs/>
          <w:sz w:val="52"/>
          <w:szCs w:val="52"/>
          <w:lang w:val="en-US" w:eastAsia="zh-CN"/>
        </w:rPr>
      </w:pPr>
      <w:r>
        <w:rPr>
          <w:rFonts w:hint="eastAsia"/>
          <w:b/>
          <w:bCs/>
          <w:sz w:val="52"/>
          <w:szCs w:val="52"/>
          <w:lang w:val="en-US" w:eastAsia="zh-CN"/>
        </w:rPr>
        <w:drawing>
          <wp:inline distT="0" distB="0" distL="114300" distR="114300">
            <wp:extent cx="5414645" cy="3789045"/>
            <wp:effectExtent l="0" t="0" r="10795" b="571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414645" cy="3789045"/>
                    </a:xfrm>
                    <a:prstGeom prst="rect">
                      <a:avLst/>
                    </a:prstGeom>
                  </pic:spPr>
                </pic:pic>
              </a:graphicData>
            </a:graphic>
          </wp:inline>
        </w:drawing>
      </w:r>
    </w:p>
    <w:p w14:paraId="245EE1E9">
      <w:pPr>
        <w:numPr>
          <w:ilvl w:val="0"/>
          <w:numId w:val="0"/>
        </w:numPr>
        <w:ind w:leftChars="0"/>
        <w:jc w:val="center"/>
        <w:rPr>
          <w:rFonts w:hint="eastAsia"/>
          <w:b/>
          <w:bCs/>
          <w:sz w:val="52"/>
          <w:szCs w:val="52"/>
          <w:lang w:val="en-US" w:eastAsia="zh-CN"/>
        </w:rPr>
      </w:pPr>
      <w:r>
        <w:rPr>
          <w:rFonts w:hint="eastAsia"/>
          <w:b/>
          <w:bCs/>
          <w:sz w:val="52"/>
          <w:szCs w:val="52"/>
          <w:lang w:val="en-US" w:eastAsia="zh-CN"/>
        </w:rPr>
        <w:drawing>
          <wp:inline distT="0" distB="0" distL="114300" distR="114300">
            <wp:extent cx="5410835" cy="2105025"/>
            <wp:effectExtent l="0" t="0" r="14605" b="1333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410835" cy="2105025"/>
                    </a:xfrm>
                    <a:prstGeom prst="rect">
                      <a:avLst/>
                    </a:prstGeom>
                  </pic:spPr>
                </pic:pic>
              </a:graphicData>
            </a:graphic>
          </wp:inline>
        </w:drawing>
      </w:r>
    </w:p>
    <w:p w14:paraId="5F1D6F85">
      <w:pPr>
        <w:numPr>
          <w:ilvl w:val="0"/>
          <w:numId w:val="0"/>
        </w:numPr>
        <w:ind w:leftChars="0"/>
        <w:jc w:val="center"/>
        <w:rPr>
          <w:rFonts w:hint="eastAsia"/>
          <w:b/>
          <w:bCs/>
          <w:sz w:val="52"/>
          <w:szCs w:val="52"/>
          <w:lang w:val="en-US" w:eastAsia="zh-CN"/>
        </w:rPr>
      </w:pPr>
      <w:r>
        <w:rPr>
          <w:rFonts w:hint="eastAsia"/>
          <w:b/>
          <w:bCs/>
          <w:sz w:val="52"/>
          <w:szCs w:val="52"/>
          <w:lang w:val="en-US" w:eastAsia="zh-CN"/>
        </w:rPr>
        <w:drawing>
          <wp:inline distT="0" distB="0" distL="114300" distR="114300">
            <wp:extent cx="5408295" cy="2461260"/>
            <wp:effectExtent l="0" t="0" r="1905" b="762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408295" cy="2461260"/>
                    </a:xfrm>
                    <a:prstGeom prst="rect">
                      <a:avLst/>
                    </a:prstGeom>
                  </pic:spPr>
                </pic:pic>
              </a:graphicData>
            </a:graphic>
          </wp:inline>
        </w:drawing>
      </w:r>
    </w:p>
    <w:p w14:paraId="7CA889A8">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08295" cy="2830830"/>
            <wp:effectExtent l="0" t="0" r="1905" b="381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408295" cy="2830830"/>
                    </a:xfrm>
                    <a:prstGeom prst="rect">
                      <a:avLst/>
                    </a:prstGeom>
                  </pic:spPr>
                </pic:pic>
              </a:graphicData>
            </a:graphic>
          </wp:inline>
        </w:drawing>
      </w:r>
    </w:p>
    <w:p w14:paraId="7BA453A8">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10200" cy="2340610"/>
            <wp:effectExtent l="0" t="0" r="0" b="635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5410200" cy="2340610"/>
                    </a:xfrm>
                    <a:prstGeom prst="rect">
                      <a:avLst/>
                    </a:prstGeom>
                  </pic:spPr>
                </pic:pic>
              </a:graphicData>
            </a:graphic>
          </wp:inline>
        </w:drawing>
      </w:r>
    </w:p>
    <w:p w14:paraId="299259D9">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16550" cy="1647190"/>
            <wp:effectExtent l="0" t="0" r="8890" b="1397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
                    <pic:cNvPicPr>
                      <a:picLocks noChangeAspect="1"/>
                    </pic:cNvPicPr>
                  </pic:nvPicPr>
                  <pic:blipFill>
                    <a:blip r:embed="rId9"/>
                    <a:stretch>
                      <a:fillRect/>
                    </a:stretch>
                  </pic:blipFill>
                  <pic:spPr>
                    <a:xfrm>
                      <a:off x="0" y="0"/>
                      <a:ext cx="5416550" cy="1647190"/>
                    </a:xfrm>
                    <a:prstGeom prst="rect">
                      <a:avLst/>
                    </a:prstGeom>
                  </pic:spPr>
                </pic:pic>
              </a:graphicData>
            </a:graphic>
          </wp:inline>
        </w:drawing>
      </w:r>
    </w:p>
    <w:p w14:paraId="2AF40D8B">
      <w:pPr>
        <w:numPr>
          <w:ilvl w:val="0"/>
          <w:numId w:val="0"/>
        </w:numPr>
        <w:ind w:leftChars="0"/>
        <w:jc w:val="both"/>
        <w:rPr>
          <w:rFonts w:hint="eastAsia"/>
          <w:b/>
          <w:bCs/>
          <w:sz w:val="52"/>
          <w:szCs w:val="52"/>
          <w:lang w:val="en-US" w:eastAsia="zh-CN"/>
        </w:rPr>
      </w:pPr>
    </w:p>
    <w:p w14:paraId="16FEBA98">
      <w:pPr>
        <w:numPr>
          <w:ilvl w:val="0"/>
          <w:numId w:val="0"/>
        </w:numPr>
        <w:ind w:leftChars="0"/>
        <w:jc w:val="both"/>
        <w:rPr>
          <w:rFonts w:hint="eastAsia"/>
          <w:b/>
          <w:bCs/>
          <w:sz w:val="52"/>
          <w:szCs w:val="52"/>
          <w:lang w:val="en-US" w:eastAsia="zh-CN"/>
        </w:rPr>
      </w:pPr>
    </w:p>
    <w:p w14:paraId="04038976">
      <w:pPr>
        <w:numPr>
          <w:ilvl w:val="0"/>
          <w:numId w:val="0"/>
        </w:numPr>
        <w:ind w:leftChars="0"/>
        <w:jc w:val="both"/>
        <w:rPr>
          <w:rFonts w:hint="eastAsia"/>
          <w:b/>
          <w:bCs/>
          <w:sz w:val="52"/>
          <w:szCs w:val="52"/>
          <w:lang w:val="en-US" w:eastAsia="zh-CN"/>
        </w:rPr>
      </w:pPr>
    </w:p>
    <w:p w14:paraId="0B944CA0">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12740" cy="2818765"/>
            <wp:effectExtent l="0" t="0" r="12700" b="63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0"/>
                    <a:stretch>
                      <a:fillRect/>
                    </a:stretch>
                  </pic:blipFill>
                  <pic:spPr>
                    <a:xfrm>
                      <a:off x="0" y="0"/>
                      <a:ext cx="5412740" cy="2818765"/>
                    </a:xfrm>
                    <a:prstGeom prst="rect">
                      <a:avLst/>
                    </a:prstGeom>
                  </pic:spPr>
                </pic:pic>
              </a:graphicData>
            </a:graphic>
          </wp:inline>
        </w:drawing>
      </w:r>
    </w:p>
    <w:p w14:paraId="659D65FA">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15280" cy="3448685"/>
            <wp:effectExtent l="0" t="0" r="10160" b="1079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1"/>
                    <a:stretch>
                      <a:fillRect/>
                    </a:stretch>
                  </pic:blipFill>
                  <pic:spPr>
                    <a:xfrm>
                      <a:off x="0" y="0"/>
                      <a:ext cx="5415280" cy="3448685"/>
                    </a:xfrm>
                    <a:prstGeom prst="rect">
                      <a:avLst/>
                    </a:prstGeom>
                  </pic:spPr>
                </pic:pic>
              </a:graphicData>
            </a:graphic>
          </wp:inline>
        </w:drawing>
      </w:r>
    </w:p>
    <w:p w14:paraId="73552094">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229860" cy="2016125"/>
            <wp:effectExtent l="0" t="0" r="12700" b="1079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2"/>
                    <a:stretch>
                      <a:fillRect/>
                    </a:stretch>
                  </pic:blipFill>
                  <pic:spPr>
                    <a:xfrm>
                      <a:off x="0" y="0"/>
                      <a:ext cx="5229860" cy="2016125"/>
                    </a:xfrm>
                    <a:prstGeom prst="rect">
                      <a:avLst/>
                    </a:prstGeom>
                  </pic:spPr>
                </pic:pic>
              </a:graphicData>
            </a:graphic>
          </wp:inline>
        </w:drawing>
      </w:r>
    </w:p>
    <w:p w14:paraId="1BF36A7F">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14010" cy="2357120"/>
            <wp:effectExtent l="0" t="0" r="11430" b="508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13"/>
                    <a:stretch>
                      <a:fillRect/>
                    </a:stretch>
                  </pic:blipFill>
                  <pic:spPr>
                    <a:xfrm>
                      <a:off x="0" y="0"/>
                      <a:ext cx="5414010" cy="2357120"/>
                    </a:xfrm>
                    <a:prstGeom prst="rect">
                      <a:avLst/>
                    </a:prstGeom>
                  </pic:spPr>
                </pic:pic>
              </a:graphicData>
            </a:graphic>
          </wp:inline>
        </w:drawing>
      </w:r>
    </w:p>
    <w:p w14:paraId="175A82C3">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14010" cy="1338580"/>
            <wp:effectExtent l="0" t="0" r="11430" b="2540"/>
            <wp:docPr id="11" name="图片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
                    <pic:cNvPicPr>
                      <a:picLocks noChangeAspect="1"/>
                    </pic:cNvPicPr>
                  </pic:nvPicPr>
                  <pic:blipFill>
                    <a:blip r:embed="rId14"/>
                    <a:stretch>
                      <a:fillRect/>
                    </a:stretch>
                  </pic:blipFill>
                  <pic:spPr>
                    <a:xfrm>
                      <a:off x="0" y="0"/>
                      <a:ext cx="5414010" cy="1338580"/>
                    </a:xfrm>
                    <a:prstGeom prst="rect">
                      <a:avLst/>
                    </a:prstGeom>
                  </pic:spPr>
                </pic:pic>
              </a:graphicData>
            </a:graphic>
          </wp:inline>
        </w:drawing>
      </w:r>
    </w:p>
    <w:p w14:paraId="15FE4B20">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08295" cy="1880870"/>
            <wp:effectExtent l="0" t="0" r="1905" b="889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5"/>
                    <a:stretch>
                      <a:fillRect/>
                    </a:stretch>
                  </pic:blipFill>
                  <pic:spPr>
                    <a:xfrm>
                      <a:off x="0" y="0"/>
                      <a:ext cx="5408295" cy="1880870"/>
                    </a:xfrm>
                    <a:prstGeom prst="rect">
                      <a:avLst/>
                    </a:prstGeom>
                  </pic:spPr>
                </pic:pic>
              </a:graphicData>
            </a:graphic>
          </wp:inline>
        </w:drawing>
      </w:r>
    </w:p>
    <w:p w14:paraId="0E9E7C2C">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12740" cy="1297940"/>
            <wp:effectExtent l="0" t="0" r="12700" b="1270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6"/>
                    <a:stretch>
                      <a:fillRect/>
                    </a:stretch>
                  </pic:blipFill>
                  <pic:spPr>
                    <a:xfrm>
                      <a:off x="0" y="0"/>
                      <a:ext cx="5412740" cy="1297940"/>
                    </a:xfrm>
                    <a:prstGeom prst="rect">
                      <a:avLst/>
                    </a:prstGeom>
                  </pic:spPr>
                </pic:pic>
              </a:graphicData>
            </a:graphic>
          </wp:inline>
        </w:drawing>
      </w:r>
    </w:p>
    <w:p w14:paraId="151A1BC6">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15915" cy="3742690"/>
            <wp:effectExtent l="0" t="0" r="13335" b="10160"/>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17"/>
                    <a:stretch>
                      <a:fillRect/>
                    </a:stretch>
                  </pic:blipFill>
                  <pic:spPr>
                    <a:xfrm>
                      <a:off x="0" y="0"/>
                      <a:ext cx="5415915" cy="3742690"/>
                    </a:xfrm>
                    <a:prstGeom prst="rect">
                      <a:avLst/>
                    </a:prstGeom>
                  </pic:spPr>
                </pic:pic>
              </a:graphicData>
            </a:graphic>
          </wp:inline>
        </w:drawing>
      </w:r>
    </w:p>
    <w:p w14:paraId="2857EE73">
      <w:pPr>
        <w:numPr>
          <w:ilvl w:val="0"/>
          <w:numId w:val="0"/>
        </w:numPr>
        <w:ind w:leftChars="0"/>
        <w:jc w:val="both"/>
        <w:rPr>
          <w:rFonts w:hint="eastAsia"/>
          <w:b/>
          <w:bCs/>
          <w:sz w:val="52"/>
          <w:szCs w:val="52"/>
          <w:lang w:val="en-US" w:eastAsia="zh-CN"/>
        </w:rPr>
      </w:pPr>
    </w:p>
    <w:p w14:paraId="4FA50148">
      <w:pPr>
        <w:numPr>
          <w:ilvl w:val="0"/>
          <w:numId w:val="0"/>
        </w:numPr>
        <w:ind w:leftChars="0"/>
        <w:jc w:val="both"/>
        <w:rPr>
          <w:rFonts w:hint="eastAsia"/>
          <w:b/>
          <w:bCs/>
          <w:sz w:val="52"/>
          <w:szCs w:val="52"/>
          <w:lang w:val="en-US" w:eastAsia="zh-CN"/>
        </w:rPr>
      </w:pPr>
      <w:r>
        <w:rPr>
          <w:rFonts w:hint="eastAsia"/>
          <w:b/>
          <w:bCs/>
          <w:sz w:val="52"/>
          <w:szCs w:val="52"/>
          <w:lang w:val="en-US" w:eastAsia="zh-CN"/>
        </w:rPr>
        <w:drawing>
          <wp:inline distT="0" distB="0" distL="114300" distR="114300">
            <wp:extent cx="5408295" cy="7552055"/>
            <wp:effectExtent l="0" t="0" r="1905" b="10795"/>
            <wp:docPr id="15"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1"/>
                    </pic:cNvPicPr>
                  </pic:nvPicPr>
                  <pic:blipFill>
                    <a:blip r:embed="rId18"/>
                    <a:stretch>
                      <a:fillRect/>
                    </a:stretch>
                  </pic:blipFill>
                  <pic:spPr>
                    <a:xfrm>
                      <a:off x="0" y="0"/>
                      <a:ext cx="5408295" cy="7552055"/>
                    </a:xfrm>
                    <a:prstGeom prst="rect">
                      <a:avLst/>
                    </a:prstGeom>
                  </pic:spPr>
                </pic:pic>
              </a:graphicData>
            </a:graphic>
          </wp:inline>
        </w:drawing>
      </w:r>
    </w:p>
    <w:p w14:paraId="5017788A">
      <w:pPr>
        <w:numPr>
          <w:ilvl w:val="0"/>
          <w:numId w:val="0"/>
        </w:numPr>
        <w:ind w:leftChars="0"/>
        <w:jc w:val="center"/>
        <w:rPr>
          <w:rFonts w:hint="eastAsia"/>
          <w:b/>
          <w:bCs/>
          <w:sz w:val="52"/>
          <w:szCs w:val="52"/>
          <w:lang w:val="en-US" w:eastAsia="zh-CN"/>
        </w:rPr>
      </w:pPr>
    </w:p>
    <w:p w14:paraId="6E212FA1">
      <w:pPr>
        <w:numPr>
          <w:ilvl w:val="0"/>
          <w:numId w:val="0"/>
        </w:numPr>
        <w:ind w:leftChars="0"/>
        <w:jc w:val="center"/>
        <w:rPr>
          <w:rFonts w:hint="eastAsia"/>
          <w:b/>
          <w:bCs/>
          <w:sz w:val="52"/>
          <w:szCs w:val="52"/>
          <w:lang w:val="en-US" w:eastAsia="zh-CN"/>
        </w:rPr>
      </w:pPr>
    </w:p>
    <w:p w14:paraId="77067DF2">
      <w:pPr>
        <w:numPr>
          <w:ilvl w:val="0"/>
          <w:numId w:val="0"/>
        </w:numPr>
        <w:ind w:leftChars="0"/>
        <w:jc w:val="both"/>
        <w:rPr>
          <w:rFonts w:hint="eastAsia"/>
          <w:b/>
          <w:bCs/>
          <w:sz w:val="52"/>
          <w:szCs w:val="52"/>
          <w:lang w:val="en-US" w:eastAsia="zh-CN"/>
        </w:rPr>
      </w:pPr>
    </w:p>
    <w:p w14:paraId="3FF62189">
      <w:pPr>
        <w:numPr>
          <w:ilvl w:val="0"/>
          <w:numId w:val="0"/>
        </w:numPr>
        <w:ind w:leftChars="0"/>
        <w:jc w:val="both"/>
        <w:rPr>
          <w:rFonts w:hint="eastAsia"/>
          <w:b/>
          <w:bCs/>
          <w:sz w:val="52"/>
          <w:szCs w:val="52"/>
          <w:lang w:val="en-US" w:eastAsia="zh-CN"/>
        </w:rPr>
      </w:pPr>
    </w:p>
    <w:tbl>
      <w:tblPr>
        <w:tblStyle w:val="9"/>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3"/>
        <w:gridCol w:w="864"/>
        <w:gridCol w:w="1225"/>
        <w:gridCol w:w="2357"/>
        <w:gridCol w:w="954"/>
        <w:gridCol w:w="933"/>
        <w:gridCol w:w="954"/>
        <w:gridCol w:w="593"/>
      </w:tblGrid>
      <w:tr w14:paraId="2DCD9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0" w:type="auto"/>
            <w:gridSpan w:val="8"/>
            <w:tcBorders>
              <w:top w:val="nil"/>
              <w:left w:val="nil"/>
              <w:bottom w:val="nil"/>
              <w:right w:val="nil"/>
            </w:tcBorders>
            <w:shd w:val="clear" w:color="auto" w:fill="auto"/>
            <w:vAlign w:val="center"/>
          </w:tcPr>
          <w:p w14:paraId="767E32E6">
            <w:pPr>
              <w:keepNext w:val="0"/>
              <w:keepLines w:val="0"/>
              <w:widowControl/>
              <w:suppressLineNumbers w:val="0"/>
              <w:jc w:val="center"/>
              <w:textAlignment w:val="center"/>
              <w:rPr>
                <w:rFonts w:ascii="黑体" w:hAnsi="宋体" w:eastAsia="黑体" w:cs="黑体"/>
                <w:i w:val="0"/>
                <w:iCs w:val="0"/>
                <w:color w:val="000000"/>
                <w:sz w:val="30"/>
                <w:szCs w:val="30"/>
                <w:u w:val="none"/>
              </w:rPr>
            </w:pPr>
            <w:r>
              <w:rPr>
                <w:rFonts w:hint="eastAsia" w:ascii="黑体" w:hAnsi="宋体" w:eastAsia="黑体" w:cs="黑体"/>
                <w:i w:val="0"/>
                <w:iCs w:val="0"/>
                <w:color w:val="000000"/>
                <w:kern w:val="0"/>
                <w:sz w:val="30"/>
                <w:szCs w:val="30"/>
                <w:u w:val="none"/>
                <w:lang w:val="en-US" w:eastAsia="zh-CN" w:bidi="ar"/>
              </w:rPr>
              <w:t>部门整体支出绩效目标表</w:t>
            </w:r>
          </w:p>
        </w:tc>
      </w:tr>
      <w:tr w14:paraId="1B737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0" w:type="auto"/>
            <w:gridSpan w:val="8"/>
            <w:tcBorders>
              <w:top w:val="nil"/>
              <w:left w:val="nil"/>
              <w:bottom w:val="nil"/>
              <w:right w:val="nil"/>
            </w:tcBorders>
            <w:shd w:val="clear" w:color="auto" w:fill="auto"/>
            <w:vAlign w:val="center"/>
          </w:tcPr>
          <w:p w14:paraId="1B095A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w:t>
            </w:r>
            <w:r>
              <w:rPr>
                <w:rFonts w:hint="eastAsia" w:ascii="宋体" w:hAnsi="宋体" w:eastAsia="宋体" w:cs="宋体"/>
                <w:i w:val="0"/>
                <w:iCs w:val="0"/>
                <w:color w:val="000000"/>
                <w:kern w:val="0"/>
                <w:sz w:val="18"/>
                <w:szCs w:val="18"/>
                <w:u w:val="none"/>
                <w:lang w:val="en-US" w:eastAsia="zh-CN" w:bidi="ar"/>
              </w:rPr>
              <w:t>5</w:t>
            </w:r>
            <w:r>
              <w:rPr>
                <w:rFonts w:ascii="宋体" w:hAnsi="宋体" w:eastAsia="宋体" w:cs="宋体"/>
                <w:i w:val="0"/>
                <w:iCs w:val="0"/>
                <w:color w:val="000000"/>
                <w:kern w:val="0"/>
                <w:sz w:val="18"/>
                <w:szCs w:val="18"/>
                <w:u w:val="none"/>
                <w:lang w:val="en-US" w:eastAsia="zh-CN" w:bidi="ar"/>
              </w:rPr>
              <w:t>年度）</w:t>
            </w:r>
          </w:p>
        </w:tc>
      </w:tr>
      <w:tr w14:paraId="2AE0F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0" w:type="auto"/>
            <w:gridSpan w:val="8"/>
            <w:tcBorders>
              <w:top w:val="nil"/>
              <w:left w:val="nil"/>
              <w:bottom w:val="single" w:color="000000" w:sz="4" w:space="0"/>
              <w:right w:val="nil"/>
            </w:tcBorders>
            <w:shd w:val="clear" w:color="auto" w:fill="auto"/>
            <w:vAlign w:val="center"/>
          </w:tcPr>
          <w:p w14:paraId="108E6E75">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单位：万元</w:t>
            </w:r>
          </w:p>
        </w:tc>
      </w:tr>
      <w:tr w14:paraId="5D9A5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B985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部门名称</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A4B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峨边彝族自治县融媒体中心本级</w:t>
            </w:r>
          </w:p>
        </w:tc>
      </w:tr>
      <w:tr w14:paraId="513A7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6553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年度部门整体支出预算</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7247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资金总额</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E25C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财政拨款</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45E1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r>
      <w:tr w14:paraId="30AA9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DB0C5">
            <w:pPr>
              <w:jc w:val="center"/>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E0D73B">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ascii="宋体" w:hAnsi="宋体" w:eastAsia="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30.74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6F9DD">
            <w:pPr>
              <w:keepNext w:val="0"/>
              <w:keepLines w:val="0"/>
              <w:widowControl/>
              <w:suppressLineNumbers w:val="0"/>
              <w:jc w:val="right"/>
              <w:textAlignment w:val="center"/>
              <w:rPr>
                <w:rFonts w:hint="default" w:ascii="宋体" w:hAnsi="宋体" w:eastAsia="宋体" w:cs="宋体"/>
                <w:i w:val="0"/>
                <w:iCs w:val="0"/>
                <w:color w:val="000000"/>
                <w:sz w:val="18"/>
                <w:szCs w:val="18"/>
                <w:u w:val="none"/>
                <w:lang w:val="en-US"/>
              </w:rPr>
            </w:pPr>
            <w:r>
              <w:rPr>
                <w:rFonts w:ascii="宋体" w:hAnsi="宋体" w:eastAsia="宋体" w:cs="宋体"/>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30.74</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9FB001">
            <w:pPr>
              <w:keepNext w:val="0"/>
              <w:keepLines w:val="0"/>
              <w:widowControl/>
              <w:suppressLineNumbers w:val="0"/>
              <w:jc w:val="righ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r>
      <w:tr w14:paraId="6DDD7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B4B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年度总体目标</w:t>
            </w:r>
          </w:p>
        </w:tc>
        <w:tc>
          <w:tcPr>
            <w:tcW w:w="0" w:type="auto"/>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E66F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根据县级部门和财经制度要求，保障资金科学、合理利用，1.保障在职工资待遇和机关正常运转。2.重点工作保障经费主要用于播出系统正常运行，确保全县城乡居民正常收听、收看电视，确保中心机房用电安全、网络服务以及设备安全服务。对外宣传栏目，更好</w:t>
            </w:r>
            <w:r>
              <w:rPr>
                <w:rFonts w:hint="eastAsia" w:ascii="宋体" w:hAnsi="宋体" w:eastAsia="宋体" w:cs="宋体"/>
                <w:i w:val="0"/>
                <w:iCs w:val="0"/>
                <w:color w:val="000000"/>
                <w:kern w:val="0"/>
                <w:sz w:val="18"/>
                <w:szCs w:val="18"/>
                <w:u w:val="none"/>
                <w:lang w:val="en-US" w:eastAsia="zh-CN" w:bidi="ar"/>
              </w:rPr>
              <w:t>地</w:t>
            </w:r>
            <w:r>
              <w:rPr>
                <w:rFonts w:ascii="宋体" w:hAnsi="宋体" w:eastAsia="宋体" w:cs="宋体"/>
                <w:i w:val="0"/>
                <w:iCs w:val="0"/>
                <w:color w:val="000000"/>
                <w:kern w:val="0"/>
                <w:sz w:val="18"/>
                <w:szCs w:val="18"/>
                <w:u w:val="none"/>
                <w:lang w:val="en-US" w:eastAsia="zh-CN" w:bidi="ar"/>
              </w:rPr>
              <w:t>传递峨边声音，讲好峨边故事。</w:t>
            </w:r>
          </w:p>
        </w:tc>
      </w:tr>
      <w:tr w14:paraId="46C19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272A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年度主要任务</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84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任务名称</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D903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主要内容</w:t>
            </w:r>
          </w:p>
        </w:tc>
      </w:tr>
      <w:tr w14:paraId="3628D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912594">
            <w:pPr>
              <w:jc w:val="center"/>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DDAE4D">
            <w:pPr>
              <w:jc w:val="left"/>
              <w:rPr>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880704C">
            <w:pPr>
              <w:jc w:val="left"/>
              <w:rPr>
                <w:rFonts w:hint="eastAsia" w:ascii="宋体" w:hAnsi="宋体" w:eastAsia="宋体" w:cs="宋体"/>
                <w:i w:val="0"/>
                <w:iCs w:val="0"/>
                <w:color w:val="000000"/>
                <w:sz w:val="18"/>
                <w:szCs w:val="18"/>
                <w:u w:val="none"/>
              </w:rPr>
            </w:pPr>
          </w:p>
        </w:tc>
      </w:tr>
      <w:tr w14:paraId="236B1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BCAE4">
            <w:pPr>
              <w:jc w:val="center"/>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3BCA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安全播出经费</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054C5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确保全县城乡居民正常收听、收看电视，确保中心机房用电安全、网络服务以及设备安全服务。</w:t>
            </w:r>
          </w:p>
        </w:tc>
      </w:tr>
      <w:tr w14:paraId="6FADB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8B597">
            <w:pPr>
              <w:jc w:val="center"/>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1884B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外宣经费</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567E9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对外宣传栏目，更好</w:t>
            </w:r>
            <w:r>
              <w:rPr>
                <w:rFonts w:hint="eastAsia" w:ascii="宋体" w:hAnsi="宋体" w:eastAsia="宋体" w:cs="宋体"/>
                <w:i w:val="0"/>
                <w:iCs w:val="0"/>
                <w:color w:val="000000"/>
                <w:kern w:val="0"/>
                <w:sz w:val="18"/>
                <w:szCs w:val="18"/>
                <w:u w:val="none"/>
                <w:lang w:val="en-US" w:eastAsia="zh-CN" w:bidi="ar"/>
              </w:rPr>
              <w:t>地</w:t>
            </w:r>
            <w:r>
              <w:rPr>
                <w:rFonts w:ascii="宋体" w:hAnsi="宋体" w:eastAsia="宋体" w:cs="宋体"/>
                <w:i w:val="0"/>
                <w:iCs w:val="0"/>
                <w:color w:val="000000"/>
                <w:kern w:val="0"/>
                <w:sz w:val="18"/>
                <w:szCs w:val="18"/>
                <w:u w:val="none"/>
                <w:lang w:val="en-US" w:eastAsia="zh-CN" w:bidi="ar"/>
              </w:rPr>
              <w:t>传递峨边声音，讲好峨边故事。</w:t>
            </w:r>
          </w:p>
        </w:tc>
      </w:tr>
      <w:tr w14:paraId="53276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2D7CD">
            <w:pPr>
              <w:jc w:val="center"/>
              <w:rPr>
                <w:rFonts w:hint="eastAsia" w:ascii="宋体" w:hAnsi="宋体" w:eastAsia="宋体" w:cs="宋体"/>
                <w:i w:val="0"/>
                <w:iCs w:val="0"/>
                <w:color w:val="000000"/>
                <w:sz w:val="18"/>
                <w:szCs w:val="18"/>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A74C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基本支出</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5F98E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保障办公日常运转及人员经费等</w:t>
            </w:r>
          </w:p>
        </w:tc>
      </w:tr>
      <w:tr w14:paraId="3BD46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247F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年度绩效指标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D340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ED7D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7D2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E25F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E1E0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A33A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231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r>
      <w:tr w14:paraId="2709E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C4611">
            <w:pPr>
              <w:jc w:val="center"/>
              <w:rPr>
                <w:rFonts w:hint="eastAsia" w:ascii="宋体" w:hAnsi="宋体" w:eastAsia="宋体" w:cs="宋体"/>
                <w:i w:val="0"/>
                <w:iCs w:val="0"/>
                <w:color w:val="000000"/>
                <w:sz w:val="18"/>
                <w:szCs w:val="18"/>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20781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FD3E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D9FB4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保障机房正常运转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A1D2A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532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345A3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B80F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r>
      <w:tr w14:paraId="4B4BE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885DD">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08942">
            <w:pPr>
              <w:jc w:val="left"/>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47655">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41E5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基本支出人员保障经费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1DEA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02B42C">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ascii="宋体" w:hAnsi="宋体" w:eastAsia="宋体" w:cs="宋体"/>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A48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490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r>
      <w:tr w14:paraId="2FB20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055BF">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067A3">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ABDD5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24B7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定期对机房设备维修维护，确保机房正常运行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D8FDF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1D95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35A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18BF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r>
      <w:tr w14:paraId="1FD89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5D272">
            <w:pPr>
              <w:jc w:val="center"/>
              <w:rPr>
                <w:rFonts w:hint="eastAsia" w:ascii="宋体" w:hAnsi="宋体" w:eastAsia="宋体" w:cs="宋体"/>
                <w:i w:val="0"/>
                <w:iCs w:val="0"/>
                <w:color w:val="000000"/>
                <w:sz w:val="18"/>
                <w:szCs w:val="18"/>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9C1A5">
            <w:pPr>
              <w:jc w:val="left"/>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C0CEC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BDF6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按时不折不扣</w:t>
            </w:r>
            <w:r>
              <w:rPr>
                <w:rFonts w:hint="eastAsia" w:ascii="宋体" w:hAnsi="宋体" w:eastAsia="宋体" w:cs="宋体"/>
                <w:i w:val="0"/>
                <w:iCs w:val="0"/>
                <w:color w:val="000000"/>
                <w:kern w:val="0"/>
                <w:sz w:val="18"/>
                <w:szCs w:val="18"/>
                <w:u w:val="none"/>
                <w:lang w:val="en-US" w:eastAsia="zh-CN" w:bidi="ar"/>
              </w:rPr>
              <w:t>地</w:t>
            </w:r>
            <w:r>
              <w:rPr>
                <w:rFonts w:ascii="宋体" w:hAnsi="宋体" w:eastAsia="宋体" w:cs="宋体"/>
                <w:i w:val="0"/>
                <w:iCs w:val="0"/>
                <w:color w:val="000000"/>
                <w:kern w:val="0"/>
                <w:sz w:val="18"/>
                <w:szCs w:val="18"/>
                <w:u w:val="none"/>
                <w:lang w:val="en-US" w:eastAsia="zh-CN" w:bidi="ar"/>
              </w:rPr>
              <w:t>完成上级下达工作任务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2194D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411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C007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92FB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r>
      <w:tr w14:paraId="49A67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1F80C">
            <w:pPr>
              <w:jc w:val="center"/>
              <w:rPr>
                <w:rFonts w:hint="eastAsia" w:ascii="宋体" w:hAnsi="宋体" w:eastAsia="宋体" w:cs="宋体"/>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E34A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F0A60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61AF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2EB5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FFF3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E76BF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D190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r>
    </w:tbl>
    <w:p w14:paraId="119F2927">
      <w:pPr>
        <w:numPr>
          <w:ilvl w:val="0"/>
          <w:numId w:val="0"/>
        </w:numPr>
        <w:ind w:leftChars="0"/>
        <w:jc w:val="both"/>
        <w:rPr>
          <w:rFonts w:hint="eastAsia"/>
          <w:b/>
          <w:bCs/>
          <w:sz w:val="52"/>
          <w:szCs w:val="52"/>
          <w:lang w:val="en-US" w:eastAsia="zh-CN"/>
        </w:rPr>
      </w:pPr>
    </w:p>
    <w:tbl>
      <w:tblPr>
        <w:tblStyle w:val="9"/>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95"/>
        <w:gridCol w:w="636"/>
        <w:gridCol w:w="636"/>
        <w:gridCol w:w="636"/>
        <w:gridCol w:w="1034"/>
        <w:gridCol w:w="1034"/>
        <w:gridCol w:w="1034"/>
        <w:gridCol w:w="1648"/>
      </w:tblGrid>
      <w:tr w14:paraId="3A34B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0" w:type="auto"/>
            <w:gridSpan w:val="8"/>
            <w:tcBorders>
              <w:top w:val="single" w:color="FFFFFF" w:sz="4" w:space="0"/>
              <w:left w:val="single" w:color="FFFFFF" w:sz="4" w:space="0"/>
              <w:bottom w:val="single" w:color="FFFFFF" w:sz="4" w:space="0"/>
              <w:right w:val="single" w:color="FFFFFF" w:sz="4" w:space="0"/>
            </w:tcBorders>
            <w:shd w:val="clear" w:color="auto" w:fill="auto"/>
            <w:noWrap/>
            <w:vAlign w:val="center"/>
          </w:tcPr>
          <w:p w14:paraId="06B2690B">
            <w:pPr>
              <w:keepNext w:val="0"/>
              <w:keepLines w:val="0"/>
              <w:widowControl/>
              <w:suppressLineNumbers w:val="0"/>
              <w:jc w:val="center"/>
              <w:textAlignment w:val="center"/>
              <w:rPr>
                <w:rFonts w:hint="eastAsia" w:ascii="黑体" w:hAnsi="宋体" w:eastAsia="黑体" w:cs="黑体"/>
                <w:b/>
                <w:bCs/>
                <w:i w:val="0"/>
                <w:iCs w:val="0"/>
                <w:color w:val="000000"/>
                <w:kern w:val="0"/>
                <w:sz w:val="32"/>
                <w:szCs w:val="32"/>
                <w:u w:val="none"/>
                <w:lang w:val="en-US" w:eastAsia="zh-CN" w:bidi="ar"/>
              </w:rPr>
            </w:pPr>
          </w:p>
          <w:p w14:paraId="62862E58">
            <w:pPr>
              <w:keepNext w:val="0"/>
              <w:keepLines w:val="0"/>
              <w:widowControl/>
              <w:suppressLineNumbers w:val="0"/>
              <w:jc w:val="center"/>
              <w:textAlignment w:val="center"/>
              <w:rPr>
                <w:rFonts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政府购买服务预算表</w:t>
            </w:r>
          </w:p>
        </w:tc>
      </w:tr>
      <w:tr w14:paraId="6DC7E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0" w:type="auto"/>
            <w:tcBorders>
              <w:top w:val="single" w:color="FFFFFF" w:sz="4" w:space="0"/>
              <w:left w:val="single" w:color="FFFFFF" w:sz="4" w:space="0"/>
              <w:bottom w:val="nil"/>
              <w:right w:val="single" w:color="FFFFFF" w:sz="4" w:space="0"/>
            </w:tcBorders>
            <w:shd w:val="clear" w:color="auto" w:fill="auto"/>
            <w:vAlign w:val="center"/>
          </w:tcPr>
          <w:p w14:paraId="7BD346B9">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410C7404">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1579CCCB">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032429FB">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0B78F8A6">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323FC4C">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48505C7A">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4C6B67A9">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金额单位：万元</w:t>
            </w:r>
          </w:p>
        </w:tc>
      </w:tr>
      <w:tr w14:paraId="085B9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65CEC63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单位名称/项目名称</w:t>
            </w:r>
          </w:p>
        </w:tc>
        <w:tc>
          <w:tcPr>
            <w:tcW w:w="0" w:type="auto"/>
            <w:gridSpan w:val="3"/>
            <w:tcBorders>
              <w:top w:val="single" w:color="C2C3C4" w:sz="4" w:space="0"/>
              <w:left w:val="single" w:color="C2C3C4" w:sz="4" w:space="0"/>
              <w:bottom w:val="single" w:color="C2C3C4" w:sz="4" w:space="0"/>
              <w:right w:val="single" w:color="C2C3C4" w:sz="4" w:space="0"/>
            </w:tcBorders>
            <w:shd w:val="clear" w:color="EFF2F7" w:fill="EFF2F7"/>
            <w:vAlign w:val="center"/>
          </w:tcPr>
          <w:p w14:paraId="0F2BCFD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指导性目录</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2FB4ACD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服务领域</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0C4B75A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预算金额</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3EC90BD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合同期限</w:t>
            </w:r>
          </w:p>
        </w:tc>
        <w:tc>
          <w:tcPr>
            <w:tcW w:w="0" w:type="auto"/>
            <w:vMerge w:val="restart"/>
            <w:tcBorders>
              <w:top w:val="single" w:color="C2C3C4" w:sz="4" w:space="0"/>
              <w:left w:val="single" w:color="C2C3C4" w:sz="4" w:space="0"/>
              <w:bottom w:val="single" w:color="C2C3C4" w:sz="4" w:space="0"/>
              <w:right w:val="single" w:color="C2C3C4" w:sz="4" w:space="0"/>
            </w:tcBorders>
            <w:shd w:val="clear" w:color="EFF2F7" w:fill="EFF2F7"/>
            <w:vAlign w:val="center"/>
          </w:tcPr>
          <w:p w14:paraId="1A055AB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785FB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0DEB8623">
            <w:pPr>
              <w:jc w:val="center"/>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142DD1C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一级</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791E233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二级</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028F557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三级</w:t>
            </w: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0E5BF913">
            <w:pPr>
              <w:jc w:val="center"/>
              <w:rPr>
                <w:rFonts w:hint="eastAsia" w:ascii="宋体" w:hAnsi="宋体" w:eastAsia="宋体" w:cs="宋体"/>
                <w:b/>
                <w:bCs/>
                <w:i w:val="0"/>
                <w:iCs w:val="0"/>
                <w:color w:val="000000"/>
                <w:sz w:val="22"/>
                <w:szCs w:val="22"/>
                <w:u w:val="none"/>
              </w:rPr>
            </w:pP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5AC510B4">
            <w:pPr>
              <w:jc w:val="center"/>
              <w:rPr>
                <w:rFonts w:hint="eastAsia" w:ascii="宋体" w:hAnsi="宋体" w:eastAsia="宋体" w:cs="宋体"/>
                <w:b/>
                <w:bCs/>
                <w:i w:val="0"/>
                <w:iCs w:val="0"/>
                <w:color w:val="000000"/>
                <w:sz w:val="22"/>
                <w:szCs w:val="22"/>
                <w:u w:val="none"/>
              </w:rPr>
            </w:pP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0B008FAA">
            <w:pPr>
              <w:jc w:val="center"/>
              <w:rPr>
                <w:rFonts w:hint="eastAsia" w:ascii="宋体" w:hAnsi="宋体" w:eastAsia="宋体" w:cs="宋体"/>
                <w:b/>
                <w:bCs/>
                <w:i w:val="0"/>
                <w:iCs w:val="0"/>
                <w:color w:val="000000"/>
                <w:sz w:val="22"/>
                <w:szCs w:val="22"/>
                <w:u w:val="none"/>
              </w:rPr>
            </w:pPr>
          </w:p>
        </w:tc>
        <w:tc>
          <w:tcPr>
            <w:tcW w:w="0" w:type="auto"/>
            <w:vMerge w:val="continue"/>
            <w:tcBorders>
              <w:top w:val="single" w:color="C2C3C4" w:sz="4" w:space="0"/>
              <w:left w:val="single" w:color="C2C3C4" w:sz="4" w:space="0"/>
              <w:bottom w:val="single" w:color="C2C3C4" w:sz="4" w:space="0"/>
              <w:right w:val="single" w:color="C2C3C4" w:sz="4" w:space="0"/>
            </w:tcBorders>
            <w:shd w:val="clear" w:color="EFF2F7" w:fill="EFF2F7"/>
            <w:vAlign w:val="center"/>
          </w:tcPr>
          <w:p w14:paraId="779F1417">
            <w:pPr>
              <w:jc w:val="center"/>
              <w:rPr>
                <w:rFonts w:hint="eastAsia" w:ascii="宋体" w:hAnsi="宋体" w:eastAsia="宋体" w:cs="宋体"/>
                <w:b/>
                <w:bCs/>
                <w:i w:val="0"/>
                <w:iCs w:val="0"/>
                <w:color w:val="000000"/>
                <w:sz w:val="22"/>
                <w:szCs w:val="22"/>
                <w:u w:val="none"/>
              </w:rPr>
            </w:pPr>
          </w:p>
        </w:tc>
      </w:tr>
      <w:tr w14:paraId="6BDE4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0507877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    计</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16EB692A">
            <w:pPr>
              <w:jc w:val="lef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232F467D">
            <w:pPr>
              <w:jc w:val="lef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2E40B9B9">
            <w:pPr>
              <w:jc w:val="lef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B87E9EA">
            <w:pPr>
              <w:jc w:val="left"/>
              <w:rPr>
                <w:rFonts w:hint="eastAsia" w:ascii="宋体" w:hAnsi="宋体" w:eastAsia="宋体" w:cs="宋体"/>
                <w:b/>
                <w:bCs/>
                <w:i w:val="0"/>
                <w:iCs w:val="0"/>
                <w:color w:val="000000"/>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1E874F68">
            <w:pPr>
              <w:jc w:val="righ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548AAA44">
            <w:pPr>
              <w:jc w:val="lef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0B13FF75">
            <w:pPr>
              <w:jc w:val="left"/>
              <w:rPr>
                <w:rFonts w:hint="eastAsia" w:ascii="宋体" w:hAnsi="宋体" w:eastAsia="宋体" w:cs="宋体"/>
                <w:b/>
                <w:bCs/>
                <w:i w:val="0"/>
                <w:iCs w:val="0"/>
                <w:color w:val="000000"/>
                <w:sz w:val="22"/>
                <w:szCs w:val="22"/>
                <w:u w:val="none"/>
              </w:rPr>
            </w:pPr>
          </w:p>
        </w:tc>
      </w:tr>
      <w:tr w14:paraId="12745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3AA29357">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4D47550A">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07E03AC7">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2D9B7E32">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2EEAAB90">
            <w:pPr>
              <w:jc w:val="left"/>
              <w:rPr>
                <w:rFonts w:hint="eastAsia" w:ascii="宋体" w:hAnsi="宋体" w:eastAsia="宋体" w:cs="宋体"/>
                <w:i w:val="0"/>
                <w:iCs w:val="0"/>
                <w:color w:val="000000"/>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vAlign w:val="center"/>
          </w:tcPr>
          <w:p w14:paraId="41CA9A75">
            <w:pPr>
              <w:jc w:val="righ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14FD5830">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6183CB0D">
            <w:pPr>
              <w:jc w:val="left"/>
              <w:rPr>
                <w:rFonts w:hint="eastAsia" w:ascii="宋体" w:hAnsi="宋体" w:eastAsia="宋体" w:cs="宋体"/>
                <w:i w:val="0"/>
                <w:iCs w:val="0"/>
                <w:color w:val="000000"/>
                <w:sz w:val="22"/>
                <w:szCs w:val="22"/>
                <w:u w:val="none"/>
              </w:rPr>
            </w:pPr>
          </w:p>
        </w:tc>
      </w:tr>
      <w:tr w14:paraId="36918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65717D5B">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0E9A0F3F">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250286F9">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236F610B">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740D3CF5">
            <w:pPr>
              <w:jc w:val="left"/>
              <w:rPr>
                <w:rFonts w:hint="eastAsia" w:ascii="宋体" w:hAnsi="宋体" w:eastAsia="宋体" w:cs="宋体"/>
                <w:i w:val="0"/>
                <w:iCs w:val="0"/>
                <w:color w:val="000000"/>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vAlign w:val="center"/>
          </w:tcPr>
          <w:p w14:paraId="2D39D765">
            <w:pPr>
              <w:jc w:val="righ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051FA614">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3311E6DA">
            <w:pPr>
              <w:jc w:val="left"/>
              <w:rPr>
                <w:rFonts w:hint="eastAsia" w:ascii="宋体" w:hAnsi="宋体" w:eastAsia="宋体" w:cs="宋体"/>
                <w:i w:val="0"/>
                <w:iCs w:val="0"/>
                <w:color w:val="000000"/>
                <w:sz w:val="22"/>
                <w:szCs w:val="22"/>
                <w:u w:val="none"/>
              </w:rPr>
            </w:pPr>
          </w:p>
        </w:tc>
      </w:tr>
    </w:tbl>
    <w:p w14:paraId="28F0DEEC">
      <w:pPr>
        <w:numPr>
          <w:ilvl w:val="0"/>
          <w:numId w:val="0"/>
        </w:numPr>
        <w:ind w:leftChars="0"/>
        <w:jc w:val="both"/>
        <w:rPr>
          <w:rFonts w:hint="eastAsia"/>
          <w:b/>
          <w:bCs/>
          <w:sz w:val="52"/>
          <w:szCs w:val="52"/>
          <w:lang w:val="en-US" w:eastAsia="zh-CN"/>
        </w:rPr>
      </w:pPr>
    </w:p>
    <w:tbl>
      <w:tblPr>
        <w:tblStyle w:val="9"/>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83"/>
        <w:gridCol w:w="626"/>
        <w:gridCol w:w="500"/>
        <w:gridCol w:w="563"/>
        <w:gridCol w:w="1003"/>
        <w:gridCol w:w="1350"/>
        <w:gridCol w:w="1003"/>
        <w:gridCol w:w="1255"/>
        <w:gridCol w:w="970"/>
      </w:tblGrid>
      <w:tr w14:paraId="483F6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trPr>
        <w:tc>
          <w:tcPr>
            <w:tcW w:w="0" w:type="auto"/>
            <w:tcBorders>
              <w:top w:val="single" w:color="FFFFFF" w:sz="4" w:space="0"/>
              <w:left w:val="single" w:color="FFFFFF" w:sz="4" w:space="0"/>
              <w:bottom w:val="single" w:color="FFFFFF" w:sz="4" w:space="0"/>
              <w:right w:val="single" w:color="FFFFFF" w:sz="4" w:space="0"/>
            </w:tcBorders>
            <w:shd w:val="clear" w:color="auto" w:fill="auto"/>
            <w:vAlign w:val="center"/>
          </w:tcPr>
          <w:p w14:paraId="113239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表17</w:t>
            </w:r>
          </w:p>
        </w:tc>
        <w:tc>
          <w:tcPr>
            <w:tcW w:w="0" w:type="auto"/>
            <w:tcBorders>
              <w:top w:val="single" w:color="FFFFFF" w:sz="4" w:space="0"/>
              <w:left w:val="single" w:color="FFFFFF" w:sz="4" w:space="0"/>
              <w:bottom w:val="single" w:color="FFFFFF" w:sz="4" w:space="0"/>
              <w:right w:val="single" w:color="FFFFFF" w:sz="4" w:space="0"/>
            </w:tcBorders>
            <w:shd w:val="clear" w:color="auto" w:fill="auto"/>
            <w:vAlign w:val="center"/>
          </w:tcPr>
          <w:p w14:paraId="447DDE36">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single" w:color="FFFFFF" w:sz="4" w:space="0"/>
              <w:right w:val="single" w:color="FFFFFF" w:sz="4" w:space="0"/>
            </w:tcBorders>
            <w:shd w:val="clear" w:color="auto" w:fill="auto"/>
            <w:vAlign w:val="center"/>
          </w:tcPr>
          <w:p w14:paraId="74F2B292">
            <w:pPr>
              <w:jc w:val="cente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single" w:color="FFFFFF" w:sz="4" w:space="0"/>
              <w:right w:val="single" w:color="FFFFFF" w:sz="4" w:space="0"/>
            </w:tcBorders>
            <w:shd w:val="clear" w:color="auto" w:fill="auto"/>
            <w:vAlign w:val="center"/>
          </w:tcPr>
          <w:p w14:paraId="4F6BEB47">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single" w:color="FFFFFF" w:sz="4" w:space="0"/>
              <w:right w:val="single" w:color="FFFFFF" w:sz="4" w:space="0"/>
            </w:tcBorders>
            <w:shd w:val="clear" w:color="auto" w:fill="auto"/>
            <w:vAlign w:val="center"/>
          </w:tcPr>
          <w:p w14:paraId="781FB964">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single" w:color="FFFFFF" w:sz="4" w:space="0"/>
              <w:right w:val="single" w:color="FFFFFF" w:sz="4" w:space="0"/>
            </w:tcBorders>
            <w:shd w:val="clear" w:color="auto" w:fill="auto"/>
            <w:vAlign w:val="center"/>
          </w:tcPr>
          <w:p w14:paraId="03209E28">
            <w:pPr>
              <w:rPr>
                <w:rFonts w:hint="eastAsia" w:ascii="宋体" w:hAnsi="宋体" w:eastAsia="宋体" w:cs="宋体"/>
                <w:i w:val="0"/>
                <w:iCs w:val="0"/>
                <w:color w:val="000000"/>
                <w:sz w:val="18"/>
                <w:szCs w:val="18"/>
                <w:u w:val="none"/>
              </w:rPr>
            </w:pPr>
          </w:p>
        </w:tc>
        <w:tc>
          <w:tcPr>
            <w:tcW w:w="0" w:type="auto"/>
            <w:tcBorders>
              <w:top w:val="nil"/>
              <w:left w:val="nil"/>
              <w:bottom w:val="nil"/>
              <w:right w:val="nil"/>
            </w:tcBorders>
            <w:shd w:val="clear" w:color="auto" w:fill="auto"/>
            <w:noWrap/>
            <w:vAlign w:val="center"/>
          </w:tcPr>
          <w:p w14:paraId="3FBA9A13">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single" w:color="FFFFFF" w:sz="4" w:space="0"/>
              <w:right w:val="single" w:color="FFFFFF" w:sz="4" w:space="0"/>
            </w:tcBorders>
            <w:shd w:val="clear" w:color="auto" w:fill="auto"/>
            <w:vAlign w:val="center"/>
          </w:tcPr>
          <w:p w14:paraId="26DB6A21">
            <w:pPr>
              <w:rPr>
                <w:rFonts w:hint="eastAsia" w:ascii="宋体" w:hAnsi="宋体" w:eastAsia="宋体" w:cs="宋体"/>
                <w:i w:val="0"/>
                <w:iCs w:val="0"/>
                <w:color w:val="000000"/>
                <w:sz w:val="18"/>
                <w:szCs w:val="18"/>
                <w:u w:val="none"/>
              </w:rPr>
            </w:pPr>
          </w:p>
        </w:tc>
        <w:tc>
          <w:tcPr>
            <w:tcW w:w="0" w:type="auto"/>
            <w:tcBorders>
              <w:top w:val="single" w:color="FFFFFF" w:sz="4" w:space="0"/>
              <w:left w:val="single" w:color="FFFFFF" w:sz="4" w:space="0"/>
              <w:bottom w:val="single" w:color="FFFFFF" w:sz="4" w:space="0"/>
              <w:right w:val="single" w:color="FFFFFF" w:sz="4" w:space="0"/>
            </w:tcBorders>
            <w:shd w:val="clear" w:color="auto" w:fill="auto"/>
            <w:vAlign w:val="center"/>
          </w:tcPr>
          <w:p w14:paraId="4DECFBB6">
            <w:pPr>
              <w:rPr>
                <w:rFonts w:hint="eastAsia" w:ascii="宋体" w:hAnsi="宋体" w:eastAsia="宋体" w:cs="宋体"/>
                <w:i w:val="0"/>
                <w:iCs w:val="0"/>
                <w:color w:val="000000"/>
                <w:sz w:val="18"/>
                <w:szCs w:val="18"/>
                <w:u w:val="none"/>
              </w:rPr>
            </w:pPr>
          </w:p>
        </w:tc>
      </w:tr>
      <w:tr w14:paraId="03955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gridSpan w:val="9"/>
            <w:tcBorders>
              <w:top w:val="single" w:color="FFFFFF" w:sz="4" w:space="0"/>
              <w:left w:val="single" w:color="FFFFFF" w:sz="4" w:space="0"/>
              <w:bottom w:val="single" w:color="FFFFFF" w:sz="4" w:space="0"/>
              <w:right w:val="single" w:color="FFFFFF" w:sz="4" w:space="0"/>
            </w:tcBorders>
            <w:shd w:val="clear" w:color="auto" w:fill="auto"/>
            <w:noWrap/>
            <w:vAlign w:val="center"/>
          </w:tcPr>
          <w:p w14:paraId="5EC63A48">
            <w:pPr>
              <w:keepNext w:val="0"/>
              <w:keepLines w:val="0"/>
              <w:widowControl/>
              <w:suppressLineNumbers w:val="0"/>
              <w:jc w:val="center"/>
              <w:textAlignment w:val="center"/>
              <w:rPr>
                <w:rFonts w:ascii="黑体" w:hAnsi="宋体" w:eastAsia="黑体" w:cs="黑体"/>
                <w:b/>
                <w:bCs/>
                <w:i w:val="0"/>
                <w:iCs w:val="0"/>
                <w:color w:val="000000"/>
                <w:sz w:val="32"/>
                <w:szCs w:val="32"/>
                <w:u w:val="none"/>
              </w:rPr>
            </w:pPr>
            <w:r>
              <w:rPr>
                <w:rFonts w:hint="eastAsia" w:ascii="黑体" w:hAnsi="宋体" w:eastAsia="黑体" w:cs="黑体"/>
                <w:b/>
                <w:bCs/>
                <w:i w:val="0"/>
                <w:iCs w:val="0"/>
                <w:color w:val="000000"/>
                <w:kern w:val="0"/>
                <w:sz w:val="32"/>
                <w:szCs w:val="32"/>
                <w:u w:val="none"/>
                <w:lang w:val="en-US" w:eastAsia="zh-CN" w:bidi="ar"/>
              </w:rPr>
              <w:t>政府采购预算表</w:t>
            </w:r>
          </w:p>
        </w:tc>
      </w:tr>
      <w:tr w14:paraId="2A75D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0" w:type="auto"/>
            <w:gridSpan w:val="5"/>
            <w:tcBorders>
              <w:top w:val="single" w:color="FFFFFF" w:sz="4" w:space="0"/>
              <w:left w:val="single" w:color="FFFFFF" w:sz="4" w:space="0"/>
              <w:bottom w:val="nil"/>
              <w:right w:val="single" w:color="FFFFFF" w:sz="4" w:space="0"/>
            </w:tcBorders>
            <w:shd w:val="clear" w:color="auto" w:fill="auto"/>
            <w:vAlign w:val="center"/>
          </w:tcPr>
          <w:p w14:paraId="0DBF2EE5">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2D90676B">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5B4F3D42">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6B804CAC">
            <w:pPr>
              <w:rPr>
                <w:rFonts w:hint="eastAsia" w:ascii="宋体" w:hAnsi="宋体" w:eastAsia="宋体" w:cs="宋体"/>
                <w:i w:val="0"/>
                <w:iCs w:val="0"/>
                <w:color w:val="000000"/>
                <w:sz w:val="22"/>
                <w:szCs w:val="22"/>
                <w:u w:val="none"/>
              </w:rPr>
            </w:pPr>
          </w:p>
        </w:tc>
        <w:tc>
          <w:tcPr>
            <w:tcW w:w="0" w:type="auto"/>
            <w:tcBorders>
              <w:top w:val="single" w:color="FFFFFF" w:sz="4" w:space="0"/>
              <w:left w:val="single" w:color="FFFFFF" w:sz="4" w:space="0"/>
              <w:bottom w:val="nil"/>
              <w:right w:val="single" w:color="FFFFFF" w:sz="4" w:space="0"/>
            </w:tcBorders>
            <w:shd w:val="clear" w:color="auto" w:fill="auto"/>
            <w:vAlign w:val="center"/>
          </w:tcPr>
          <w:p w14:paraId="0004D790">
            <w:pPr>
              <w:keepNext w:val="0"/>
              <w:keepLines w:val="0"/>
              <w:widowControl/>
              <w:suppressLineNumbers w:val="0"/>
              <w:jc w:val="center"/>
              <w:textAlignment w:val="center"/>
              <w:rPr>
                <w:rFonts w:ascii="宋体" w:hAnsi="宋体" w:eastAsia="宋体" w:cs="宋体"/>
                <w:i w:val="0"/>
                <w:iCs w:val="0"/>
                <w:color w:val="000000"/>
                <w:sz w:val="22"/>
                <w:szCs w:val="22"/>
                <w:u w:val="none"/>
              </w:rPr>
            </w:pPr>
            <w:r>
              <w:rPr>
                <w:rFonts w:ascii="宋体" w:hAnsi="宋体" w:eastAsia="宋体" w:cs="宋体"/>
                <w:i w:val="0"/>
                <w:iCs w:val="0"/>
                <w:color w:val="000000"/>
                <w:kern w:val="0"/>
                <w:sz w:val="22"/>
                <w:szCs w:val="22"/>
                <w:u w:val="none"/>
                <w:lang w:val="en-US" w:eastAsia="zh-CN" w:bidi="ar"/>
              </w:rPr>
              <w:t>金额单位：万元</w:t>
            </w:r>
          </w:p>
        </w:tc>
      </w:tr>
      <w:tr w14:paraId="13F64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8" w:hRule="atLeast"/>
        </w:trPr>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6DBE708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单位名称/项目名称</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503F550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采购品目</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37C8E28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3A47FBC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总金额</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0E49978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专门面向中小企业采购</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78C3D83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专门面向小型、微型企业采购</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71AE8CC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专门面向监狱企业采购</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40BBDEF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专门面向残疾人福利性单位采购</w:t>
            </w:r>
          </w:p>
        </w:tc>
        <w:tc>
          <w:tcPr>
            <w:tcW w:w="0" w:type="auto"/>
            <w:tcBorders>
              <w:top w:val="single" w:color="C2C3C4" w:sz="4" w:space="0"/>
              <w:left w:val="single" w:color="C2C3C4" w:sz="4" w:space="0"/>
              <w:bottom w:val="single" w:color="C2C3C4" w:sz="4" w:space="0"/>
              <w:right w:val="single" w:color="C2C3C4" w:sz="4" w:space="0"/>
            </w:tcBorders>
            <w:shd w:val="clear" w:color="EFF2F7" w:fill="EFF2F7"/>
            <w:vAlign w:val="center"/>
          </w:tcPr>
          <w:p w14:paraId="11760DE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采购说明</w:t>
            </w:r>
          </w:p>
        </w:tc>
      </w:tr>
      <w:tr w14:paraId="78FBF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09613ED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    计</w:t>
            </w: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6A77607C">
            <w:pPr>
              <w:jc w:val="center"/>
              <w:rPr>
                <w:rFonts w:hint="eastAsia" w:ascii="宋体" w:hAnsi="宋体" w:eastAsia="宋体" w:cs="宋体"/>
                <w:b/>
                <w:bCs/>
                <w:i w:val="0"/>
                <w:iCs w:val="0"/>
                <w:color w:val="000000"/>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203A1C34">
            <w:pPr>
              <w:jc w:val="center"/>
              <w:rPr>
                <w:rFonts w:hint="eastAsia" w:ascii="宋体" w:hAnsi="宋体" w:eastAsia="宋体" w:cs="宋体"/>
                <w:b/>
                <w:bCs/>
                <w:i w:val="0"/>
                <w:iCs w:val="0"/>
                <w:color w:val="000000"/>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3D7A3AAB">
            <w:pPr>
              <w:jc w:val="righ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2FF1A7F0">
            <w:pPr>
              <w:jc w:val="lef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73B02990">
            <w:pPr>
              <w:jc w:val="lef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27388579">
            <w:pPr>
              <w:jc w:val="lef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4DB2729F">
            <w:pPr>
              <w:jc w:val="left"/>
              <w:rPr>
                <w:rFonts w:hint="eastAsia" w:ascii="宋体" w:hAnsi="宋体" w:eastAsia="宋体" w:cs="宋体"/>
                <w:b/>
                <w:bCs/>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5BB55ECB">
            <w:pPr>
              <w:jc w:val="left"/>
              <w:rPr>
                <w:rFonts w:hint="eastAsia" w:ascii="宋体" w:hAnsi="宋体" w:eastAsia="宋体" w:cs="宋体"/>
                <w:b/>
                <w:bCs/>
                <w:i w:val="0"/>
                <w:iCs w:val="0"/>
                <w:color w:val="000000"/>
                <w:sz w:val="22"/>
                <w:szCs w:val="22"/>
                <w:u w:val="none"/>
              </w:rPr>
            </w:pPr>
          </w:p>
        </w:tc>
      </w:tr>
      <w:tr w14:paraId="09A0E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0DEFCA21">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338747BB">
            <w:pPr>
              <w:jc w:val="center"/>
              <w:rPr>
                <w:rFonts w:hint="eastAsia" w:ascii="宋体" w:hAnsi="宋体" w:eastAsia="宋体" w:cs="宋体"/>
                <w:i w:val="0"/>
                <w:iCs w:val="0"/>
                <w:color w:val="000000"/>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2BE28D26">
            <w:pPr>
              <w:jc w:val="center"/>
              <w:rPr>
                <w:rFonts w:hint="eastAsia" w:ascii="宋体" w:hAnsi="宋体" w:eastAsia="宋体" w:cs="宋体"/>
                <w:i w:val="0"/>
                <w:iCs w:val="0"/>
                <w:color w:val="000000"/>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41B4175F">
            <w:pPr>
              <w:jc w:val="righ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4BB94B4F">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0A179216">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1F437358">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3D6C77B8">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041F49B8">
            <w:pPr>
              <w:jc w:val="left"/>
              <w:rPr>
                <w:rFonts w:hint="eastAsia" w:ascii="宋体" w:hAnsi="宋体" w:eastAsia="宋体" w:cs="宋体"/>
                <w:i w:val="0"/>
                <w:iCs w:val="0"/>
                <w:color w:val="000000"/>
                <w:sz w:val="22"/>
                <w:szCs w:val="22"/>
                <w:u w:val="none"/>
              </w:rPr>
            </w:pPr>
          </w:p>
        </w:tc>
      </w:tr>
      <w:tr w14:paraId="1D93C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 w:hRule="atLeast"/>
        </w:trPr>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51D0813A">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2B3E31D9">
            <w:pPr>
              <w:jc w:val="lef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noWrap/>
            <w:vAlign w:val="center"/>
          </w:tcPr>
          <w:p w14:paraId="64A10C70">
            <w:pPr>
              <w:jc w:val="center"/>
              <w:rPr>
                <w:rFonts w:hint="eastAsia" w:ascii="宋体" w:hAnsi="宋体" w:eastAsia="宋体" w:cs="宋体"/>
                <w:i w:val="0"/>
                <w:iCs w:val="0"/>
                <w:color w:val="000000"/>
                <w:sz w:val="22"/>
                <w:szCs w:val="22"/>
                <w:u w:val="none"/>
              </w:rPr>
            </w:pPr>
          </w:p>
        </w:tc>
        <w:tc>
          <w:tcPr>
            <w:tcW w:w="0" w:type="auto"/>
            <w:tcBorders>
              <w:top w:val="single" w:color="C0C0C0" w:sz="4" w:space="0"/>
              <w:left w:val="single" w:color="C0C0C0" w:sz="4" w:space="0"/>
              <w:bottom w:val="single" w:color="C0C0C0" w:sz="4" w:space="0"/>
              <w:right w:val="single" w:color="C0C0C0" w:sz="4" w:space="0"/>
            </w:tcBorders>
            <w:shd w:val="clear" w:color="auto" w:fill="auto"/>
            <w:noWrap/>
            <w:vAlign w:val="center"/>
          </w:tcPr>
          <w:p w14:paraId="01AA14ED">
            <w:pPr>
              <w:jc w:val="right"/>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36FB7ADB">
            <w:pPr>
              <w:jc w:val="center"/>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31B63E83">
            <w:pPr>
              <w:jc w:val="center"/>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4216F579">
            <w:pPr>
              <w:jc w:val="center"/>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306058A3">
            <w:pPr>
              <w:jc w:val="center"/>
              <w:rPr>
                <w:rFonts w:hint="eastAsia" w:ascii="宋体" w:hAnsi="宋体" w:eastAsia="宋体" w:cs="宋体"/>
                <w:i w:val="0"/>
                <w:iCs w:val="0"/>
                <w:color w:val="000000"/>
                <w:sz w:val="22"/>
                <w:szCs w:val="22"/>
                <w:u w:val="none"/>
              </w:rPr>
            </w:pPr>
          </w:p>
        </w:tc>
        <w:tc>
          <w:tcPr>
            <w:tcW w:w="0" w:type="auto"/>
            <w:tcBorders>
              <w:top w:val="single" w:color="C2C3C4" w:sz="4" w:space="0"/>
              <w:left w:val="single" w:color="C2C3C4" w:sz="4" w:space="0"/>
              <w:bottom w:val="single" w:color="C2C3C4" w:sz="4" w:space="0"/>
              <w:right w:val="single" w:color="C2C3C4" w:sz="4" w:space="0"/>
            </w:tcBorders>
            <w:shd w:val="clear" w:color="auto" w:fill="auto"/>
            <w:vAlign w:val="center"/>
          </w:tcPr>
          <w:p w14:paraId="4DDF62D2">
            <w:pPr>
              <w:jc w:val="left"/>
              <w:rPr>
                <w:rFonts w:hint="eastAsia" w:ascii="宋体" w:hAnsi="宋体" w:eastAsia="宋体" w:cs="宋体"/>
                <w:i w:val="0"/>
                <w:iCs w:val="0"/>
                <w:color w:val="000000"/>
                <w:sz w:val="22"/>
                <w:szCs w:val="22"/>
                <w:u w:val="none"/>
              </w:rPr>
            </w:pPr>
          </w:p>
        </w:tc>
      </w:tr>
    </w:tbl>
    <w:p w14:paraId="61193A8A">
      <w:pPr>
        <w:numPr>
          <w:ilvl w:val="0"/>
          <w:numId w:val="0"/>
        </w:numPr>
        <w:ind w:leftChars="0"/>
        <w:jc w:val="both"/>
        <w:sectPr>
          <w:pgSz w:w="11906" w:h="16838"/>
          <w:pgMar w:top="1440" w:right="1800" w:bottom="1440" w:left="1576" w:header="851" w:footer="992" w:gutter="0"/>
          <w:cols w:space="0" w:num="1"/>
          <w:rtlGutter w:val="0"/>
          <w:docGrid w:type="lines" w:linePitch="312" w:charSpace="0"/>
        </w:sectPr>
      </w:pPr>
    </w:p>
    <w:p w14:paraId="68C89160">
      <w:pPr>
        <w:numPr>
          <w:ilvl w:val="0"/>
          <w:numId w:val="0"/>
        </w:numPr>
        <w:jc w:val="both"/>
        <w:rPr>
          <w:rFonts w:hint="eastAsia"/>
          <w:b/>
          <w:bCs/>
          <w:sz w:val="52"/>
          <w:szCs w:val="52"/>
          <w:lang w:val="en-US" w:eastAsia="zh-CN"/>
        </w:rPr>
      </w:pPr>
    </w:p>
    <w:p w14:paraId="4819E447">
      <w:pPr>
        <w:numPr>
          <w:ilvl w:val="0"/>
          <w:numId w:val="0"/>
        </w:numPr>
        <w:jc w:val="center"/>
        <w:rPr>
          <w:rFonts w:hint="eastAsia"/>
          <w:b/>
          <w:bCs/>
          <w:sz w:val="52"/>
          <w:szCs w:val="52"/>
          <w:lang w:val="en-US" w:eastAsia="zh-CN"/>
        </w:rPr>
      </w:pPr>
    </w:p>
    <w:p w14:paraId="51F92555">
      <w:pPr>
        <w:numPr>
          <w:ilvl w:val="0"/>
          <w:numId w:val="0"/>
        </w:numPr>
        <w:jc w:val="center"/>
        <w:rPr>
          <w:rFonts w:hint="default"/>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第三部分  峨边彝族自治县融媒体中心2025年部门预算情况说明</w:t>
      </w:r>
    </w:p>
    <w:p w14:paraId="15253197">
      <w:pPr>
        <w:rPr>
          <w:rFonts w:hint="default"/>
          <w:b/>
          <w:bCs/>
          <w:sz w:val="52"/>
          <w:szCs w:val="52"/>
          <w:lang w:val="en-US" w:eastAsia="zh-CN"/>
        </w:rPr>
      </w:pPr>
      <w:r>
        <w:rPr>
          <w:rFonts w:hint="default"/>
          <w:b/>
          <w:bCs/>
          <w:sz w:val="52"/>
          <w:szCs w:val="52"/>
          <w:lang w:val="en-US" w:eastAsia="zh-CN"/>
        </w:rPr>
        <w:br w:type="page"/>
      </w:r>
    </w:p>
    <w:p w14:paraId="6ACB566A">
      <w:pPr>
        <w:keepNext w:val="0"/>
        <w:keepLines w:val="0"/>
        <w:pageBreakBefore w:val="0"/>
        <w:widowControl/>
        <w:shd w:val="clear" w:color="auto" w:fill="FFFFFF"/>
        <w:kinsoku/>
        <w:wordWrap/>
        <w:overflowPunct/>
        <w:autoSpaceDE/>
        <w:autoSpaceDN/>
        <w:bidi w:val="0"/>
        <w:adjustRightInd/>
        <w:snapToGrid/>
        <w:spacing w:line="360" w:lineRule="auto"/>
        <w:ind w:firstLine="0" w:firstLineChars="0"/>
        <w:jc w:val="left"/>
        <w:textAlignment w:val="auto"/>
        <w:rPr>
          <w:rFonts w:hint="eastAsia" w:ascii="黑体" w:hAnsi="黑体" w:eastAsia="黑体" w:cs="黑体"/>
          <w:b/>
          <w:bCs w:val="0"/>
          <w:color w:val="000000"/>
          <w:kern w:val="0"/>
          <w:sz w:val="32"/>
          <w:szCs w:val="32"/>
          <w:lang w:val="en-US" w:eastAsia="zh-CN"/>
        </w:rPr>
      </w:pPr>
      <w:r>
        <w:rPr>
          <w:rFonts w:hint="eastAsia" w:ascii="黑体" w:hAnsi="黑体" w:eastAsia="黑体" w:cs="黑体"/>
          <w:b/>
          <w:bCs w:val="0"/>
          <w:color w:val="000000"/>
          <w:kern w:val="0"/>
          <w:sz w:val="32"/>
          <w:szCs w:val="32"/>
          <w:lang w:val="en-US" w:eastAsia="zh-CN"/>
        </w:rPr>
        <w:t>一、收支预算情况说明</w:t>
      </w:r>
    </w:p>
    <w:p w14:paraId="6086BBCF">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val="en-US" w:eastAsia="zh-CN"/>
        </w:rPr>
        <w:t>按照综合预算的原则，</w:t>
      </w: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sz w:val="32"/>
          <w:szCs w:val="32"/>
          <w:lang w:val="en-US" w:eastAsia="zh-CN"/>
        </w:rPr>
        <w:t>所有收入和支出均纳入部门预算管理。收入包括：一般公共预算拨款收入；支出包括：一般公共服务支出、社会保障和就业支出、卫生健康支出、住房保障支出。</w:t>
      </w: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kern w:val="0"/>
          <w:sz w:val="32"/>
          <w:szCs w:val="32"/>
        </w:rPr>
        <w:t>202</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年收支总预算</w:t>
      </w:r>
      <w:r>
        <w:rPr>
          <w:rFonts w:hint="eastAsia" w:ascii="仿宋_GB2312" w:hAnsi="仿宋_GB2312" w:eastAsia="仿宋_GB2312" w:cs="仿宋_GB2312"/>
          <w:kern w:val="0"/>
          <w:sz w:val="32"/>
          <w:szCs w:val="32"/>
          <w:lang w:val="en-US" w:eastAsia="zh-CN"/>
        </w:rPr>
        <w:t>330.74</w:t>
      </w:r>
      <w:r>
        <w:rPr>
          <w:rFonts w:hint="eastAsia" w:ascii="仿宋_GB2312" w:hAnsi="仿宋_GB2312" w:eastAsia="仿宋_GB2312" w:cs="仿宋_GB2312"/>
          <w:kern w:val="0"/>
          <w:sz w:val="32"/>
          <w:szCs w:val="32"/>
        </w:rPr>
        <w:t>万元，比202</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年收支预算总数</w:t>
      </w:r>
      <w:r>
        <w:rPr>
          <w:rFonts w:hint="eastAsia" w:ascii="仿宋_GB2312" w:hAnsi="仿宋_GB2312" w:eastAsia="仿宋_GB2312" w:cs="仿宋_GB2312"/>
          <w:kern w:val="0"/>
          <w:sz w:val="32"/>
          <w:szCs w:val="32"/>
          <w:lang w:eastAsia="zh-CN"/>
        </w:rPr>
        <w:t>减少</w:t>
      </w:r>
      <w:r>
        <w:rPr>
          <w:rFonts w:hint="eastAsia" w:ascii="仿宋_GB2312" w:hAnsi="仿宋_GB2312" w:eastAsia="仿宋_GB2312" w:cs="仿宋_GB2312"/>
          <w:kern w:val="0"/>
          <w:sz w:val="32"/>
          <w:szCs w:val="32"/>
          <w:lang w:val="en-US" w:eastAsia="zh-CN"/>
        </w:rPr>
        <w:t>21.05</w:t>
      </w:r>
      <w:r>
        <w:rPr>
          <w:rFonts w:hint="eastAsia" w:ascii="仿宋_GB2312" w:hAnsi="仿宋_GB2312" w:eastAsia="仿宋_GB2312" w:cs="仿宋_GB2312"/>
          <w:kern w:val="0"/>
          <w:sz w:val="32"/>
          <w:szCs w:val="32"/>
        </w:rPr>
        <w:t>万元，主要是由于</w:t>
      </w:r>
      <w:r>
        <w:rPr>
          <w:rFonts w:hint="eastAsia" w:ascii="仿宋_GB2312" w:hAnsi="仿宋_GB2312" w:eastAsia="仿宋_GB2312" w:cs="仿宋_GB2312"/>
          <w:kern w:val="0"/>
          <w:sz w:val="32"/>
          <w:szCs w:val="32"/>
          <w:lang w:eastAsia="zh-CN"/>
        </w:rPr>
        <w:t>人员经费减少</w:t>
      </w:r>
      <w:r>
        <w:rPr>
          <w:rFonts w:hint="eastAsia" w:ascii="仿宋_GB2312" w:hAnsi="仿宋_GB2312" w:eastAsia="仿宋_GB2312" w:cs="仿宋_GB2312"/>
          <w:kern w:val="0"/>
          <w:sz w:val="32"/>
          <w:szCs w:val="32"/>
        </w:rPr>
        <w:t>。</w:t>
      </w:r>
    </w:p>
    <w:p w14:paraId="7C7D7802">
      <w:pPr>
        <w:keepNext w:val="0"/>
        <w:keepLines w:val="0"/>
        <w:pageBreakBefore w:val="0"/>
        <w:numPr>
          <w:ilvl w:val="0"/>
          <w:numId w:val="0"/>
        </w:numPr>
        <w:kinsoku/>
        <w:wordWrap/>
        <w:overflowPunct/>
        <w:autoSpaceDE/>
        <w:autoSpaceDN/>
        <w:bidi w:val="0"/>
        <w:adjustRightInd/>
        <w:snapToGrid/>
        <w:spacing w:line="360" w:lineRule="auto"/>
        <w:ind w:firstLine="643" w:firstLineChars="200"/>
        <w:textAlignment w:val="auto"/>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（一）收入预算情况</w:t>
      </w:r>
    </w:p>
    <w:p w14:paraId="69AFCA05">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kern w:val="0"/>
          <w:sz w:val="32"/>
          <w:szCs w:val="32"/>
        </w:rPr>
        <w:t>202</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年收入预算</w:t>
      </w:r>
      <w:r>
        <w:rPr>
          <w:rFonts w:hint="eastAsia" w:ascii="仿宋_GB2312" w:hAnsi="仿宋_GB2312" w:eastAsia="仿宋_GB2312" w:cs="仿宋_GB2312"/>
          <w:kern w:val="0"/>
          <w:sz w:val="32"/>
          <w:szCs w:val="32"/>
          <w:lang w:val="en-US" w:eastAsia="zh-CN"/>
        </w:rPr>
        <w:t>330.74</w:t>
      </w:r>
      <w:r>
        <w:rPr>
          <w:rFonts w:hint="eastAsia" w:ascii="仿宋_GB2312" w:hAnsi="仿宋_GB2312" w:eastAsia="仿宋_GB2312" w:cs="仿宋_GB2312"/>
          <w:kern w:val="0"/>
          <w:sz w:val="32"/>
          <w:szCs w:val="32"/>
        </w:rPr>
        <w:t>万元，其中：上年结转</w:t>
      </w:r>
      <w:bookmarkStart w:id="0" w:name="_GoBack"/>
      <w:bookmarkEnd w:id="0"/>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万元，占</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highlight w:val="none"/>
        </w:rPr>
        <w:t>一般公共预算拨款收入</w:t>
      </w:r>
      <w:r>
        <w:rPr>
          <w:rFonts w:hint="eastAsia" w:ascii="仿宋_GB2312" w:hAnsi="仿宋_GB2312" w:eastAsia="仿宋_GB2312" w:cs="仿宋_GB2312"/>
          <w:kern w:val="0"/>
          <w:sz w:val="32"/>
          <w:szCs w:val="32"/>
          <w:highlight w:val="none"/>
          <w:lang w:val="en-US" w:eastAsia="zh-CN"/>
        </w:rPr>
        <w:t>330.74</w:t>
      </w:r>
      <w:r>
        <w:rPr>
          <w:rFonts w:hint="eastAsia" w:ascii="仿宋_GB2312" w:hAnsi="仿宋_GB2312" w:eastAsia="仿宋_GB2312" w:cs="仿宋_GB2312"/>
          <w:kern w:val="0"/>
          <w:sz w:val="32"/>
          <w:szCs w:val="32"/>
          <w:highlight w:val="none"/>
        </w:rPr>
        <w:t>万元，占</w:t>
      </w:r>
      <w:r>
        <w:rPr>
          <w:rFonts w:hint="eastAsia" w:ascii="仿宋_GB2312" w:hAnsi="仿宋_GB2312" w:eastAsia="仿宋_GB2312" w:cs="仿宋_GB2312"/>
          <w:kern w:val="0"/>
          <w:sz w:val="32"/>
          <w:szCs w:val="32"/>
          <w:highlight w:val="none"/>
          <w:lang w:val="en-US" w:eastAsia="zh-CN"/>
        </w:rPr>
        <w:t>100</w:t>
      </w:r>
      <w:r>
        <w:rPr>
          <w:rFonts w:hint="eastAsia" w:ascii="仿宋_GB2312" w:hAnsi="仿宋_GB2312" w:eastAsia="仿宋_GB2312" w:cs="仿宋_GB2312"/>
          <w:kern w:val="0"/>
          <w:sz w:val="32"/>
          <w:szCs w:val="32"/>
          <w:highlight w:val="none"/>
        </w:rPr>
        <w:t>%；政府性基金预算拨款收入</w:t>
      </w:r>
      <w:r>
        <w:rPr>
          <w:rFonts w:hint="eastAsia" w:ascii="仿宋_GB2312" w:hAnsi="仿宋_GB2312" w:eastAsia="仿宋_GB2312" w:cs="仿宋_GB2312"/>
          <w:kern w:val="0"/>
          <w:sz w:val="32"/>
          <w:szCs w:val="32"/>
          <w:highlight w:val="none"/>
          <w:lang w:val="en-US" w:eastAsia="zh-CN"/>
        </w:rPr>
        <w:t>0</w:t>
      </w:r>
      <w:r>
        <w:rPr>
          <w:rFonts w:hint="eastAsia" w:ascii="仿宋_GB2312" w:hAnsi="仿宋_GB2312" w:eastAsia="仿宋_GB2312" w:cs="仿宋_GB2312"/>
          <w:kern w:val="0"/>
          <w:sz w:val="32"/>
          <w:szCs w:val="32"/>
          <w:highlight w:val="none"/>
        </w:rPr>
        <w:t>万元，占</w:t>
      </w:r>
      <w:r>
        <w:rPr>
          <w:rFonts w:hint="eastAsia" w:ascii="仿宋_GB2312" w:hAnsi="仿宋_GB2312" w:eastAsia="仿宋_GB2312" w:cs="仿宋_GB2312"/>
          <w:kern w:val="0"/>
          <w:sz w:val="32"/>
          <w:szCs w:val="32"/>
          <w:highlight w:val="none"/>
          <w:lang w:val="en-US" w:eastAsia="zh-CN"/>
        </w:rPr>
        <w:t>0</w:t>
      </w:r>
      <w:r>
        <w:rPr>
          <w:rFonts w:hint="eastAsia" w:ascii="仿宋_GB2312" w:hAnsi="仿宋_GB2312" w:eastAsia="仿宋_GB2312" w:cs="仿宋_GB2312"/>
          <w:kern w:val="0"/>
          <w:sz w:val="32"/>
          <w:szCs w:val="32"/>
          <w:highlight w:val="none"/>
        </w:rPr>
        <w:t>%；事业收入</w:t>
      </w:r>
      <w:r>
        <w:rPr>
          <w:rFonts w:hint="eastAsia" w:ascii="仿宋_GB2312" w:hAnsi="仿宋_GB2312" w:eastAsia="仿宋_GB2312" w:cs="仿宋_GB2312"/>
          <w:kern w:val="0"/>
          <w:sz w:val="32"/>
          <w:szCs w:val="32"/>
          <w:highlight w:val="none"/>
          <w:lang w:val="en-US" w:eastAsia="zh-CN"/>
        </w:rPr>
        <w:t>0</w:t>
      </w:r>
      <w:r>
        <w:rPr>
          <w:rFonts w:hint="eastAsia" w:ascii="仿宋_GB2312" w:hAnsi="仿宋_GB2312" w:eastAsia="仿宋_GB2312" w:cs="仿宋_GB2312"/>
          <w:kern w:val="0"/>
          <w:sz w:val="32"/>
          <w:szCs w:val="32"/>
          <w:highlight w:val="none"/>
        </w:rPr>
        <w:t>万元，占</w:t>
      </w:r>
      <w:r>
        <w:rPr>
          <w:rFonts w:hint="eastAsia" w:ascii="仿宋_GB2312" w:hAnsi="仿宋_GB2312" w:eastAsia="仿宋_GB2312" w:cs="仿宋_GB2312"/>
          <w:kern w:val="0"/>
          <w:sz w:val="32"/>
          <w:szCs w:val="32"/>
          <w:highlight w:val="none"/>
          <w:lang w:val="en-US" w:eastAsia="zh-CN"/>
        </w:rPr>
        <w:t>0</w:t>
      </w:r>
      <w:r>
        <w:rPr>
          <w:rFonts w:hint="eastAsia" w:ascii="仿宋_GB2312" w:hAnsi="仿宋_GB2312" w:eastAsia="仿宋_GB2312" w:cs="仿宋_GB2312"/>
          <w:kern w:val="0"/>
          <w:sz w:val="32"/>
          <w:szCs w:val="32"/>
          <w:highlight w:val="none"/>
        </w:rPr>
        <w:t>%。</w:t>
      </w:r>
    </w:p>
    <w:p w14:paraId="7F2F17AD">
      <w:pPr>
        <w:keepNext w:val="0"/>
        <w:keepLines w:val="0"/>
        <w:pageBreakBefore w:val="0"/>
        <w:numPr>
          <w:ilvl w:val="0"/>
          <w:numId w:val="0"/>
        </w:numPr>
        <w:kinsoku/>
        <w:wordWrap/>
        <w:overflowPunct/>
        <w:autoSpaceDE/>
        <w:autoSpaceDN/>
        <w:bidi w:val="0"/>
        <w:adjustRightInd/>
        <w:snapToGrid/>
        <w:spacing w:line="360" w:lineRule="auto"/>
        <w:ind w:firstLine="643" w:firstLineChars="200"/>
        <w:textAlignment w:val="auto"/>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（二）支出预算情况</w:t>
      </w:r>
    </w:p>
    <w:p w14:paraId="64DB3D81">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kern w:val="0"/>
          <w:sz w:val="32"/>
          <w:szCs w:val="32"/>
        </w:rPr>
        <w:t>202</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年支出预算</w:t>
      </w:r>
      <w:r>
        <w:rPr>
          <w:rFonts w:hint="eastAsia" w:ascii="仿宋_GB2312" w:hAnsi="仿宋_GB2312" w:eastAsia="仿宋_GB2312" w:cs="仿宋_GB2312"/>
          <w:kern w:val="0"/>
          <w:sz w:val="32"/>
          <w:szCs w:val="32"/>
          <w:lang w:val="en-US" w:eastAsia="zh-CN"/>
        </w:rPr>
        <w:t>330.74</w:t>
      </w:r>
      <w:r>
        <w:rPr>
          <w:rFonts w:hint="eastAsia" w:ascii="仿宋_GB2312" w:hAnsi="仿宋_GB2312" w:eastAsia="仿宋_GB2312" w:cs="仿宋_GB2312"/>
          <w:kern w:val="0"/>
          <w:sz w:val="32"/>
          <w:szCs w:val="32"/>
        </w:rPr>
        <w:t>万元，其中：基本支出</w:t>
      </w:r>
      <w:r>
        <w:rPr>
          <w:rFonts w:hint="eastAsia" w:ascii="仿宋_GB2312" w:hAnsi="仿宋_GB2312" w:eastAsia="仿宋_GB2312" w:cs="仿宋_GB2312"/>
          <w:kern w:val="0"/>
          <w:sz w:val="32"/>
          <w:szCs w:val="32"/>
          <w:lang w:val="en-US" w:eastAsia="zh-CN"/>
        </w:rPr>
        <w:t>310.74</w:t>
      </w:r>
      <w:r>
        <w:rPr>
          <w:rFonts w:hint="eastAsia" w:ascii="仿宋_GB2312" w:hAnsi="仿宋_GB2312" w:eastAsia="仿宋_GB2312" w:cs="仿宋_GB2312"/>
          <w:kern w:val="0"/>
          <w:sz w:val="32"/>
          <w:szCs w:val="32"/>
        </w:rPr>
        <w:t>，占</w:t>
      </w:r>
      <w:r>
        <w:rPr>
          <w:rFonts w:hint="eastAsia" w:ascii="仿宋_GB2312" w:hAnsi="仿宋_GB2312" w:eastAsia="仿宋_GB2312" w:cs="仿宋_GB2312"/>
          <w:kern w:val="0"/>
          <w:sz w:val="32"/>
          <w:szCs w:val="32"/>
          <w:lang w:val="en-US" w:eastAsia="zh-CN"/>
        </w:rPr>
        <w:t>93.95</w:t>
      </w:r>
      <w:r>
        <w:rPr>
          <w:rFonts w:hint="eastAsia" w:ascii="仿宋_GB2312" w:hAnsi="仿宋_GB2312" w:eastAsia="仿宋_GB2312" w:cs="仿宋_GB2312"/>
          <w:kern w:val="0"/>
          <w:sz w:val="32"/>
          <w:szCs w:val="32"/>
        </w:rPr>
        <w:t>%；项目支出</w:t>
      </w:r>
      <w:r>
        <w:rPr>
          <w:rFonts w:hint="eastAsia" w:ascii="仿宋_GB2312" w:hAnsi="仿宋_GB2312" w:eastAsia="仿宋_GB2312" w:cs="仿宋_GB2312"/>
          <w:kern w:val="0"/>
          <w:sz w:val="32"/>
          <w:szCs w:val="32"/>
          <w:lang w:val="en-US" w:eastAsia="zh-CN"/>
        </w:rPr>
        <w:t>20</w:t>
      </w:r>
      <w:r>
        <w:rPr>
          <w:rFonts w:hint="eastAsia" w:ascii="仿宋_GB2312" w:hAnsi="仿宋_GB2312" w:eastAsia="仿宋_GB2312" w:cs="仿宋_GB2312"/>
          <w:kern w:val="0"/>
          <w:sz w:val="32"/>
          <w:szCs w:val="32"/>
        </w:rPr>
        <w:t>万元，占</w:t>
      </w:r>
      <w:r>
        <w:rPr>
          <w:rFonts w:hint="eastAsia" w:ascii="仿宋_GB2312" w:hAnsi="仿宋_GB2312" w:eastAsia="仿宋_GB2312" w:cs="仿宋_GB2312"/>
          <w:kern w:val="0"/>
          <w:sz w:val="32"/>
          <w:szCs w:val="32"/>
          <w:lang w:val="en-US" w:eastAsia="zh-CN"/>
        </w:rPr>
        <w:t>6.05</w:t>
      </w:r>
      <w:r>
        <w:rPr>
          <w:rFonts w:hint="eastAsia" w:ascii="仿宋_GB2312" w:hAnsi="仿宋_GB2312" w:eastAsia="仿宋_GB2312" w:cs="仿宋_GB2312"/>
          <w:kern w:val="0"/>
          <w:sz w:val="32"/>
          <w:szCs w:val="32"/>
        </w:rPr>
        <w:t>%。</w:t>
      </w:r>
    </w:p>
    <w:p w14:paraId="011C6E64">
      <w:pPr>
        <w:keepNext w:val="0"/>
        <w:keepLines w:val="0"/>
        <w:pageBreakBefore w:val="0"/>
        <w:widowControl/>
        <w:shd w:val="clear" w:color="auto" w:fill="FFFFFF"/>
        <w:kinsoku/>
        <w:wordWrap/>
        <w:overflowPunct/>
        <w:autoSpaceDE/>
        <w:autoSpaceDN/>
        <w:bidi w:val="0"/>
        <w:adjustRightInd/>
        <w:snapToGrid/>
        <w:spacing w:line="360" w:lineRule="auto"/>
        <w:ind w:firstLine="643" w:firstLineChars="200"/>
        <w:jc w:val="left"/>
        <w:textAlignment w:val="auto"/>
        <w:rPr>
          <w:rFonts w:hint="eastAsia" w:ascii="黑体" w:hAnsi="黑体" w:eastAsia="黑体" w:cs="黑体"/>
          <w:b/>
          <w:color w:val="000000"/>
          <w:kern w:val="0"/>
          <w:sz w:val="32"/>
          <w:szCs w:val="32"/>
          <w:lang w:val="en-US" w:eastAsia="zh-CN"/>
        </w:rPr>
      </w:pPr>
      <w:r>
        <w:rPr>
          <w:rFonts w:hint="eastAsia" w:ascii="黑体" w:hAnsi="黑体" w:eastAsia="黑体" w:cs="黑体"/>
          <w:b/>
          <w:color w:val="000000"/>
          <w:kern w:val="0"/>
          <w:sz w:val="32"/>
          <w:szCs w:val="32"/>
          <w:lang w:val="en-US" w:eastAsia="zh-CN"/>
        </w:rPr>
        <w:t>二、财政拨款收支预算情况说明</w:t>
      </w:r>
    </w:p>
    <w:p w14:paraId="7F0ACDCF">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 w:hAnsi="仿宋" w:eastAsia="仿宋" w:cs="宋体"/>
          <w:kern w:val="0"/>
          <w:sz w:val="32"/>
          <w:szCs w:val="32"/>
          <w:lang w:val="en-US" w:eastAsia="zh-CN"/>
        </w:rPr>
      </w:pP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kern w:val="0"/>
          <w:sz w:val="32"/>
          <w:szCs w:val="32"/>
        </w:rPr>
        <w:t>202</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 xml:space="preserve">年财政拨款收支预算总数 </w:t>
      </w:r>
      <w:r>
        <w:rPr>
          <w:rFonts w:hint="eastAsia" w:ascii="仿宋_GB2312" w:hAnsi="仿宋_GB2312" w:eastAsia="仿宋_GB2312" w:cs="仿宋_GB2312"/>
          <w:kern w:val="0"/>
          <w:sz w:val="32"/>
          <w:szCs w:val="32"/>
          <w:lang w:val="en-US" w:eastAsia="zh-CN"/>
        </w:rPr>
        <w:t>330.74</w:t>
      </w:r>
      <w:r>
        <w:rPr>
          <w:rFonts w:hint="eastAsia" w:ascii="仿宋_GB2312" w:hAnsi="仿宋_GB2312" w:eastAsia="仿宋_GB2312" w:cs="仿宋_GB2312"/>
          <w:kern w:val="0"/>
          <w:sz w:val="32"/>
          <w:szCs w:val="32"/>
        </w:rPr>
        <w:t>万元,比 202</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年财政拨款收支预算总数</w:t>
      </w:r>
      <w:r>
        <w:rPr>
          <w:rFonts w:hint="eastAsia" w:ascii="仿宋_GB2312" w:hAnsi="仿宋_GB2312" w:eastAsia="仿宋_GB2312" w:cs="仿宋_GB2312"/>
          <w:kern w:val="0"/>
          <w:sz w:val="32"/>
          <w:szCs w:val="32"/>
          <w:lang w:eastAsia="zh-CN"/>
        </w:rPr>
        <w:t>减少</w:t>
      </w:r>
      <w:r>
        <w:rPr>
          <w:rFonts w:hint="eastAsia" w:ascii="仿宋_GB2312" w:hAnsi="仿宋_GB2312" w:eastAsia="仿宋_GB2312" w:cs="仿宋_GB2312"/>
          <w:kern w:val="0"/>
          <w:sz w:val="32"/>
          <w:szCs w:val="32"/>
          <w:lang w:val="en-US" w:eastAsia="zh-CN"/>
        </w:rPr>
        <w:t>21.05</w:t>
      </w:r>
      <w:r>
        <w:rPr>
          <w:rFonts w:hint="eastAsia" w:ascii="仿宋_GB2312" w:hAnsi="仿宋_GB2312" w:eastAsia="仿宋_GB2312" w:cs="仿宋_GB2312"/>
          <w:kern w:val="0"/>
          <w:sz w:val="32"/>
          <w:szCs w:val="32"/>
        </w:rPr>
        <w:t>万元，主要原因一是</w:t>
      </w:r>
      <w:r>
        <w:rPr>
          <w:rFonts w:hint="eastAsia" w:ascii="仿宋_GB2312" w:hAnsi="仿宋_GB2312" w:eastAsia="仿宋_GB2312" w:cs="仿宋_GB2312"/>
          <w:kern w:val="0"/>
          <w:sz w:val="32"/>
          <w:szCs w:val="32"/>
          <w:lang w:eastAsia="zh-CN"/>
        </w:rPr>
        <w:t>人员经费减少</w:t>
      </w:r>
      <w:r>
        <w:rPr>
          <w:rFonts w:hint="eastAsia" w:ascii="仿宋_GB2312" w:hAnsi="仿宋_GB2312" w:eastAsia="仿宋_GB2312" w:cs="仿宋_GB2312"/>
          <w:kern w:val="0"/>
          <w:sz w:val="32"/>
          <w:szCs w:val="32"/>
          <w:lang w:val="en-US" w:eastAsia="zh-CN"/>
        </w:rPr>
        <w:t>。</w:t>
      </w:r>
      <w:r>
        <w:rPr>
          <w:rFonts w:hint="eastAsia" w:ascii="仿宋_GB2312" w:hAnsi="仿宋_GB2312" w:eastAsia="仿宋_GB2312" w:cs="仿宋_GB2312"/>
          <w:kern w:val="0"/>
          <w:sz w:val="32"/>
          <w:szCs w:val="32"/>
        </w:rPr>
        <w:t>收入包括：本年一般公共预算拨款收入</w:t>
      </w:r>
      <w:r>
        <w:rPr>
          <w:rFonts w:hint="eastAsia" w:ascii="仿宋_GB2312" w:hAnsi="仿宋_GB2312" w:eastAsia="仿宋_GB2312" w:cs="仿宋_GB2312"/>
          <w:kern w:val="0"/>
          <w:sz w:val="32"/>
          <w:szCs w:val="32"/>
          <w:lang w:val="en-US" w:eastAsia="zh-CN"/>
        </w:rPr>
        <w:t>330.74</w:t>
      </w:r>
      <w:r>
        <w:rPr>
          <w:rFonts w:hint="eastAsia" w:ascii="仿宋_GB2312" w:hAnsi="仿宋_GB2312" w:eastAsia="仿宋_GB2312" w:cs="仿宋_GB2312"/>
          <w:kern w:val="0"/>
          <w:sz w:val="32"/>
          <w:szCs w:val="32"/>
        </w:rPr>
        <w:t>万元、本年政府性基金预算拨款收入</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万元；支出包括：一般公共服务支出</w:t>
      </w:r>
      <w:r>
        <w:rPr>
          <w:rFonts w:hint="eastAsia" w:ascii="仿宋_GB2312" w:hAnsi="仿宋_GB2312" w:eastAsia="仿宋_GB2312" w:cs="仿宋_GB2312"/>
          <w:kern w:val="0"/>
          <w:sz w:val="32"/>
          <w:szCs w:val="32"/>
          <w:lang w:val="en-US" w:eastAsia="zh-CN"/>
        </w:rPr>
        <w:t>20</w:t>
      </w:r>
      <w:r>
        <w:rPr>
          <w:rFonts w:hint="eastAsia" w:ascii="仿宋_GB2312" w:hAnsi="仿宋_GB2312" w:eastAsia="仿宋_GB2312" w:cs="仿宋_GB2312"/>
          <w:kern w:val="0"/>
          <w:sz w:val="32"/>
          <w:szCs w:val="32"/>
        </w:rPr>
        <w:t>万元、社会保障和就业支出</w:t>
      </w:r>
      <w:r>
        <w:rPr>
          <w:rFonts w:hint="eastAsia" w:ascii="仿宋_GB2312" w:hAnsi="仿宋_GB2312" w:eastAsia="仿宋_GB2312" w:cs="仿宋_GB2312"/>
          <w:kern w:val="0"/>
          <w:sz w:val="32"/>
          <w:szCs w:val="32"/>
          <w:lang w:val="en-US" w:eastAsia="zh-CN"/>
        </w:rPr>
        <w:t>45.18</w:t>
      </w:r>
      <w:r>
        <w:rPr>
          <w:rFonts w:hint="eastAsia" w:ascii="仿宋_GB2312" w:hAnsi="仿宋_GB2312" w:eastAsia="仿宋_GB2312" w:cs="仿宋_GB2312"/>
          <w:kern w:val="0"/>
          <w:sz w:val="32"/>
          <w:szCs w:val="32"/>
        </w:rPr>
        <w:t>万元、卫生健康支出</w:t>
      </w:r>
      <w:r>
        <w:rPr>
          <w:rFonts w:hint="eastAsia" w:ascii="仿宋_GB2312" w:hAnsi="仿宋_GB2312" w:eastAsia="仿宋_GB2312" w:cs="仿宋_GB2312"/>
          <w:kern w:val="0"/>
          <w:sz w:val="32"/>
          <w:szCs w:val="32"/>
          <w:lang w:val="en-US" w:eastAsia="zh-CN"/>
        </w:rPr>
        <w:t>10.85</w:t>
      </w:r>
      <w:r>
        <w:rPr>
          <w:rFonts w:hint="eastAsia" w:ascii="仿宋_GB2312" w:hAnsi="仿宋_GB2312" w:eastAsia="仿宋_GB2312" w:cs="仿宋_GB2312"/>
          <w:kern w:val="0"/>
          <w:sz w:val="32"/>
          <w:szCs w:val="32"/>
        </w:rPr>
        <w:t>万元，</w:t>
      </w:r>
      <w:r>
        <w:rPr>
          <w:rFonts w:hint="eastAsia" w:ascii="仿宋_GB2312" w:hAnsi="仿宋_GB2312" w:eastAsia="仿宋_GB2312" w:cs="仿宋_GB2312"/>
          <w:kern w:val="0"/>
          <w:sz w:val="32"/>
          <w:szCs w:val="32"/>
          <w:lang w:eastAsia="zh-CN"/>
        </w:rPr>
        <w:t>住房</w:t>
      </w:r>
      <w:r>
        <w:rPr>
          <w:rFonts w:hint="eastAsia" w:ascii="仿宋_GB2312" w:hAnsi="仿宋_GB2312" w:eastAsia="仿宋_GB2312" w:cs="仿宋_GB2312"/>
          <w:kern w:val="0"/>
          <w:sz w:val="32"/>
          <w:szCs w:val="32"/>
        </w:rPr>
        <w:t>保障支出</w:t>
      </w:r>
      <w:r>
        <w:rPr>
          <w:rFonts w:hint="eastAsia" w:ascii="仿宋_GB2312" w:hAnsi="仿宋_GB2312" w:eastAsia="仿宋_GB2312" w:cs="仿宋_GB2312"/>
          <w:kern w:val="0"/>
          <w:sz w:val="32"/>
          <w:szCs w:val="32"/>
          <w:lang w:val="en-US" w:eastAsia="zh-CN"/>
        </w:rPr>
        <w:t>24.62</w:t>
      </w:r>
      <w:r>
        <w:rPr>
          <w:rFonts w:hint="eastAsia" w:ascii="仿宋_GB2312" w:hAnsi="仿宋_GB2312" w:eastAsia="仿宋_GB2312" w:cs="仿宋_GB2312"/>
          <w:kern w:val="0"/>
          <w:sz w:val="32"/>
          <w:szCs w:val="32"/>
        </w:rPr>
        <w:t>万元</w:t>
      </w:r>
      <w:r>
        <w:rPr>
          <w:rFonts w:hint="eastAsia" w:ascii="仿宋_GB2312" w:hAnsi="仿宋_GB2312" w:eastAsia="仿宋_GB2312" w:cs="仿宋_GB2312"/>
          <w:kern w:val="0"/>
          <w:sz w:val="32"/>
          <w:szCs w:val="32"/>
          <w:lang w:val="en-US" w:eastAsia="zh-CN"/>
        </w:rPr>
        <w:t>,文化旅游体育与传媒支出230.09万元。</w:t>
      </w:r>
    </w:p>
    <w:p w14:paraId="5AA09C87">
      <w:pPr>
        <w:keepNext w:val="0"/>
        <w:keepLines w:val="0"/>
        <w:pageBreakBefore w:val="0"/>
        <w:numPr>
          <w:ilvl w:val="0"/>
          <w:numId w:val="0"/>
        </w:numPr>
        <w:kinsoku/>
        <w:wordWrap/>
        <w:overflowPunct/>
        <w:autoSpaceDE/>
        <w:autoSpaceDN/>
        <w:bidi w:val="0"/>
        <w:adjustRightInd/>
        <w:snapToGrid/>
        <w:spacing w:line="360" w:lineRule="auto"/>
        <w:ind w:firstLine="643" w:firstLineChars="200"/>
        <w:textAlignment w:val="auto"/>
        <w:rPr>
          <w:rFonts w:hint="eastAsia" w:ascii="黑体" w:hAnsi="黑体" w:eastAsia="黑体" w:cs="黑体"/>
          <w:b/>
          <w:color w:val="000000"/>
          <w:kern w:val="0"/>
          <w:sz w:val="32"/>
          <w:szCs w:val="32"/>
          <w:lang w:eastAsia="zh-CN"/>
        </w:rPr>
      </w:pPr>
      <w:r>
        <w:rPr>
          <w:rFonts w:hint="eastAsia" w:ascii="黑体" w:hAnsi="黑体" w:eastAsia="黑体" w:cs="黑体"/>
          <w:b/>
          <w:color w:val="000000"/>
          <w:kern w:val="0"/>
          <w:sz w:val="32"/>
          <w:szCs w:val="32"/>
        </w:rPr>
        <w:t>三、一般公共预算当年拨款情况说明</w:t>
      </w:r>
    </w:p>
    <w:p w14:paraId="782D76F0">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640" w:firstLineChars="200"/>
        <w:textAlignment w:val="auto"/>
        <w:rPr>
          <w:rFonts w:hint="eastAsia" w:ascii="仿宋" w:hAnsi="仿宋" w:eastAsia="仿宋" w:cs="宋体"/>
          <w:b w:val="0"/>
          <w:bCs w:val="0"/>
          <w:color w:val="000000"/>
          <w:kern w:val="0"/>
          <w:sz w:val="32"/>
          <w:szCs w:val="32"/>
          <w:lang w:eastAsia="zh-CN"/>
        </w:rPr>
      </w:pPr>
      <w:r>
        <w:rPr>
          <w:rFonts w:hint="eastAsia" w:ascii="仿宋_GB2312" w:hAnsi="仿宋_GB2312" w:eastAsia="仿宋_GB2312" w:cs="仿宋_GB2312"/>
          <w:b w:val="0"/>
          <w:bCs w:val="0"/>
          <w:color w:val="000000"/>
          <w:kern w:val="0"/>
          <w:sz w:val="32"/>
          <w:szCs w:val="32"/>
        </w:rPr>
        <w:t>（一）一般公共预算当年拨款规模及变化情况</w:t>
      </w:r>
    </w:p>
    <w:p w14:paraId="39A54278">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年一般公共预算当年拨款</w:t>
      </w:r>
      <w:r>
        <w:rPr>
          <w:rFonts w:hint="eastAsia" w:ascii="仿宋_GB2312" w:hAnsi="仿宋_GB2312" w:eastAsia="仿宋_GB2312" w:cs="仿宋_GB2312"/>
          <w:color w:val="000000"/>
          <w:kern w:val="0"/>
          <w:sz w:val="32"/>
          <w:szCs w:val="32"/>
          <w:lang w:val="en-US" w:eastAsia="zh-CN"/>
        </w:rPr>
        <w:t>330.74</w:t>
      </w:r>
      <w:r>
        <w:rPr>
          <w:rFonts w:hint="eastAsia" w:ascii="仿宋_GB2312" w:hAnsi="仿宋_GB2312" w:eastAsia="仿宋_GB2312" w:cs="仿宋_GB2312"/>
          <w:color w:val="000000"/>
          <w:kern w:val="0"/>
          <w:sz w:val="32"/>
          <w:szCs w:val="32"/>
        </w:rPr>
        <w:t>万元，较上年预算数</w:t>
      </w:r>
      <w:r>
        <w:rPr>
          <w:rFonts w:hint="eastAsia" w:ascii="仿宋_GB2312" w:hAnsi="仿宋_GB2312" w:eastAsia="仿宋_GB2312" w:cs="仿宋_GB2312"/>
          <w:color w:val="000000"/>
          <w:kern w:val="0"/>
          <w:sz w:val="32"/>
          <w:szCs w:val="32"/>
          <w:lang w:eastAsia="zh-CN"/>
        </w:rPr>
        <w:t>减少</w:t>
      </w:r>
      <w:r>
        <w:rPr>
          <w:rFonts w:hint="eastAsia" w:ascii="仿宋_GB2312" w:hAnsi="仿宋_GB2312" w:eastAsia="仿宋_GB2312" w:cs="仿宋_GB2312"/>
          <w:color w:val="000000"/>
          <w:kern w:val="0"/>
          <w:sz w:val="32"/>
          <w:szCs w:val="32"/>
          <w:lang w:val="en-US" w:eastAsia="zh-CN"/>
        </w:rPr>
        <w:t>21.05</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主要原因</w:t>
      </w:r>
      <w:r>
        <w:rPr>
          <w:rFonts w:hint="eastAsia" w:ascii="仿宋_GB2312" w:hAnsi="仿宋_GB2312" w:eastAsia="仿宋_GB2312" w:cs="仿宋_GB2312"/>
          <w:color w:val="000000"/>
          <w:kern w:val="0"/>
          <w:sz w:val="32"/>
          <w:szCs w:val="32"/>
        </w:rPr>
        <w:t>是</w:t>
      </w:r>
      <w:r>
        <w:rPr>
          <w:rFonts w:hint="eastAsia" w:ascii="仿宋_GB2312" w:hAnsi="仿宋_GB2312" w:eastAsia="仿宋_GB2312" w:cs="仿宋_GB2312"/>
          <w:color w:val="000000"/>
          <w:kern w:val="0"/>
          <w:sz w:val="32"/>
          <w:szCs w:val="32"/>
          <w:lang w:eastAsia="zh-CN"/>
        </w:rPr>
        <w:t>人员经费减少</w:t>
      </w:r>
      <w:r>
        <w:rPr>
          <w:rFonts w:hint="eastAsia" w:ascii="仿宋_GB2312" w:hAnsi="仿宋_GB2312" w:eastAsia="仿宋_GB2312" w:cs="仿宋_GB2312"/>
          <w:color w:val="000000"/>
          <w:kern w:val="0"/>
          <w:sz w:val="32"/>
          <w:szCs w:val="32"/>
        </w:rPr>
        <w:t>。 </w:t>
      </w:r>
    </w:p>
    <w:p w14:paraId="32EBDB8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val="0"/>
          <w:bCs w:val="0"/>
          <w:color w:val="000000"/>
          <w:kern w:val="0"/>
          <w:sz w:val="32"/>
          <w:szCs w:val="32"/>
          <w:lang w:eastAsia="zh-CN"/>
        </w:rPr>
      </w:pPr>
      <w:r>
        <w:rPr>
          <w:rFonts w:hint="eastAsia" w:ascii="仿宋_GB2312" w:hAnsi="仿宋_GB2312" w:eastAsia="仿宋_GB2312" w:cs="仿宋_GB2312"/>
          <w:b w:val="0"/>
          <w:bCs w:val="0"/>
          <w:color w:val="000000"/>
          <w:kern w:val="0"/>
          <w:sz w:val="32"/>
          <w:szCs w:val="32"/>
        </w:rPr>
        <w:t>（二）一般公共预算当年拨款结构情况</w:t>
      </w:r>
    </w:p>
    <w:p w14:paraId="7EFF83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一般公共服务支出</w:t>
      </w:r>
      <w:r>
        <w:rPr>
          <w:rFonts w:hint="eastAsia" w:ascii="仿宋_GB2312" w:hAnsi="仿宋_GB2312" w:eastAsia="仿宋_GB2312" w:cs="仿宋_GB2312"/>
          <w:color w:val="000000"/>
          <w:kern w:val="0"/>
          <w:sz w:val="32"/>
          <w:szCs w:val="32"/>
          <w:lang w:val="en-US" w:eastAsia="zh-CN"/>
        </w:rPr>
        <w:t>20</w:t>
      </w:r>
      <w:r>
        <w:rPr>
          <w:rFonts w:hint="eastAsia" w:ascii="仿宋_GB2312" w:hAnsi="仿宋_GB2312" w:eastAsia="仿宋_GB2312" w:cs="仿宋_GB2312"/>
          <w:color w:val="000000"/>
          <w:kern w:val="0"/>
          <w:sz w:val="32"/>
          <w:szCs w:val="32"/>
        </w:rPr>
        <w:t>万元，占</w:t>
      </w:r>
      <w:r>
        <w:rPr>
          <w:rFonts w:hint="eastAsia" w:ascii="仿宋_GB2312" w:hAnsi="仿宋_GB2312" w:eastAsia="仿宋_GB2312" w:cs="仿宋_GB2312"/>
          <w:color w:val="000000"/>
          <w:kern w:val="0"/>
          <w:sz w:val="32"/>
          <w:szCs w:val="32"/>
          <w:lang w:val="en-US" w:eastAsia="zh-CN"/>
        </w:rPr>
        <w:t>6.05</w:t>
      </w:r>
      <w:r>
        <w:rPr>
          <w:rFonts w:hint="eastAsia" w:ascii="仿宋_GB2312" w:hAnsi="仿宋_GB2312" w:eastAsia="仿宋_GB2312" w:cs="仿宋_GB2312"/>
          <w:color w:val="000000"/>
          <w:kern w:val="0"/>
          <w:sz w:val="32"/>
          <w:szCs w:val="32"/>
        </w:rPr>
        <w:t>%；文化旅游体育与传媒支出</w:t>
      </w:r>
      <w:r>
        <w:rPr>
          <w:rFonts w:hint="eastAsia" w:ascii="仿宋_GB2312" w:hAnsi="仿宋_GB2312" w:eastAsia="仿宋_GB2312" w:cs="仿宋_GB2312"/>
          <w:color w:val="000000"/>
          <w:kern w:val="0"/>
          <w:sz w:val="32"/>
          <w:szCs w:val="32"/>
          <w:lang w:val="en-US" w:eastAsia="zh-CN"/>
        </w:rPr>
        <w:t>230.09</w:t>
      </w:r>
      <w:r>
        <w:rPr>
          <w:rFonts w:hint="eastAsia" w:ascii="仿宋_GB2312" w:hAnsi="仿宋_GB2312" w:eastAsia="仿宋_GB2312" w:cs="仿宋_GB2312"/>
          <w:color w:val="000000"/>
          <w:kern w:val="0"/>
          <w:sz w:val="32"/>
          <w:szCs w:val="32"/>
        </w:rPr>
        <w:t>万元，占</w:t>
      </w:r>
      <w:r>
        <w:rPr>
          <w:rFonts w:hint="eastAsia" w:ascii="仿宋_GB2312" w:hAnsi="仿宋_GB2312" w:eastAsia="仿宋_GB2312" w:cs="仿宋_GB2312"/>
          <w:color w:val="000000"/>
          <w:kern w:val="0"/>
          <w:sz w:val="32"/>
          <w:szCs w:val="32"/>
          <w:lang w:val="en-US" w:eastAsia="zh-CN"/>
        </w:rPr>
        <w:t>69.57</w:t>
      </w:r>
      <w:r>
        <w:rPr>
          <w:rFonts w:hint="eastAsia" w:ascii="仿宋_GB2312" w:hAnsi="仿宋_GB2312" w:eastAsia="仿宋_GB2312" w:cs="仿宋_GB2312"/>
          <w:color w:val="000000"/>
          <w:kern w:val="0"/>
          <w:sz w:val="32"/>
          <w:szCs w:val="32"/>
        </w:rPr>
        <w:t>％。社会保障和就业支出</w:t>
      </w:r>
      <w:r>
        <w:rPr>
          <w:rFonts w:hint="eastAsia" w:ascii="仿宋_GB2312" w:hAnsi="仿宋_GB2312" w:eastAsia="仿宋_GB2312" w:cs="仿宋_GB2312"/>
          <w:color w:val="000000"/>
          <w:kern w:val="0"/>
          <w:sz w:val="32"/>
          <w:szCs w:val="32"/>
          <w:lang w:val="en-US" w:eastAsia="zh-CN"/>
        </w:rPr>
        <w:t>45.18</w:t>
      </w:r>
      <w:r>
        <w:rPr>
          <w:rFonts w:hint="eastAsia" w:ascii="仿宋_GB2312" w:hAnsi="仿宋_GB2312" w:eastAsia="仿宋_GB2312" w:cs="仿宋_GB2312"/>
          <w:color w:val="000000"/>
          <w:kern w:val="0"/>
          <w:sz w:val="32"/>
          <w:szCs w:val="32"/>
        </w:rPr>
        <w:t>万元，占</w:t>
      </w:r>
      <w:r>
        <w:rPr>
          <w:rFonts w:hint="eastAsia" w:ascii="仿宋_GB2312" w:hAnsi="仿宋_GB2312" w:eastAsia="仿宋_GB2312" w:cs="仿宋_GB2312"/>
          <w:color w:val="000000"/>
          <w:kern w:val="0"/>
          <w:sz w:val="32"/>
          <w:szCs w:val="32"/>
          <w:lang w:val="en-US" w:eastAsia="zh-CN"/>
        </w:rPr>
        <w:t>13.66</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卫生健康支出</w:t>
      </w:r>
      <w:r>
        <w:rPr>
          <w:rFonts w:hint="eastAsia" w:ascii="仿宋_GB2312" w:hAnsi="仿宋_GB2312" w:eastAsia="仿宋_GB2312" w:cs="仿宋_GB2312"/>
          <w:color w:val="000000"/>
          <w:kern w:val="0"/>
          <w:sz w:val="32"/>
          <w:szCs w:val="32"/>
          <w:lang w:val="en-US" w:eastAsia="zh-CN"/>
        </w:rPr>
        <w:t>10.85</w:t>
      </w:r>
      <w:r>
        <w:rPr>
          <w:rFonts w:hint="eastAsia" w:ascii="仿宋_GB2312" w:hAnsi="仿宋_GB2312" w:eastAsia="仿宋_GB2312" w:cs="仿宋_GB2312"/>
          <w:color w:val="000000"/>
          <w:kern w:val="0"/>
          <w:sz w:val="32"/>
          <w:szCs w:val="32"/>
        </w:rPr>
        <w:t>万元，占</w:t>
      </w:r>
      <w:r>
        <w:rPr>
          <w:rFonts w:hint="eastAsia" w:ascii="仿宋_GB2312" w:hAnsi="仿宋_GB2312" w:eastAsia="仿宋_GB2312" w:cs="仿宋_GB2312"/>
          <w:color w:val="000000"/>
          <w:kern w:val="0"/>
          <w:sz w:val="32"/>
          <w:szCs w:val="32"/>
          <w:lang w:val="en-US" w:eastAsia="zh-CN"/>
        </w:rPr>
        <w:t>3.28</w:t>
      </w:r>
      <w:r>
        <w:rPr>
          <w:rFonts w:hint="eastAsia" w:ascii="仿宋_GB2312" w:hAnsi="仿宋_GB2312" w:eastAsia="仿宋_GB2312" w:cs="仿宋_GB2312"/>
          <w:color w:val="000000"/>
          <w:kern w:val="0"/>
          <w:sz w:val="32"/>
          <w:szCs w:val="32"/>
        </w:rPr>
        <w:t>%；住房保障支出</w:t>
      </w:r>
      <w:r>
        <w:rPr>
          <w:rFonts w:hint="eastAsia" w:ascii="仿宋_GB2312" w:hAnsi="仿宋_GB2312" w:eastAsia="仿宋_GB2312" w:cs="仿宋_GB2312"/>
          <w:color w:val="000000"/>
          <w:kern w:val="0"/>
          <w:sz w:val="32"/>
          <w:szCs w:val="32"/>
          <w:lang w:val="en-US" w:eastAsia="zh-CN"/>
        </w:rPr>
        <w:t>24.62</w:t>
      </w:r>
      <w:r>
        <w:rPr>
          <w:rFonts w:hint="eastAsia" w:ascii="仿宋_GB2312" w:hAnsi="仿宋_GB2312" w:eastAsia="仿宋_GB2312" w:cs="仿宋_GB2312"/>
          <w:color w:val="000000"/>
          <w:kern w:val="0"/>
          <w:sz w:val="32"/>
          <w:szCs w:val="32"/>
        </w:rPr>
        <w:t>万元，占</w:t>
      </w:r>
      <w:r>
        <w:rPr>
          <w:rFonts w:hint="eastAsia" w:ascii="仿宋_GB2312" w:hAnsi="仿宋_GB2312" w:eastAsia="仿宋_GB2312" w:cs="仿宋_GB2312"/>
          <w:color w:val="000000"/>
          <w:kern w:val="0"/>
          <w:sz w:val="32"/>
          <w:szCs w:val="32"/>
          <w:lang w:val="en-US" w:eastAsia="zh-CN"/>
        </w:rPr>
        <w:t>7.44</w:t>
      </w:r>
      <w:r>
        <w:rPr>
          <w:rFonts w:hint="eastAsia" w:ascii="仿宋_GB2312" w:hAnsi="仿宋_GB2312" w:eastAsia="仿宋_GB2312" w:cs="仿宋_GB2312"/>
          <w:color w:val="000000"/>
          <w:kern w:val="0"/>
          <w:sz w:val="32"/>
          <w:szCs w:val="32"/>
        </w:rPr>
        <w:t>%。 </w:t>
      </w:r>
    </w:p>
    <w:p w14:paraId="61310D64">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10" w:leftChars="0" w:firstLine="640" w:firstLineChars="0"/>
        <w:textAlignment w:val="auto"/>
        <w:rPr>
          <w:rFonts w:hint="eastAsia" w:ascii="仿宋_GB2312" w:hAnsi="仿宋_GB2312" w:eastAsia="仿宋_GB2312" w:cs="仿宋_GB2312"/>
          <w:b w:val="0"/>
          <w:bCs w:val="0"/>
          <w:color w:val="000000"/>
          <w:kern w:val="0"/>
          <w:sz w:val="32"/>
          <w:szCs w:val="32"/>
        </w:rPr>
      </w:pPr>
      <w:r>
        <w:rPr>
          <w:rFonts w:hint="eastAsia" w:ascii="仿宋_GB2312" w:hAnsi="仿宋_GB2312" w:eastAsia="仿宋_GB2312" w:cs="仿宋_GB2312"/>
          <w:b w:val="0"/>
          <w:bCs w:val="0"/>
          <w:color w:val="000000"/>
          <w:kern w:val="0"/>
          <w:sz w:val="32"/>
          <w:szCs w:val="32"/>
        </w:rPr>
        <w:t>一般公共预算当年拨款具体使用情况 </w:t>
      </w:r>
    </w:p>
    <w:p w14:paraId="1A27ED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1.文化旅游体育与传媒支出（类）</w:t>
      </w:r>
      <w:r>
        <w:rPr>
          <w:rFonts w:hint="eastAsia" w:ascii="仿宋_GB2312" w:hAnsi="仿宋_GB2312" w:eastAsia="仿宋_GB2312" w:cs="仿宋_GB2312"/>
          <w:color w:val="000000"/>
          <w:kern w:val="0"/>
          <w:sz w:val="32"/>
          <w:szCs w:val="32"/>
          <w:lang w:eastAsia="zh-CN"/>
        </w:rPr>
        <w:t>广播电视</w:t>
      </w:r>
      <w:r>
        <w:rPr>
          <w:rFonts w:hint="eastAsia" w:ascii="仿宋_GB2312" w:hAnsi="仿宋_GB2312" w:eastAsia="仿宋_GB2312" w:cs="仿宋_GB2312"/>
          <w:color w:val="000000"/>
          <w:kern w:val="0"/>
          <w:sz w:val="32"/>
          <w:szCs w:val="32"/>
        </w:rPr>
        <w:t>（款）</w:t>
      </w:r>
      <w:r>
        <w:rPr>
          <w:rFonts w:hint="eastAsia" w:ascii="仿宋_GB2312" w:hAnsi="仿宋_GB2312" w:eastAsia="仿宋_GB2312" w:cs="仿宋_GB2312"/>
          <w:color w:val="000000"/>
          <w:kern w:val="0"/>
          <w:sz w:val="32"/>
          <w:szCs w:val="32"/>
          <w:lang w:eastAsia="zh-CN"/>
        </w:rPr>
        <w:t>其他广播电视支出</w:t>
      </w:r>
      <w:r>
        <w:rPr>
          <w:rFonts w:hint="eastAsia" w:ascii="仿宋_GB2312" w:hAnsi="仿宋_GB2312" w:eastAsia="仿宋_GB2312" w:cs="仿宋_GB2312"/>
          <w:color w:val="000000"/>
          <w:kern w:val="0"/>
          <w:sz w:val="32"/>
          <w:szCs w:val="32"/>
        </w:rPr>
        <w:t>（项）:202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年预算数为</w:t>
      </w:r>
      <w:r>
        <w:rPr>
          <w:rFonts w:hint="eastAsia" w:ascii="仿宋_GB2312" w:hAnsi="仿宋_GB2312" w:eastAsia="仿宋_GB2312" w:cs="仿宋_GB2312"/>
          <w:color w:val="000000"/>
          <w:kern w:val="0"/>
          <w:sz w:val="32"/>
          <w:szCs w:val="32"/>
          <w:lang w:val="en-US" w:eastAsia="zh-CN"/>
        </w:rPr>
        <w:t>230.09</w:t>
      </w:r>
      <w:r>
        <w:rPr>
          <w:rFonts w:hint="eastAsia" w:ascii="仿宋_GB2312" w:hAnsi="仿宋_GB2312" w:eastAsia="仿宋_GB2312" w:cs="仿宋_GB2312"/>
          <w:color w:val="000000"/>
          <w:kern w:val="0"/>
          <w:sz w:val="32"/>
          <w:szCs w:val="32"/>
        </w:rPr>
        <w:t>万元，主要用于：机关及参公管理事业单位正常运转的基本支出，包括基本工资、津贴补贴等人员经费以及办公费、印刷费、水电费等日常公用经费。 </w:t>
      </w:r>
    </w:p>
    <w:p w14:paraId="766AD7D6">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2.一般公共服务</w:t>
      </w:r>
      <w:r>
        <w:rPr>
          <w:rFonts w:hint="eastAsia" w:ascii="仿宋_GB2312" w:hAnsi="仿宋_GB2312" w:eastAsia="仿宋_GB2312" w:cs="仿宋_GB2312"/>
          <w:color w:val="000000"/>
          <w:kern w:val="0"/>
          <w:sz w:val="32"/>
          <w:szCs w:val="32"/>
          <w:lang w:eastAsia="zh-CN"/>
        </w:rPr>
        <w:t>支出</w:t>
      </w:r>
      <w:r>
        <w:rPr>
          <w:rFonts w:hint="eastAsia" w:ascii="仿宋_GB2312" w:hAnsi="仿宋_GB2312" w:eastAsia="仿宋_GB2312" w:cs="仿宋_GB2312"/>
          <w:color w:val="000000"/>
          <w:kern w:val="0"/>
          <w:sz w:val="32"/>
          <w:szCs w:val="32"/>
        </w:rPr>
        <w:t>（类）</w:t>
      </w:r>
      <w:r>
        <w:rPr>
          <w:rFonts w:hint="eastAsia" w:ascii="仿宋_GB2312" w:hAnsi="仿宋_GB2312" w:eastAsia="仿宋_GB2312" w:cs="仿宋_GB2312"/>
          <w:color w:val="000000"/>
          <w:kern w:val="0"/>
          <w:sz w:val="32"/>
          <w:szCs w:val="32"/>
          <w:lang w:eastAsia="zh-CN"/>
        </w:rPr>
        <w:t>宣传事务</w:t>
      </w:r>
      <w:r>
        <w:rPr>
          <w:rFonts w:hint="eastAsia" w:ascii="仿宋_GB2312" w:hAnsi="仿宋_GB2312" w:eastAsia="仿宋_GB2312" w:cs="仿宋_GB2312"/>
          <w:color w:val="000000"/>
          <w:kern w:val="0"/>
          <w:sz w:val="32"/>
          <w:szCs w:val="32"/>
        </w:rPr>
        <w:t>（款）</w:t>
      </w:r>
      <w:r>
        <w:rPr>
          <w:rFonts w:hint="eastAsia" w:ascii="仿宋_GB2312" w:hAnsi="仿宋_GB2312" w:eastAsia="仿宋_GB2312" w:cs="仿宋_GB2312"/>
          <w:color w:val="000000"/>
          <w:kern w:val="0"/>
          <w:sz w:val="32"/>
          <w:szCs w:val="32"/>
          <w:lang w:eastAsia="zh-CN"/>
        </w:rPr>
        <w:t>其他宣传事务支出</w:t>
      </w:r>
      <w:r>
        <w:rPr>
          <w:rFonts w:hint="eastAsia" w:ascii="仿宋_GB2312" w:hAnsi="仿宋_GB2312" w:eastAsia="仿宋_GB2312" w:cs="仿宋_GB2312"/>
          <w:color w:val="000000"/>
          <w:kern w:val="0"/>
          <w:sz w:val="32"/>
          <w:szCs w:val="32"/>
        </w:rPr>
        <w:t>（项）:202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年预算数为</w:t>
      </w:r>
      <w:r>
        <w:rPr>
          <w:rFonts w:hint="eastAsia" w:ascii="仿宋_GB2312" w:hAnsi="仿宋_GB2312" w:eastAsia="仿宋_GB2312" w:cs="仿宋_GB2312"/>
          <w:color w:val="000000"/>
          <w:kern w:val="0"/>
          <w:sz w:val="32"/>
          <w:szCs w:val="32"/>
          <w:lang w:val="en-US" w:eastAsia="zh-CN"/>
        </w:rPr>
        <w:t>20</w:t>
      </w:r>
      <w:r>
        <w:rPr>
          <w:rFonts w:hint="eastAsia" w:ascii="仿宋_GB2312" w:hAnsi="仿宋_GB2312" w:eastAsia="仿宋_GB2312" w:cs="仿宋_GB2312"/>
          <w:color w:val="000000"/>
          <w:kern w:val="0"/>
          <w:sz w:val="32"/>
          <w:szCs w:val="32"/>
        </w:rPr>
        <w:t>万元，主要用于：机关及参公管理事业单位开展财政综合业务、预决算编审等未单独设置项级科目的专门性财政管理工作的项目支出。 </w:t>
      </w:r>
    </w:p>
    <w:p w14:paraId="709C0607">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rPr>
        <w:t>.社会保障和就业（类）</w:t>
      </w:r>
      <w:r>
        <w:rPr>
          <w:rFonts w:hint="eastAsia" w:ascii="仿宋_GB2312" w:hAnsi="仿宋_GB2312" w:eastAsia="仿宋_GB2312" w:cs="仿宋_GB2312"/>
          <w:color w:val="000000"/>
          <w:kern w:val="0"/>
          <w:sz w:val="32"/>
          <w:szCs w:val="32"/>
          <w:lang w:eastAsia="zh-CN"/>
        </w:rPr>
        <w:t>行政事业单位养老支出</w:t>
      </w:r>
      <w:r>
        <w:rPr>
          <w:rFonts w:hint="eastAsia" w:ascii="仿宋_GB2312" w:hAnsi="仿宋_GB2312" w:eastAsia="仿宋_GB2312" w:cs="仿宋_GB2312"/>
          <w:color w:val="000000"/>
          <w:kern w:val="0"/>
          <w:sz w:val="32"/>
          <w:szCs w:val="32"/>
        </w:rPr>
        <w:t>（款）</w:t>
      </w:r>
      <w:r>
        <w:rPr>
          <w:rFonts w:hint="eastAsia" w:ascii="仿宋_GB2312" w:hAnsi="仿宋_GB2312" w:eastAsia="仿宋_GB2312" w:cs="仿宋_GB2312"/>
          <w:color w:val="000000"/>
          <w:kern w:val="0"/>
          <w:sz w:val="32"/>
          <w:szCs w:val="32"/>
          <w:lang w:eastAsia="zh-CN"/>
        </w:rPr>
        <w:t>机关事业单位基本养老保险缴费支出</w:t>
      </w:r>
      <w:r>
        <w:rPr>
          <w:rFonts w:hint="eastAsia" w:ascii="仿宋_GB2312" w:hAnsi="仿宋_GB2312" w:eastAsia="仿宋_GB2312" w:cs="仿宋_GB2312"/>
          <w:color w:val="000000"/>
          <w:kern w:val="0"/>
          <w:sz w:val="32"/>
          <w:szCs w:val="32"/>
        </w:rPr>
        <w:t>（项）:202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年预算数为</w:t>
      </w:r>
      <w:r>
        <w:rPr>
          <w:rFonts w:hint="eastAsia" w:ascii="仿宋_GB2312" w:hAnsi="仿宋_GB2312" w:eastAsia="仿宋_GB2312" w:cs="仿宋_GB2312"/>
          <w:color w:val="000000"/>
          <w:kern w:val="0"/>
          <w:sz w:val="32"/>
          <w:szCs w:val="32"/>
          <w:lang w:val="en-US" w:eastAsia="zh-CN"/>
        </w:rPr>
        <w:t>28.46</w:t>
      </w:r>
      <w:r>
        <w:rPr>
          <w:rFonts w:hint="eastAsia" w:ascii="仿宋_GB2312" w:hAnsi="仿宋_GB2312" w:eastAsia="仿宋_GB2312" w:cs="仿宋_GB2312"/>
          <w:color w:val="000000"/>
          <w:kern w:val="0"/>
          <w:sz w:val="32"/>
          <w:szCs w:val="32"/>
        </w:rPr>
        <w:t>万元，主要用于：实施养老保险制度后，部门按规定由单位缴纳的基本养老保险费支出。 </w:t>
      </w:r>
    </w:p>
    <w:p w14:paraId="0AC1D9D8">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rPr>
        <w:t>.社会保障和就业</w:t>
      </w:r>
      <w:r>
        <w:rPr>
          <w:rFonts w:hint="eastAsia" w:ascii="仿宋_GB2312" w:hAnsi="仿宋_GB2312" w:eastAsia="仿宋_GB2312" w:cs="仿宋_GB2312"/>
          <w:color w:val="000000"/>
          <w:kern w:val="0"/>
          <w:sz w:val="32"/>
          <w:szCs w:val="32"/>
          <w:lang w:eastAsia="zh-CN"/>
        </w:rPr>
        <w:t>支出</w:t>
      </w:r>
      <w:r>
        <w:rPr>
          <w:rFonts w:hint="eastAsia" w:ascii="仿宋_GB2312" w:hAnsi="仿宋_GB2312" w:eastAsia="仿宋_GB2312" w:cs="仿宋_GB2312"/>
          <w:color w:val="000000"/>
          <w:kern w:val="0"/>
          <w:sz w:val="32"/>
          <w:szCs w:val="32"/>
        </w:rPr>
        <w:t>（类）</w:t>
      </w:r>
      <w:r>
        <w:rPr>
          <w:rFonts w:hint="eastAsia" w:ascii="仿宋_GB2312" w:hAnsi="仿宋_GB2312" w:eastAsia="仿宋_GB2312" w:cs="仿宋_GB2312"/>
          <w:color w:val="000000"/>
          <w:kern w:val="0"/>
          <w:sz w:val="32"/>
          <w:szCs w:val="32"/>
          <w:lang w:eastAsia="zh-CN"/>
        </w:rPr>
        <w:t>行政事业单位养老支出</w:t>
      </w:r>
      <w:r>
        <w:rPr>
          <w:rFonts w:hint="eastAsia" w:ascii="仿宋_GB2312" w:hAnsi="仿宋_GB2312" w:eastAsia="仿宋_GB2312" w:cs="仿宋_GB2312"/>
          <w:color w:val="000000"/>
          <w:kern w:val="0"/>
          <w:sz w:val="32"/>
          <w:szCs w:val="32"/>
        </w:rPr>
        <w:t>（款）</w:t>
      </w:r>
      <w:r>
        <w:rPr>
          <w:rFonts w:hint="eastAsia" w:ascii="仿宋_GB2312" w:hAnsi="仿宋_GB2312" w:eastAsia="仿宋_GB2312" w:cs="仿宋_GB2312"/>
          <w:color w:val="000000"/>
          <w:kern w:val="0"/>
          <w:sz w:val="32"/>
          <w:szCs w:val="32"/>
          <w:lang w:eastAsia="zh-CN"/>
        </w:rPr>
        <w:t>机关事业单位职业年金缴费支出</w:t>
      </w:r>
      <w:r>
        <w:rPr>
          <w:rFonts w:hint="eastAsia" w:ascii="仿宋_GB2312" w:hAnsi="仿宋_GB2312" w:eastAsia="仿宋_GB2312" w:cs="仿宋_GB2312"/>
          <w:color w:val="000000"/>
          <w:kern w:val="0"/>
          <w:sz w:val="32"/>
          <w:szCs w:val="32"/>
        </w:rPr>
        <w:t>（项）:202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年预算数为</w:t>
      </w:r>
      <w:r>
        <w:rPr>
          <w:rFonts w:hint="eastAsia" w:ascii="仿宋_GB2312" w:hAnsi="仿宋_GB2312" w:eastAsia="仿宋_GB2312" w:cs="仿宋_GB2312"/>
          <w:color w:val="000000"/>
          <w:kern w:val="0"/>
          <w:sz w:val="32"/>
          <w:szCs w:val="32"/>
          <w:lang w:val="en-US" w:eastAsia="zh-CN"/>
        </w:rPr>
        <w:t>14.23</w:t>
      </w:r>
      <w:r>
        <w:rPr>
          <w:rFonts w:hint="eastAsia" w:ascii="仿宋_GB2312" w:hAnsi="仿宋_GB2312" w:eastAsia="仿宋_GB2312" w:cs="仿宋_GB2312"/>
          <w:color w:val="000000"/>
          <w:kern w:val="0"/>
          <w:sz w:val="32"/>
          <w:szCs w:val="32"/>
        </w:rPr>
        <w:t>万元，主要用于：实施养老保险制度后，部门按规定由单位缴纳的职业年金支出。 </w:t>
      </w:r>
    </w:p>
    <w:p w14:paraId="6042F677">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卫生健康支出</w:t>
      </w:r>
      <w:r>
        <w:rPr>
          <w:rFonts w:hint="eastAsia" w:ascii="仿宋_GB2312" w:hAnsi="仿宋_GB2312" w:eastAsia="仿宋_GB2312" w:cs="仿宋_GB2312"/>
          <w:color w:val="000000"/>
          <w:kern w:val="0"/>
          <w:sz w:val="32"/>
          <w:szCs w:val="32"/>
        </w:rPr>
        <w:t>（类）</w:t>
      </w:r>
      <w:r>
        <w:rPr>
          <w:rFonts w:hint="eastAsia" w:ascii="仿宋_GB2312" w:hAnsi="仿宋_GB2312" w:eastAsia="仿宋_GB2312" w:cs="仿宋_GB2312"/>
          <w:color w:val="000000"/>
          <w:kern w:val="0"/>
          <w:sz w:val="32"/>
          <w:szCs w:val="32"/>
          <w:lang w:eastAsia="zh-CN"/>
        </w:rPr>
        <w:t>行政事业单位医疗</w:t>
      </w:r>
      <w:r>
        <w:rPr>
          <w:rFonts w:hint="eastAsia" w:ascii="仿宋_GB2312" w:hAnsi="仿宋_GB2312" w:eastAsia="仿宋_GB2312" w:cs="仿宋_GB2312"/>
          <w:color w:val="000000"/>
          <w:kern w:val="0"/>
          <w:sz w:val="32"/>
          <w:szCs w:val="32"/>
        </w:rPr>
        <w:t>（款）</w:t>
      </w:r>
      <w:r>
        <w:rPr>
          <w:rFonts w:hint="eastAsia" w:ascii="仿宋_GB2312" w:hAnsi="仿宋_GB2312" w:eastAsia="仿宋_GB2312" w:cs="仿宋_GB2312"/>
          <w:color w:val="000000"/>
          <w:kern w:val="0"/>
          <w:sz w:val="32"/>
          <w:szCs w:val="32"/>
          <w:lang w:eastAsia="zh-CN"/>
        </w:rPr>
        <w:t>事业单位医疗</w:t>
      </w:r>
      <w:r>
        <w:rPr>
          <w:rFonts w:hint="eastAsia" w:ascii="仿宋_GB2312" w:hAnsi="仿宋_GB2312" w:eastAsia="仿宋_GB2312" w:cs="仿宋_GB2312"/>
          <w:color w:val="000000"/>
          <w:kern w:val="0"/>
          <w:sz w:val="32"/>
          <w:szCs w:val="32"/>
        </w:rPr>
        <w:t>（项）:202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年预算数为</w:t>
      </w:r>
      <w:r>
        <w:rPr>
          <w:rFonts w:hint="eastAsia" w:ascii="仿宋_GB2312" w:hAnsi="仿宋_GB2312" w:eastAsia="仿宋_GB2312" w:cs="仿宋_GB2312"/>
          <w:color w:val="000000"/>
          <w:kern w:val="0"/>
          <w:sz w:val="32"/>
          <w:szCs w:val="32"/>
          <w:lang w:val="en-US" w:eastAsia="zh-CN"/>
        </w:rPr>
        <w:t>10.85</w:t>
      </w:r>
      <w:r>
        <w:rPr>
          <w:rFonts w:hint="eastAsia" w:ascii="仿宋_GB2312" w:hAnsi="仿宋_GB2312" w:eastAsia="仿宋_GB2312" w:cs="仿宋_GB2312"/>
          <w:color w:val="000000"/>
          <w:kern w:val="0"/>
          <w:sz w:val="32"/>
          <w:szCs w:val="32"/>
        </w:rPr>
        <w:t>万元，主要用于：机关及参公管理事业单位基本医疗保险缴费支出。 </w:t>
      </w:r>
    </w:p>
    <w:p w14:paraId="0308BE82">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highlight w:val="none"/>
          <w:lang w:eastAsia="zh-CN"/>
        </w:rPr>
      </w:pPr>
      <w:r>
        <w:rPr>
          <w:rFonts w:hint="eastAsia" w:ascii="仿宋_GB2312" w:hAnsi="仿宋_GB2312" w:eastAsia="仿宋_GB2312" w:cs="仿宋_GB2312"/>
          <w:color w:val="000000"/>
          <w:kern w:val="0"/>
          <w:sz w:val="32"/>
          <w:szCs w:val="32"/>
          <w:highlight w:val="none"/>
          <w:lang w:val="en-US" w:eastAsia="zh-CN"/>
        </w:rPr>
        <w:t>6</w:t>
      </w:r>
      <w:r>
        <w:rPr>
          <w:rFonts w:hint="eastAsia" w:ascii="仿宋_GB2312" w:hAnsi="仿宋_GB2312" w:eastAsia="仿宋_GB2312" w:cs="仿宋_GB2312"/>
          <w:color w:val="000000"/>
          <w:kern w:val="0"/>
          <w:sz w:val="32"/>
          <w:szCs w:val="32"/>
          <w:highlight w:val="none"/>
        </w:rPr>
        <w:t>.</w:t>
      </w:r>
      <w:r>
        <w:rPr>
          <w:rFonts w:hint="eastAsia" w:ascii="仿宋_GB2312" w:hAnsi="仿宋_GB2312" w:eastAsia="仿宋_GB2312" w:cs="仿宋_GB2312"/>
          <w:color w:val="000000"/>
          <w:kern w:val="0"/>
          <w:sz w:val="32"/>
          <w:szCs w:val="32"/>
          <w:highlight w:val="none"/>
          <w:lang w:eastAsia="zh-CN"/>
        </w:rPr>
        <w:t>社会保障和就业支出</w:t>
      </w:r>
      <w:r>
        <w:rPr>
          <w:rFonts w:hint="eastAsia" w:ascii="仿宋_GB2312" w:hAnsi="仿宋_GB2312" w:eastAsia="仿宋_GB2312" w:cs="仿宋_GB2312"/>
          <w:color w:val="000000"/>
          <w:kern w:val="0"/>
          <w:sz w:val="32"/>
          <w:szCs w:val="32"/>
          <w:highlight w:val="none"/>
        </w:rPr>
        <w:t>（类）</w:t>
      </w:r>
      <w:r>
        <w:rPr>
          <w:rFonts w:hint="eastAsia" w:ascii="仿宋_GB2312" w:hAnsi="仿宋_GB2312" w:eastAsia="仿宋_GB2312" w:cs="仿宋_GB2312"/>
          <w:color w:val="000000"/>
          <w:kern w:val="0"/>
          <w:sz w:val="32"/>
          <w:szCs w:val="32"/>
          <w:highlight w:val="none"/>
          <w:lang w:eastAsia="zh-CN"/>
        </w:rPr>
        <w:t>其他社会保障和就业支出</w:t>
      </w:r>
      <w:r>
        <w:rPr>
          <w:rFonts w:hint="eastAsia" w:ascii="仿宋_GB2312" w:hAnsi="仿宋_GB2312" w:eastAsia="仿宋_GB2312" w:cs="仿宋_GB2312"/>
          <w:color w:val="000000"/>
          <w:kern w:val="0"/>
          <w:sz w:val="32"/>
          <w:szCs w:val="32"/>
          <w:highlight w:val="none"/>
        </w:rPr>
        <w:t>（款）其他社会保障和就业支出（项）:202</w:t>
      </w:r>
      <w:r>
        <w:rPr>
          <w:rFonts w:hint="eastAsia" w:ascii="仿宋_GB2312" w:hAnsi="仿宋_GB2312" w:eastAsia="仿宋_GB2312" w:cs="仿宋_GB2312"/>
          <w:color w:val="000000"/>
          <w:kern w:val="0"/>
          <w:sz w:val="32"/>
          <w:szCs w:val="32"/>
          <w:highlight w:val="none"/>
          <w:lang w:val="en-US" w:eastAsia="zh-CN"/>
        </w:rPr>
        <w:t>5</w:t>
      </w:r>
      <w:r>
        <w:rPr>
          <w:rFonts w:hint="eastAsia" w:ascii="仿宋_GB2312" w:hAnsi="仿宋_GB2312" w:eastAsia="仿宋_GB2312" w:cs="仿宋_GB2312"/>
          <w:color w:val="000000"/>
          <w:kern w:val="0"/>
          <w:sz w:val="32"/>
          <w:szCs w:val="32"/>
          <w:highlight w:val="none"/>
        </w:rPr>
        <w:t>年预算数为</w:t>
      </w:r>
      <w:r>
        <w:rPr>
          <w:rFonts w:hint="eastAsia" w:ascii="仿宋_GB2312" w:hAnsi="仿宋_GB2312" w:eastAsia="仿宋_GB2312" w:cs="仿宋_GB2312"/>
          <w:color w:val="000000"/>
          <w:kern w:val="0"/>
          <w:sz w:val="32"/>
          <w:szCs w:val="32"/>
          <w:highlight w:val="none"/>
          <w:lang w:val="en-US" w:eastAsia="zh-CN"/>
        </w:rPr>
        <w:t>2.49</w:t>
      </w:r>
      <w:r>
        <w:rPr>
          <w:rFonts w:hint="eastAsia" w:ascii="仿宋_GB2312" w:hAnsi="仿宋_GB2312" w:eastAsia="仿宋_GB2312" w:cs="仿宋_GB2312"/>
          <w:color w:val="000000"/>
          <w:kern w:val="0"/>
          <w:sz w:val="32"/>
          <w:szCs w:val="32"/>
          <w:highlight w:val="none"/>
        </w:rPr>
        <w:t>万元，主要用于：</w:t>
      </w:r>
      <w:r>
        <w:rPr>
          <w:rFonts w:hint="eastAsia" w:ascii="仿宋_GB2312" w:hAnsi="仿宋_GB2312" w:eastAsia="仿宋_GB2312" w:cs="仿宋_GB2312"/>
          <w:color w:val="000000"/>
          <w:kern w:val="0"/>
          <w:sz w:val="32"/>
          <w:szCs w:val="32"/>
          <w:highlight w:val="none"/>
          <w:lang w:eastAsia="zh-CN"/>
        </w:rPr>
        <w:t>社会保障和就业方面的支出。</w:t>
      </w:r>
      <w:r>
        <w:rPr>
          <w:rFonts w:hint="eastAsia" w:ascii="仿宋_GB2312" w:hAnsi="仿宋_GB2312" w:eastAsia="仿宋_GB2312" w:cs="仿宋_GB2312"/>
          <w:color w:val="000000"/>
          <w:kern w:val="0"/>
          <w:sz w:val="32"/>
          <w:szCs w:val="32"/>
          <w:highlight w:val="none"/>
        </w:rPr>
        <w:t> </w:t>
      </w:r>
    </w:p>
    <w:p w14:paraId="47672300">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val="en-US" w:eastAsia="zh-CN"/>
        </w:rPr>
        <w:t>7</w:t>
      </w:r>
      <w:r>
        <w:rPr>
          <w:rFonts w:hint="eastAsia" w:ascii="仿宋_GB2312" w:hAnsi="仿宋_GB2312" w:eastAsia="仿宋_GB2312" w:cs="仿宋_GB2312"/>
          <w:color w:val="000000"/>
          <w:kern w:val="0"/>
          <w:sz w:val="32"/>
          <w:szCs w:val="32"/>
        </w:rPr>
        <w:t>.住房保障</w:t>
      </w:r>
      <w:r>
        <w:rPr>
          <w:rFonts w:hint="eastAsia" w:ascii="仿宋_GB2312" w:hAnsi="仿宋_GB2312" w:eastAsia="仿宋_GB2312" w:cs="仿宋_GB2312"/>
          <w:color w:val="000000"/>
          <w:kern w:val="0"/>
          <w:sz w:val="32"/>
          <w:szCs w:val="32"/>
          <w:lang w:eastAsia="zh-CN"/>
        </w:rPr>
        <w:t>支出</w:t>
      </w:r>
      <w:r>
        <w:rPr>
          <w:rFonts w:hint="eastAsia" w:ascii="仿宋_GB2312" w:hAnsi="仿宋_GB2312" w:eastAsia="仿宋_GB2312" w:cs="仿宋_GB2312"/>
          <w:color w:val="000000"/>
          <w:kern w:val="0"/>
          <w:sz w:val="32"/>
          <w:szCs w:val="32"/>
        </w:rPr>
        <w:t>（类）</w:t>
      </w:r>
      <w:r>
        <w:rPr>
          <w:rFonts w:hint="eastAsia" w:ascii="仿宋_GB2312" w:hAnsi="仿宋_GB2312" w:eastAsia="仿宋_GB2312" w:cs="仿宋_GB2312"/>
          <w:color w:val="000000"/>
          <w:kern w:val="0"/>
          <w:sz w:val="32"/>
          <w:szCs w:val="32"/>
          <w:lang w:eastAsia="zh-CN"/>
        </w:rPr>
        <w:t>住房改革支出</w:t>
      </w:r>
      <w:r>
        <w:rPr>
          <w:rFonts w:hint="eastAsia" w:ascii="仿宋_GB2312" w:hAnsi="仿宋_GB2312" w:eastAsia="仿宋_GB2312" w:cs="仿宋_GB2312"/>
          <w:color w:val="000000"/>
          <w:kern w:val="0"/>
          <w:sz w:val="32"/>
          <w:szCs w:val="32"/>
        </w:rPr>
        <w:t>（款）</w:t>
      </w:r>
      <w:r>
        <w:rPr>
          <w:rFonts w:hint="eastAsia" w:ascii="仿宋_GB2312" w:hAnsi="仿宋_GB2312" w:eastAsia="仿宋_GB2312" w:cs="仿宋_GB2312"/>
          <w:color w:val="000000"/>
          <w:kern w:val="0"/>
          <w:sz w:val="32"/>
          <w:szCs w:val="32"/>
          <w:lang w:eastAsia="zh-CN"/>
        </w:rPr>
        <w:t>住房公积金</w:t>
      </w:r>
      <w:r>
        <w:rPr>
          <w:rFonts w:hint="eastAsia" w:ascii="仿宋_GB2312" w:hAnsi="仿宋_GB2312" w:eastAsia="仿宋_GB2312" w:cs="仿宋_GB2312"/>
          <w:color w:val="000000"/>
          <w:kern w:val="0"/>
          <w:sz w:val="32"/>
          <w:szCs w:val="32"/>
        </w:rPr>
        <w:t>（项）:202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年预算数为</w:t>
      </w:r>
      <w:r>
        <w:rPr>
          <w:rFonts w:hint="eastAsia" w:ascii="仿宋_GB2312" w:hAnsi="仿宋_GB2312" w:eastAsia="仿宋_GB2312" w:cs="仿宋_GB2312"/>
          <w:color w:val="000000"/>
          <w:kern w:val="0"/>
          <w:sz w:val="32"/>
          <w:szCs w:val="32"/>
          <w:lang w:val="en-US" w:eastAsia="zh-CN"/>
        </w:rPr>
        <w:t>24.62</w:t>
      </w:r>
      <w:r>
        <w:rPr>
          <w:rFonts w:hint="eastAsia" w:ascii="仿宋_GB2312" w:hAnsi="仿宋_GB2312" w:eastAsia="仿宋_GB2312" w:cs="仿宋_GB2312"/>
          <w:color w:val="000000"/>
          <w:kern w:val="0"/>
          <w:sz w:val="32"/>
          <w:szCs w:val="32"/>
        </w:rPr>
        <w:t>万元，主要用于：部门按人力资源和社会保障部、财政部规定的基本工资和津贴补贴以及规定比例为职工缴纳的住房公积金支出。</w:t>
      </w:r>
    </w:p>
    <w:p w14:paraId="06AB826A">
      <w:pPr>
        <w:keepNext w:val="0"/>
        <w:keepLines w:val="0"/>
        <w:pageBreakBefore w:val="0"/>
        <w:numPr>
          <w:ilvl w:val="0"/>
          <w:numId w:val="0"/>
        </w:numPr>
        <w:kinsoku/>
        <w:wordWrap/>
        <w:overflowPunct/>
        <w:autoSpaceDE/>
        <w:autoSpaceDN/>
        <w:bidi w:val="0"/>
        <w:adjustRightInd/>
        <w:snapToGrid/>
        <w:spacing w:line="360" w:lineRule="auto"/>
        <w:ind w:firstLine="643" w:firstLineChars="200"/>
        <w:textAlignment w:val="auto"/>
        <w:rPr>
          <w:rFonts w:hint="eastAsia" w:ascii="黑体" w:hAnsi="黑体" w:eastAsia="黑体" w:cs="黑体"/>
          <w:b/>
          <w:bCs/>
          <w:color w:val="000000"/>
          <w:kern w:val="0"/>
          <w:sz w:val="32"/>
          <w:szCs w:val="32"/>
          <w:lang w:eastAsia="zh-CN"/>
        </w:rPr>
      </w:pPr>
      <w:r>
        <w:rPr>
          <w:rFonts w:hint="eastAsia" w:ascii="黑体" w:hAnsi="黑体" w:eastAsia="黑体" w:cs="黑体"/>
          <w:b/>
          <w:bCs/>
          <w:color w:val="000000"/>
          <w:kern w:val="0"/>
          <w:sz w:val="32"/>
          <w:szCs w:val="32"/>
          <w:lang w:eastAsia="zh-CN"/>
        </w:rPr>
        <w:t>四</w:t>
      </w:r>
      <w:r>
        <w:rPr>
          <w:rFonts w:hint="eastAsia" w:ascii="黑体" w:hAnsi="黑体" w:eastAsia="黑体" w:cs="黑体"/>
          <w:b/>
          <w:bCs/>
          <w:color w:val="000000"/>
          <w:kern w:val="0"/>
          <w:sz w:val="32"/>
          <w:szCs w:val="32"/>
        </w:rPr>
        <w:t>、一般公共预算基本支出情况说明 </w:t>
      </w:r>
    </w:p>
    <w:p w14:paraId="4F2D47FA">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年一般公共预算基本支出</w:t>
      </w:r>
      <w:r>
        <w:rPr>
          <w:rFonts w:hint="eastAsia" w:ascii="仿宋_GB2312" w:hAnsi="仿宋_GB2312" w:eastAsia="仿宋_GB2312" w:cs="仿宋_GB2312"/>
          <w:color w:val="000000"/>
          <w:kern w:val="0"/>
          <w:sz w:val="32"/>
          <w:szCs w:val="32"/>
          <w:lang w:val="en-US" w:eastAsia="zh-CN"/>
        </w:rPr>
        <w:t>310.74</w:t>
      </w:r>
      <w:r>
        <w:rPr>
          <w:rFonts w:hint="eastAsia" w:ascii="仿宋_GB2312" w:hAnsi="仿宋_GB2312" w:eastAsia="仿宋_GB2312" w:cs="仿宋_GB2312"/>
          <w:color w:val="000000"/>
          <w:kern w:val="0"/>
          <w:sz w:val="32"/>
          <w:szCs w:val="32"/>
        </w:rPr>
        <w:t>万元，其中： </w:t>
      </w:r>
    </w:p>
    <w:p w14:paraId="76ADBA0C">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color w:val="000000"/>
          <w:kern w:val="0"/>
          <w:sz w:val="32"/>
          <w:szCs w:val="32"/>
          <w:highlight w:val="none"/>
        </w:rPr>
        <w:t>人员经费</w:t>
      </w:r>
      <w:r>
        <w:rPr>
          <w:rFonts w:hint="eastAsia" w:ascii="仿宋_GB2312" w:hAnsi="仿宋_GB2312" w:eastAsia="仿宋_GB2312" w:cs="仿宋_GB2312"/>
          <w:color w:val="000000"/>
          <w:kern w:val="0"/>
          <w:sz w:val="32"/>
          <w:szCs w:val="32"/>
          <w:highlight w:val="none"/>
          <w:lang w:val="en-US" w:eastAsia="zh-CN"/>
        </w:rPr>
        <w:t>277.41</w:t>
      </w:r>
      <w:r>
        <w:rPr>
          <w:rFonts w:hint="eastAsia" w:ascii="仿宋_GB2312" w:hAnsi="仿宋_GB2312" w:eastAsia="仿宋_GB2312" w:cs="仿宋_GB2312"/>
          <w:color w:val="000000"/>
          <w:kern w:val="0"/>
          <w:sz w:val="32"/>
          <w:szCs w:val="32"/>
          <w:highlight w:val="none"/>
        </w:rPr>
        <w:t>万元</w:t>
      </w:r>
      <w:r>
        <w:rPr>
          <w:rFonts w:hint="eastAsia" w:ascii="仿宋_GB2312" w:hAnsi="仿宋_GB2312" w:eastAsia="仿宋_GB2312" w:cs="仿宋_GB2312"/>
          <w:color w:val="000000"/>
          <w:kern w:val="0"/>
          <w:sz w:val="32"/>
          <w:szCs w:val="32"/>
        </w:rPr>
        <w:t>，主要包括：</w:t>
      </w:r>
      <w:r>
        <w:rPr>
          <w:rFonts w:hint="eastAsia" w:ascii="仿宋_GB2312" w:hAnsi="仿宋_GB2312" w:eastAsia="仿宋_GB2312" w:cs="仿宋_GB2312"/>
          <w:color w:val="000000" w:themeColor="text1"/>
          <w:kern w:val="0"/>
          <w:sz w:val="32"/>
          <w:szCs w:val="32"/>
          <w14:textFill>
            <w14:solidFill>
              <w14:schemeClr w14:val="tx1"/>
            </w14:solidFill>
          </w14:textFill>
        </w:rPr>
        <w:t>基本工资、津贴补贴、</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伙食补助费、绩效工资、机关事业单位基本养老保险缴费、职业年金缴费、职工基本医疗保险缴费、其他社会保障缴费、住房公积金。</w:t>
      </w:r>
    </w:p>
    <w:p w14:paraId="5E6EF442">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 w:hAnsi="宋体" w:eastAsia="仿宋" w:cs="宋体"/>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公用经费</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33.33</w:t>
      </w:r>
      <w:r>
        <w:rPr>
          <w:rFonts w:hint="eastAsia" w:ascii="仿宋_GB2312" w:hAnsi="仿宋_GB2312" w:eastAsia="仿宋_GB2312" w:cs="仿宋_GB2312"/>
          <w:color w:val="000000" w:themeColor="text1"/>
          <w:kern w:val="0"/>
          <w:sz w:val="32"/>
          <w:szCs w:val="32"/>
          <w14:textFill>
            <w14:solidFill>
              <w14:schemeClr w14:val="tx1"/>
            </w14:solidFill>
          </w14:textFill>
        </w:rPr>
        <w:t>万元，主要包括：办公费、印刷费、水费、电费、邮电费、差旅费、维修（护）费、</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公务接待费、</w:t>
      </w:r>
      <w:r>
        <w:rPr>
          <w:rFonts w:hint="eastAsia" w:ascii="仿宋_GB2312" w:hAnsi="仿宋_GB2312" w:eastAsia="仿宋_GB2312" w:cs="仿宋_GB2312"/>
          <w:color w:val="000000" w:themeColor="text1"/>
          <w:kern w:val="0"/>
          <w:sz w:val="32"/>
          <w:szCs w:val="32"/>
          <w14:textFill>
            <w14:solidFill>
              <w14:schemeClr w14:val="tx1"/>
            </w14:solidFill>
          </w14:textFill>
        </w:rPr>
        <w:t>劳务费、工会经费</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福利费、其他交通费</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用。</w:t>
      </w:r>
    </w:p>
    <w:p w14:paraId="52A8A9BD">
      <w:pPr>
        <w:keepNext w:val="0"/>
        <w:keepLines w:val="0"/>
        <w:pageBreakBefore w:val="0"/>
        <w:numPr>
          <w:ilvl w:val="0"/>
          <w:numId w:val="0"/>
        </w:numPr>
        <w:kinsoku/>
        <w:wordWrap/>
        <w:overflowPunct/>
        <w:autoSpaceDE/>
        <w:autoSpaceDN/>
        <w:bidi w:val="0"/>
        <w:adjustRightInd/>
        <w:snapToGrid/>
        <w:spacing w:line="360" w:lineRule="auto"/>
        <w:ind w:firstLine="643" w:firstLineChars="200"/>
        <w:textAlignment w:val="auto"/>
        <w:rPr>
          <w:rFonts w:hint="eastAsia" w:ascii="仿宋" w:hAnsi="宋体" w:eastAsia="仿宋" w:cs="宋体"/>
          <w:b/>
          <w:color w:val="000000"/>
          <w:kern w:val="0"/>
          <w:sz w:val="32"/>
          <w:szCs w:val="32"/>
          <w:lang w:eastAsia="zh-CN"/>
        </w:rPr>
      </w:pPr>
      <w:r>
        <w:rPr>
          <w:rFonts w:hint="eastAsia" w:ascii="黑体" w:hAnsi="黑体" w:eastAsia="黑体" w:cs="黑体"/>
          <w:b/>
          <w:bCs/>
          <w:color w:val="000000"/>
          <w:kern w:val="0"/>
          <w:sz w:val="32"/>
          <w:szCs w:val="32"/>
          <w:lang w:eastAsia="zh-CN"/>
        </w:rPr>
        <w:t>五</w:t>
      </w:r>
      <w:r>
        <w:rPr>
          <w:rFonts w:hint="eastAsia" w:ascii="黑体" w:hAnsi="黑体" w:eastAsia="黑体" w:cs="黑体"/>
          <w:b/>
          <w:color w:val="000000"/>
          <w:kern w:val="0"/>
          <w:sz w:val="32"/>
          <w:szCs w:val="32"/>
        </w:rPr>
        <w:t>、政府性基金预算支出规模及变化情况说明</w:t>
      </w:r>
      <w:r>
        <w:rPr>
          <w:rFonts w:ascii="仿宋" w:hAnsi="宋体" w:eastAsia="仿宋" w:cs="宋体"/>
          <w:b/>
          <w:color w:val="000000"/>
          <w:kern w:val="0"/>
          <w:sz w:val="32"/>
          <w:szCs w:val="32"/>
        </w:rPr>
        <w:t> </w:t>
      </w:r>
    </w:p>
    <w:p w14:paraId="600EE47F">
      <w:pPr>
        <w:keepNext w:val="0"/>
        <w:keepLines w:val="0"/>
        <w:pageBreakBefore w:val="0"/>
        <w:numPr>
          <w:ilvl w:val="0"/>
          <w:numId w:val="0"/>
        </w:numPr>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color w:val="000000"/>
          <w:kern w:val="0"/>
          <w:sz w:val="32"/>
          <w:szCs w:val="32"/>
        </w:rPr>
        <w:t>政府性基金预算支出</w:t>
      </w:r>
      <w:r>
        <w:rPr>
          <w:rFonts w:hint="eastAsia" w:ascii="仿宋_GB2312" w:hAnsi="仿宋_GB2312" w:eastAsia="仿宋_GB2312" w:cs="仿宋_GB2312"/>
          <w:color w:val="000000"/>
          <w:kern w:val="0"/>
          <w:sz w:val="32"/>
          <w:szCs w:val="32"/>
          <w:lang w:val="en-US" w:eastAsia="zh-CN"/>
        </w:rPr>
        <w:t>0万元</w:t>
      </w:r>
      <w:r>
        <w:rPr>
          <w:rFonts w:hint="eastAsia" w:ascii="仿宋_GB2312" w:hAnsi="仿宋_GB2312" w:eastAsia="仿宋_GB2312" w:cs="仿宋_GB2312"/>
          <w:color w:val="000000"/>
          <w:kern w:val="0"/>
          <w:sz w:val="32"/>
          <w:szCs w:val="32"/>
        </w:rPr>
        <w:t>。 </w:t>
      </w:r>
    </w:p>
    <w:p w14:paraId="1BB60BE9">
      <w:pPr>
        <w:keepNext w:val="0"/>
        <w:keepLines w:val="0"/>
        <w:pageBreakBefore w:val="0"/>
        <w:numPr>
          <w:ilvl w:val="0"/>
          <w:numId w:val="0"/>
        </w:numPr>
        <w:kinsoku/>
        <w:wordWrap/>
        <w:overflowPunct/>
        <w:autoSpaceDE/>
        <w:autoSpaceDN/>
        <w:bidi w:val="0"/>
        <w:adjustRightInd/>
        <w:snapToGrid/>
        <w:spacing w:line="360" w:lineRule="auto"/>
        <w:ind w:firstLine="643" w:firstLineChars="200"/>
        <w:textAlignment w:val="auto"/>
        <w:rPr>
          <w:rFonts w:hint="eastAsia" w:ascii="黑体" w:hAnsi="黑体" w:eastAsia="黑体" w:cs="黑体"/>
          <w:b/>
          <w:bCs/>
          <w:color w:val="000000"/>
          <w:kern w:val="0"/>
          <w:sz w:val="32"/>
          <w:szCs w:val="32"/>
          <w:lang w:eastAsia="zh-CN"/>
        </w:rPr>
      </w:pPr>
      <w:r>
        <w:rPr>
          <w:rFonts w:hint="eastAsia" w:ascii="黑体" w:hAnsi="黑体" w:eastAsia="黑体" w:cs="黑体"/>
          <w:b/>
          <w:bCs/>
          <w:color w:val="000000"/>
          <w:kern w:val="0"/>
          <w:sz w:val="32"/>
          <w:szCs w:val="32"/>
          <w:lang w:eastAsia="zh-CN"/>
        </w:rPr>
        <w:t>六、国有资本经营预算支出规模及变化情况说明</w:t>
      </w:r>
    </w:p>
    <w:p w14:paraId="238051E9">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 w:hAnsi="仿宋" w:eastAsia="仿宋" w:cs="宋体"/>
          <w:color w:val="FF0000"/>
          <w:kern w:val="0"/>
          <w:sz w:val="32"/>
          <w:szCs w:val="32"/>
          <w:lang w:val="en-US" w:eastAsia="zh-CN"/>
        </w:rPr>
      </w:pPr>
      <w:r>
        <w:rPr>
          <w:rFonts w:hint="eastAsia" w:ascii="仿宋" w:hAnsi="仿宋" w:eastAsia="仿宋" w:cs="宋体"/>
          <w:color w:val="000000"/>
          <w:kern w:val="0"/>
          <w:sz w:val="32"/>
          <w:szCs w:val="32"/>
        </w:rPr>
        <w:t>2</w:t>
      </w:r>
      <w:r>
        <w:rPr>
          <w:rFonts w:hint="eastAsia" w:ascii="仿宋_GB2312" w:hAnsi="仿宋_GB2312" w:eastAsia="仿宋_GB2312" w:cs="仿宋_GB2312"/>
          <w:color w:val="000000"/>
          <w:kern w:val="0"/>
          <w:sz w:val="32"/>
          <w:szCs w:val="32"/>
        </w:rPr>
        <w:t>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eastAsia="zh-CN"/>
        </w:rPr>
        <w:t>峨边彝族自治县融媒体中心</w:t>
      </w:r>
      <w:r>
        <w:rPr>
          <w:rFonts w:hint="eastAsia" w:ascii="仿宋_GB2312" w:hAnsi="仿宋_GB2312" w:eastAsia="仿宋_GB2312" w:cs="仿宋_GB2312"/>
          <w:color w:val="000000"/>
          <w:kern w:val="0"/>
          <w:sz w:val="32"/>
          <w:szCs w:val="32"/>
        </w:rPr>
        <w:t>国有资本经营预算支出</w:t>
      </w:r>
      <w:r>
        <w:rPr>
          <w:rFonts w:hint="eastAsia" w:ascii="仿宋_GB2312" w:hAnsi="仿宋_GB2312" w:eastAsia="仿宋_GB2312" w:cs="仿宋_GB2312"/>
          <w:color w:val="000000"/>
          <w:kern w:val="0"/>
          <w:sz w:val="32"/>
          <w:szCs w:val="32"/>
          <w:lang w:val="en-US" w:eastAsia="zh-CN"/>
        </w:rPr>
        <w:t>0万元。</w:t>
      </w:r>
    </w:p>
    <w:p w14:paraId="15F0EBAE">
      <w:pPr>
        <w:keepNext w:val="0"/>
        <w:keepLines w:val="0"/>
        <w:pageBreakBefore w:val="0"/>
        <w:numPr>
          <w:ilvl w:val="0"/>
          <w:numId w:val="0"/>
        </w:numPr>
        <w:kinsoku/>
        <w:wordWrap/>
        <w:overflowPunct/>
        <w:autoSpaceDE/>
        <w:autoSpaceDN/>
        <w:bidi w:val="0"/>
        <w:adjustRightInd/>
        <w:snapToGrid/>
        <w:spacing w:line="360" w:lineRule="auto"/>
        <w:ind w:firstLine="643" w:firstLineChars="200"/>
        <w:textAlignment w:val="auto"/>
        <w:rPr>
          <w:rFonts w:hint="eastAsia" w:ascii="黑体" w:hAnsi="黑体" w:eastAsia="黑体" w:cs="黑体"/>
          <w:b/>
          <w:bCs/>
          <w:color w:val="000000"/>
          <w:kern w:val="0"/>
          <w:sz w:val="32"/>
          <w:szCs w:val="32"/>
          <w:lang w:eastAsia="zh-CN"/>
        </w:rPr>
      </w:pPr>
      <w:r>
        <w:rPr>
          <w:rFonts w:hint="eastAsia" w:ascii="黑体" w:hAnsi="黑体" w:eastAsia="黑体" w:cs="黑体"/>
          <w:b/>
          <w:bCs/>
          <w:color w:val="000000"/>
          <w:kern w:val="0"/>
          <w:sz w:val="32"/>
          <w:szCs w:val="32"/>
          <w:lang w:eastAsia="zh-CN"/>
        </w:rPr>
        <w:t>七、社会保险基金预算支出规模及变化情况说明</w:t>
      </w:r>
    </w:p>
    <w:p w14:paraId="521B6407">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val="en-US" w:eastAsia="zh-CN"/>
        </w:rPr>
      </w:pPr>
      <w:r>
        <w:rPr>
          <w:rFonts w:hint="eastAsia" w:ascii="仿宋" w:hAnsi="仿宋" w:eastAsia="仿宋" w:cs="宋体"/>
          <w:color w:val="000000"/>
          <w:kern w:val="0"/>
          <w:sz w:val="32"/>
          <w:szCs w:val="32"/>
        </w:rPr>
        <w:t>2</w:t>
      </w:r>
      <w:r>
        <w:rPr>
          <w:rFonts w:hint="eastAsia" w:ascii="仿宋_GB2312" w:hAnsi="仿宋_GB2312" w:eastAsia="仿宋_GB2312" w:cs="仿宋_GB2312"/>
          <w:color w:val="000000"/>
          <w:kern w:val="0"/>
          <w:sz w:val="32"/>
          <w:szCs w:val="32"/>
        </w:rPr>
        <w:t>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eastAsia="zh-CN"/>
        </w:rPr>
        <w:t>峨边彝族自治县融媒体中心</w:t>
      </w:r>
      <w:r>
        <w:rPr>
          <w:rFonts w:hint="eastAsia" w:ascii="仿宋_GB2312" w:hAnsi="仿宋_GB2312" w:eastAsia="仿宋_GB2312" w:cs="仿宋_GB2312"/>
          <w:color w:val="000000"/>
          <w:kern w:val="0"/>
          <w:sz w:val="32"/>
          <w:szCs w:val="32"/>
        </w:rPr>
        <w:t>社会保险基金预算支出</w:t>
      </w:r>
      <w:r>
        <w:rPr>
          <w:rFonts w:hint="eastAsia" w:ascii="仿宋_GB2312" w:hAnsi="仿宋_GB2312" w:eastAsia="仿宋_GB2312" w:cs="仿宋_GB2312"/>
          <w:color w:val="000000"/>
          <w:kern w:val="0"/>
          <w:sz w:val="32"/>
          <w:szCs w:val="32"/>
          <w:lang w:val="en-US" w:eastAsia="zh-CN"/>
        </w:rPr>
        <w:t>0万元。</w:t>
      </w:r>
    </w:p>
    <w:p w14:paraId="09883D3A">
      <w:pPr>
        <w:keepNext w:val="0"/>
        <w:keepLines w:val="0"/>
        <w:pageBreakBefore w:val="0"/>
        <w:kinsoku/>
        <w:wordWrap/>
        <w:overflowPunct/>
        <w:autoSpaceDE/>
        <w:autoSpaceDN/>
        <w:bidi w:val="0"/>
        <w:adjustRightInd/>
        <w:snapToGrid/>
        <w:spacing w:line="360" w:lineRule="auto"/>
        <w:ind w:firstLine="643" w:firstLineChars="200"/>
        <w:textAlignment w:val="auto"/>
        <w:rPr>
          <w:rFonts w:hint="eastAsia" w:ascii="黑体" w:hAnsi="黑体" w:eastAsia="黑体" w:cs="黑体"/>
          <w:b/>
          <w:bCs/>
          <w:color w:val="000000"/>
          <w:kern w:val="0"/>
          <w:sz w:val="32"/>
          <w:szCs w:val="32"/>
          <w:lang w:eastAsia="zh-CN"/>
        </w:rPr>
      </w:pPr>
      <w:r>
        <w:rPr>
          <w:rFonts w:hint="eastAsia" w:ascii="黑体" w:hAnsi="黑体" w:eastAsia="黑体" w:cs="黑体"/>
          <w:b/>
          <w:bCs/>
          <w:color w:val="000000"/>
          <w:kern w:val="0"/>
          <w:sz w:val="32"/>
          <w:szCs w:val="32"/>
          <w:lang w:eastAsia="zh-CN"/>
        </w:rPr>
        <w:t>八、“三公”经费预算安排情况说明 </w:t>
      </w:r>
    </w:p>
    <w:p w14:paraId="0528E57E">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峨边彝族自治县融媒体中心</w:t>
      </w: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年“三公”经费预算数</w:t>
      </w: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rPr>
        <w:t>万元，较上年“三公”经费预算数减少</w:t>
      </w:r>
      <w:r>
        <w:rPr>
          <w:rFonts w:hint="eastAsia" w:ascii="仿宋_GB2312" w:hAnsi="仿宋_GB2312" w:eastAsia="仿宋_GB2312" w:cs="仿宋_GB2312"/>
          <w:color w:val="000000"/>
          <w:kern w:val="0"/>
          <w:sz w:val="32"/>
          <w:szCs w:val="32"/>
          <w:lang w:val="en-US" w:eastAsia="zh-CN"/>
        </w:rPr>
        <w:t>1</w:t>
      </w:r>
      <w:r>
        <w:rPr>
          <w:rFonts w:hint="eastAsia" w:ascii="仿宋_GB2312" w:hAnsi="仿宋_GB2312" w:eastAsia="仿宋_GB2312" w:cs="仿宋_GB2312"/>
          <w:color w:val="000000"/>
          <w:kern w:val="0"/>
          <w:sz w:val="32"/>
          <w:szCs w:val="32"/>
        </w:rPr>
        <w:t>万元。其中财政拨款安排“三公”经费</w:t>
      </w: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rPr>
        <w:t>万元。因公出国（境）经费</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万元，公务接待费</w:t>
      </w: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rPr>
        <w:t>万元，公务用车购置及运行维护费</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 </w:t>
      </w:r>
    </w:p>
    <w:p w14:paraId="74288EC3">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1.因公出国（境）经费较上年预算持平。主要原因是202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年和202</w:t>
      </w: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rPr>
        <w:t>年均无因公出国（境）费用支出。 </w:t>
      </w:r>
    </w:p>
    <w:p w14:paraId="06DE9E7D">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2.公务接待费较上年预算减少</w:t>
      </w:r>
      <w:r>
        <w:rPr>
          <w:rFonts w:hint="eastAsia" w:ascii="仿宋_GB2312" w:hAnsi="仿宋_GB2312" w:eastAsia="仿宋_GB2312" w:cs="仿宋_GB2312"/>
          <w:color w:val="000000"/>
          <w:kern w:val="0"/>
          <w:sz w:val="32"/>
          <w:szCs w:val="32"/>
          <w:lang w:val="en-US" w:eastAsia="zh-CN"/>
        </w:rPr>
        <w:t>1</w:t>
      </w:r>
      <w:r>
        <w:rPr>
          <w:rFonts w:hint="eastAsia" w:ascii="仿宋_GB2312" w:hAnsi="仿宋_GB2312" w:eastAsia="仿宋_GB2312" w:cs="仿宋_GB2312"/>
          <w:color w:val="000000"/>
          <w:kern w:val="0"/>
          <w:sz w:val="32"/>
          <w:szCs w:val="32"/>
          <w:lang w:eastAsia="zh-CN"/>
        </w:rPr>
        <w:t>万元，下降</w:t>
      </w:r>
      <w:r>
        <w:rPr>
          <w:rFonts w:hint="eastAsia" w:ascii="仿宋_GB2312" w:hAnsi="仿宋_GB2312" w:eastAsia="仿宋_GB2312" w:cs="仿宋_GB2312"/>
          <w:color w:val="000000"/>
          <w:kern w:val="0"/>
          <w:sz w:val="32"/>
          <w:szCs w:val="32"/>
          <w:lang w:val="en-US" w:eastAsia="zh-CN"/>
        </w:rPr>
        <w:t>16</w:t>
      </w:r>
      <w:r>
        <w:rPr>
          <w:rFonts w:hint="eastAsia" w:ascii="仿宋_GB2312" w:hAnsi="仿宋_GB2312" w:eastAsia="仿宋_GB2312" w:cs="仿宋_GB2312"/>
          <w:color w:val="000000"/>
          <w:kern w:val="0"/>
          <w:sz w:val="32"/>
          <w:szCs w:val="32"/>
          <w:lang w:eastAsia="zh-CN"/>
        </w:rPr>
        <w:t>%。主要原因是按照中央八项规定及厉行节约、反对浪费的要求，简化接待程序，严格控制用餐及住宿标准，减少公务接待开支。 </w:t>
      </w:r>
    </w:p>
    <w:p w14:paraId="78633B6A">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lang w:eastAsia="zh-CN"/>
        </w:rPr>
        <w:t>年公务接待费计划用于新闻媒体部门来我单位调研指导工作和交流学习等。 </w:t>
      </w:r>
    </w:p>
    <w:p w14:paraId="4A8F23EF">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3.公务用车购置及运行维护费较上年预算减少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lang w:eastAsia="zh-CN"/>
        </w:rPr>
        <w:t>万元，下降</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lang w:eastAsia="zh-CN"/>
        </w:rPr>
        <w:t>%。主要原因是202</w:t>
      </w:r>
      <w:r>
        <w:rPr>
          <w:rFonts w:hint="eastAsia" w:ascii="仿宋_GB2312" w:hAnsi="仿宋_GB2312" w:eastAsia="仿宋_GB2312" w:cs="仿宋_GB2312"/>
          <w:color w:val="000000"/>
          <w:kern w:val="0"/>
          <w:sz w:val="32"/>
          <w:szCs w:val="32"/>
          <w:lang w:val="en-US" w:eastAsia="zh-CN"/>
        </w:rPr>
        <w:t>4</w:t>
      </w:r>
      <w:r>
        <w:rPr>
          <w:rFonts w:hint="eastAsia" w:ascii="仿宋_GB2312" w:hAnsi="仿宋_GB2312" w:eastAsia="仿宋_GB2312" w:cs="仿宋_GB2312"/>
          <w:color w:val="000000"/>
          <w:kern w:val="0"/>
          <w:sz w:val="32"/>
          <w:szCs w:val="32"/>
          <w:lang w:eastAsia="zh-CN"/>
        </w:rPr>
        <w:t>年和202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lang w:eastAsia="zh-CN"/>
        </w:rPr>
        <w:t>年均无公务用车购置及运行维护费用支出。 </w:t>
      </w:r>
    </w:p>
    <w:p w14:paraId="5F93E127">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单位现有公务用车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lang w:eastAsia="zh-CN"/>
        </w:rPr>
        <w:t>辆，其中：轿车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lang w:eastAsia="zh-CN"/>
        </w:rPr>
        <w:t>辆，越野车</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lang w:eastAsia="zh-CN"/>
        </w:rPr>
        <w:t>辆，其他车型</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lang w:eastAsia="zh-CN"/>
        </w:rPr>
        <w:t>辆。 </w:t>
      </w:r>
    </w:p>
    <w:p w14:paraId="72878EE1">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lang w:eastAsia="zh-CN"/>
        </w:rPr>
        <w:t>年安排公务用车运行维护费</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lang w:eastAsia="zh-CN"/>
        </w:rPr>
        <w:t>万元，用于公务用车燃油、维修、保险及其他车辆支出。 </w:t>
      </w:r>
    </w:p>
    <w:p w14:paraId="0AEC93E9">
      <w:pPr>
        <w:keepNext w:val="0"/>
        <w:keepLines w:val="0"/>
        <w:pageBreakBefore w:val="0"/>
        <w:kinsoku/>
        <w:wordWrap/>
        <w:overflowPunct/>
        <w:autoSpaceDE/>
        <w:autoSpaceDN/>
        <w:bidi w:val="0"/>
        <w:adjustRightInd/>
        <w:snapToGrid/>
        <w:spacing w:line="360" w:lineRule="auto"/>
        <w:ind w:firstLine="643" w:firstLineChars="200"/>
        <w:textAlignment w:val="auto"/>
        <w:rPr>
          <w:rFonts w:hint="eastAsia" w:ascii="仿宋" w:hAnsi="宋体" w:eastAsia="仿宋" w:cs="宋体"/>
          <w:color w:val="000000"/>
          <w:kern w:val="0"/>
          <w:sz w:val="32"/>
          <w:szCs w:val="32"/>
          <w:lang w:eastAsia="zh-CN"/>
        </w:rPr>
      </w:pPr>
      <w:r>
        <w:rPr>
          <w:rFonts w:hint="eastAsia" w:ascii="黑体" w:hAnsi="黑体" w:eastAsia="黑体" w:cs="黑体"/>
          <w:b/>
          <w:color w:val="000000"/>
          <w:kern w:val="0"/>
          <w:sz w:val="32"/>
          <w:szCs w:val="32"/>
          <w:lang w:eastAsia="zh-CN"/>
        </w:rPr>
        <w:t>九</w:t>
      </w:r>
      <w:r>
        <w:rPr>
          <w:rFonts w:hint="eastAsia" w:ascii="黑体" w:hAnsi="黑体" w:eastAsia="黑体" w:cs="黑体"/>
          <w:b/>
          <w:color w:val="000000"/>
          <w:kern w:val="0"/>
          <w:sz w:val="32"/>
          <w:szCs w:val="32"/>
        </w:rPr>
        <w:t>、其他重要事项的情况说明</w:t>
      </w:r>
      <w:r>
        <w:rPr>
          <w:rFonts w:ascii="仿宋" w:hAnsi="宋体" w:eastAsia="仿宋" w:cs="宋体"/>
          <w:color w:val="000000"/>
          <w:kern w:val="0"/>
          <w:sz w:val="32"/>
          <w:szCs w:val="32"/>
        </w:rPr>
        <w:t> </w:t>
      </w:r>
    </w:p>
    <w:p w14:paraId="79EC423B">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 w:hAnsi="仿宋" w:eastAsia="仿宋" w:cs="宋体"/>
          <w:color w:val="000000"/>
          <w:kern w:val="0"/>
          <w:sz w:val="32"/>
          <w:szCs w:val="32"/>
        </w:rPr>
        <w:t>（</w:t>
      </w:r>
      <w:r>
        <w:rPr>
          <w:rFonts w:hint="eastAsia" w:ascii="仿宋_GB2312" w:hAnsi="仿宋_GB2312" w:eastAsia="仿宋_GB2312" w:cs="仿宋_GB2312"/>
          <w:color w:val="000000"/>
          <w:kern w:val="0"/>
          <w:sz w:val="32"/>
          <w:szCs w:val="32"/>
        </w:rPr>
        <w:t>一）机关运行经费。 </w:t>
      </w:r>
    </w:p>
    <w:p w14:paraId="35D172FC">
      <w:pPr>
        <w:bidi w:val="0"/>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sz w:val="32"/>
          <w:szCs w:val="32"/>
          <w:shd w:val="clear" w:color="auto" w:fill="FFFFFF"/>
        </w:rPr>
        <w:t>按照《关于印发</w:t>
      </w:r>
      <w:r>
        <w:rPr>
          <w:rFonts w:hint="eastAsia" w:ascii="仿宋_GB2312" w:hAnsi="仿宋_GB2312" w:eastAsia="仿宋_GB2312" w:cs="仿宋_GB2312"/>
          <w:color w:val="000000"/>
          <w:sz w:val="32"/>
          <w:szCs w:val="32"/>
          <w:shd w:val="clear" w:color="auto" w:fill="FFFFFF"/>
          <w:lang w:eastAsia="zh-CN"/>
        </w:rPr>
        <w:t>〈</w:t>
      </w:r>
      <w:r>
        <w:rPr>
          <w:rFonts w:hint="eastAsia" w:ascii="仿宋_GB2312" w:hAnsi="仿宋_GB2312" w:eastAsia="仿宋_GB2312" w:cs="仿宋_GB2312"/>
          <w:color w:val="000000"/>
          <w:sz w:val="32"/>
          <w:szCs w:val="32"/>
          <w:shd w:val="clear" w:color="auto" w:fill="FFFFFF"/>
        </w:rPr>
        <w:t>地方预决算公开操作规程</w:t>
      </w:r>
      <w:r>
        <w:rPr>
          <w:rFonts w:hint="eastAsia" w:ascii="仿宋_GB2312" w:hAnsi="仿宋_GB2312" w:eastAsia="仿宋_GB2312" w:cs="仿宋_GB2312"/>
          <w:color w:val="000000"/>
          <w:sz w:val="32"/>
          <w:szCs w:val="32"/>
          <w:shd w:val="clear" w:color="auto" w:fill="FFFFFF"/>
          <w:lang w:eastAsia="zh-CN"/>
        </w:rPr>
        <w:t>〉</w:t>
      </w:r>
      <w:r>
        <w:rPr>
          <w:rFonts w:hint="eastAsia" w:ascii="仿宋_GB2312" w:hAnsi="仿宋_GB2312" w:eastAsia="仿宋_GB2312" w:cs="仿宋_GB2312"/>
          <w:color w:val="000000"/>
          <w:sz w:val="32"/>
          <w:szCs w:val="32"/>
          <w:shd w:val="clear" w:color="auto" w:fill="FFFFFF"/>
        </w:rPr>
        <w:t>的通知》（财预〔2016〕143号），部门机关运行经费是指各部门的公用经费，包括办公及印刷费、邮电费、差旅费、会议费、福利费、日常维修费、专用材料及一般设备购置费、办公用房水电费、办公用房取暖费、办公用房物业管理费、公务用车运行维护费以及其他等费用。</w:t>
      </w:r>
      <w:r>
        <w:rPr>
          <w:rFonts w:hint="eastAsia" w:ascii="仿宋_GB2312" w:hAnsi="仿宋_GB2312" w:eastAsia="仿宋_GB2312" w:cs="仿宋_GB2312"/>
          <w:color w:val="000000"/>
          <w:sz w:val="32"/>
          <w:szCs w:val="32"/>
          <w:shd w:val="clear" w:color="auto" w:fill="FFFFFF"/>
          <w:lang w:eastAsia="zh-CN"/>
        </w:rPr>
        <w:t>融媒体中心</w:t>
      </w:r>
      <w:r>
        <w:rPr>
          <w:rFonts w:hint="eastAsia" w:ascii="仿宋_GB2312" w:hAnsi="仿宋_GB2312" w:eastAsia="仿宋_GB2312" w:cs="仿宋_GB2312"/>
          <w:color w:val="000000"/>
          <w:sz w:val="32"/>
          <w:szCs w:val="32"/>
          <w:shd w:val="clear" w:color="auto" w:fill="FFFFFF"/>
        </w:rPr>
        <w:t>202</w:t>
      </w:r>
      <w:r>
        <w:rPr>
          <w:rFonts w:hint="eastAsia" w:ascii="仿宋_GB2312" w:hAnsi="仿宋_GB2312" w:eastAsia="仿宋_GB2312" w:cs="仿宋_GB2312"/>
          <w:color w:val="000000"/>
          <w:sz w:val="32"/>
          <w:szCs w:val="32"/>
          <w:shd w:val="clear" w:color="auto" w:fill="FFFFFF"/>
          <w:lang w:val="en-US" w:eastAsia="zh-CN"/>
        </w:rPr>
        <w:t>5</w:t>
      </w:r>
      <w:r>
        <w:rPr>
          <w:rFonts w:hint="eastAsia" w:ascii="仿宋_GB2312" w:hAnsi="仿宋_GB2312" w:eastAsia="仿宋_GB2312" w:cs="仿宋_GB2312"/>
          <w:color w:val="000000"/>
          <w:sz w:val="32"/>
          <w:szCs w:val="32"/>
          <w:shd w:val="clear" w:color="auto" w:fill="FFFFFF"/>
        </w:rPr>
        <w:t>年履行一般行政管理职能，合计</w:t>
      </w:r>
      <w:r>
        <w:rPr>
          <w:rFonts w:hint="eastAsia" w:ascii="仿宋_GB2312" w:hAnsi="仿宋_GB2312" w:eastAsia="仿宋_GB2312" w:cs="仿宋_GB2312"/>
          <w:color w:val="000000"/>
          <w:sz w:val="32"/>
          <w:szCs w:val="32"/>
          <w:shd w:val="clear" w:color="auto" w:fill="FFFFFF"/>
          <w:lang w:val="en-US" w:eastAsia="zh-CN"/>
        </w:rPr>
        <w:t>33.33</w:t>
      </w:r>
      <w:r>
        <w:rPr>
          <w:rFonts w:hint="eastAsia" w:ascii="仿宋_GB2312" w:hAnsi="仿宋_GB2312" w:eastAsia="仿宋_GB2312" w:cs="仿宋_GB2312"/>
          <w:color w:val="000000"/>
          <w:sz w:val="32"/>
          <w:szCs w:val="32"/>
          <w:shd w:val="clear" w:color="auto" w:fill="FFFFFF"/>
        </w:rPr>
        <w:t>万元。</w:t>
      </w:r>
    </w:p>
    <w:p w14:paraId="39246443">
      <w:pPr>
        <w:keepNext w:val="0"/>
        <w:keepLines w:val="0"/>
        <w:pageBreakBefore w:val="0"/>
        <w:kinsoku/>
        <w:wordWrap/>
        <w:overflowPunct/>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rPr>
        <w:t>（二）政府采购情况。 </w:t>
      </w:r>
    </w:p>
    <w:p w14:paraId="091CF181">
      <w:pPr>
        <w:keepNext w:val="0"/>
        <w:keepLines w:val="0"/>
        <w:pageBreakBefore w:val="0"/>
        <w:widowControl/>
        <w:shd w:val="clear" w:color="auto" w:fill="FFFFFF"/>
        <w:kinsoku/>
        <w:wordWrap/>
        <w:overflowPunct/>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sz w:val="32"/>
          <w:szCs w:val="32"/>
          <w:lang w:eastAsia="zh-CN"/>
        </w:rPr>
        <w:t>峨边彝族自治县融媒体中心</w:t>
      </w:r>
      <w:r>
        <w:rPr>
          <w:rFonts w:hint="eastAsia" w:ascii="仿宋_GB2312" w:hAnsi="仿宋_GB2312" w:eastAsia="仿宋_GB2312" w:cs="仿宋_GB2312"/>
          <w:color w:val="000000"/>
          <w:kern w:val="0"/>
          <w:sz w:val="32"/>
          <w:szCs w:val="32"/>
        </w:rPr>
        <w:t>安排政府采购预算</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其中，政府采购货物预算</w:t>
      </w:r>
      <w:r>
        <w:rPr>
          <w:rFonts w:hint="eastAsia" w:ascii="仿宋_GB2312" w:hAnsi="仿宋_GB2312" w:eastAsia="仿宋_GB2312" w:cs="仿宋_GB2312"/>
          <w:color w:val="000000"/>
          <w:kern w:val="0"/>
          <w:sz w:val="32"/>
          <w:szCs w:val="32"/>
          <w:lang w:val="en-US" w:eastAsia="zh-CN"/>
        </w:rPr>
        <w:t>0万元；政府采购工程预算0万元；政府采购服务预算0万元。</w:t>
      </w:r>
    </w:p>
    <w:p w14:paraId="6D50D250">
      <w:pPr>
        <w:keepNext w:val="0"/>
        <w:keepLines w:val="0"/>
        <w:pageBreakBefore w:val="0"/>
        <w:widowControl/>
        <w:shd w:val="clear" w:color="auto" w:fill="FFFFFF"/>
        <w:kinsoku/>
        <w:wordWrap/>
        <w:overflowPunct/>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color w:val="FF0000"/>
          <w:kern w:val="0"/>
          <w:sz w:val="32"/>
          <w:szCs w:val="32"/>
        </w:rPr>
      </w:pP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三</w:t>
      </w:r>
      <w:r>
        <w:rPr>
          <w:rFonts w:hint="eastAsia" w:ascii="仿宋_GB2312" w:hAnsi="仿宋_GB2312" w:eastAsia="仿宋_GB2312" w:cs="仿宋_GB2312"/>
          <w:color w:val="000000"/>
          <w:kern w:val="0"/>
          <w:sz w:val="32"/>
          <w:szCs w:val="32"/>
        </w:rPr>
        <w:t>）</w:t>
      </w:r>
      <w:r>
        <w:rPr>
          <w:rFonts w:hint="eastAsia" w:ascii="仿宋_GB2312" w:hAnsi="仿宋_GB2312" w:eastAsia="仿宋_GB2312" w:cs="仿宋_GB2312"/>
          <w:color w:val="000000" w:themeColor="text1"/>
          <w:kern w:val="0"/>
          <w:sz w:val="32"/>
          <w:szCs w:val="32"/>
          <w14:textFill>
            <w14:solidFill>
              <w14:schemeClr w14:val="tx1"/>
            </w14:solidFill>
          </w14:textFill>
        </w:rPr>
        <w:t>国有资产占有使用情况。</w:t>
      </w:r>
    </w:p>
    <w:p w14:paraId="33D6CFD4">
      <w:pPr>
        <w:pStyle w:val="11"/>
        <w:keepNext w:val="0"/>
        <w:keepLines w:val="0"/>
        <w:pageBreakBefore w:val="0"/>
        <w:kinsoku/>
        <w:wordWrap/>
        <w:overflowPunct/>
        <w:autoSpaceDE/>
        <w:autoSpaceDN/>
        <w:bidi w:val="0"/>
        <w:adjustRightInd/>
        <w:snapToGrid/>
        <w:spacing w:line="360" w:lineRule="auto"/>
        <w:ind w:left="0" w:leftChars="0" w:firstLine="640" w:firstLineChars="200"/>
        <w:textAlignment w:val="auto"/>
        <w:rPr>
          <w:rFonts w:hint="eastAsia" w:ascii="仿宋_GB2312" w:hAnsi="仿宋_GB2312" w:eastAsia="仿宋_GB2312" w:cs="仿宋_GB2312"/>
          <w:color w:val="000000"/>
          <w:kern w:val="0"/>
          <w:sz w:val="32"/>
          <w:szCs w:val="32"/>
        </w:rPr>
      </w:pPr>
      <w:r>
        <w:rPr>
          <w:rFonts w:hint="eastAsia" w:hAnsi="仿宋_GB2312" w:cs="仿宋_GB2312"/>
          <w:color w:val="000000"/>
          <w:kern w:val="0"/>
          <w:sz w:val="32"/>
          <w:szCs w:val="32"/>
          <w:lang w:eastAsia="zh-CN"/>
        </w:rPr>
        <w:t>截至</w:t>
      </w:r>
      <w:r>
        <w:rPr>
          <w:rFonts w:hint="eastAsia" w:ascii="仿宋_GB2312" w:hAnsi="仿宋_GB2312" w:eastAsia="仿宋_GB2312" w:cs="仿宋_GB2312"/>
          <w:color w:val="000000"/>
          <w:kern w:val="0"/>
          <w:sz w:val="32"/>
          <w:szCs w:val="32"/>
          <w:lang w:val="en-US" w:eastAsia="zh-CN"/>
        </w:rPr>
        <w:t>2024年底，峨边彝族自治县融媒体中心所属各预算单位共有车辆0辆</w:t>
      </w:r>
      <w:r>
        <w:rPr>
          <w:rFonts w:hint="eastAsia" w:ascii="仿宋_GB2312" w:hAnsi="仿宋_GB2312" w:eastAsia="仿宋_GB2312" w:cs="仿宋_GB2312"/>
          <w:color w:val="000000"/>
          <w:kern w:val="0"/>
          <w:sz w:val="32"/>
          <w:szCs w:val="32"/>
          <w:highlight w:val="none"/>
        </w:rPr>
        <w:t>，其中：</w:t>
      </w:r>
      <w:r>
        <w:rPr>
          <w:rFonts w:hint="eastAsia" w:hAnsi="仿宋_GB2312" w:cs="仿宋_GB2312"/>
          <w:color w:val="000000"/>
          <w:kern w:val="0"/>
          <w:sz w:val="32"/>
          <w:szCs w:val="32"/>
          <w:highlight w:val="none"/>
          <w:lang w:eastAsia="zh-CN"/>
        </w:rPr>
        <w:t>县级</w:t>
      </w:r>
      <w:r>
        <w:rPr>
          <w:rFonts w:hint="eastAsia" w:ascii="仿宋_GB2312" w:hAnsi="仿宋_GB2312" w:eastAsia="仿宋_GB2312" w:cs="仿宋_GB2312"/>
          <w:color w:val="000000"/>
          <w:kern w:val="0"/>
          <w:sz w:val="32"/>
          <w:szCs w:val="32"/>
          <w:highlight w:val="none"/>
          <w:lang w:eastAsia="zh-CN"/>
        </w:rPr>
        <w:t>领导干部用车</w:t>
      </w:r>
      <w:r>
        <w:rPr>
          <w:rFonts w:hint="eastAsia" w:ascii="仿宋_GB2312" w:hAnsi="仿宋_GB2312" w:eastAsia="仿宋_GB2312" w:cs="仿宋_GB2312"/>
          <w:color w:val="000000"/>
          <w:kern w:val="0"/>
          <w:sz w:val="32"/>
          <w:szCs w:val="32"/>
          <w:highlight w:val="none"/>
          <w:lang w:val="en-US" w:eastAsia="zh-CN"/>
        </w:rPr>
        <w:t>0辆、定向保障用车0辆、执法执勤用车0辆。</w:t>
      </w:r>
      <w:r>
        <w:rPr>
          <w:rFonts w:hint="eastAsia" w:ascii="仿宋_GB2312" w:hAnsi="仿宋_GB2312" w:eastAsia="仿宋_GB2312" w:cs="仿宋_GB2312"/>
          <w:color w:val="000000"/>
          <w:kern w:val="0"/>
          <w:sz w:val="32"/>
          <w:szCs w:val="32"/>
          <w:highlight w:val="none"/>
        </w:rPr>
        <w:t>单位价值200万元</w:t>
      </w:r>
      <w:r>
        <w:rPr>
          <w:rFonts w:hint="eastAsia" w:ascii="仿宋_GB2312" w:hAnsi="仿宋_GB2312" w:eastAsia="仿宋_GB2312" w:cs="仿宋_GB2312"/>
          <w:color w:val="000000"/>
          <w:kern w:val="0"/>
          <w:sz w:val="32"/>
          <w:szCs w:val="32"/>
        </w:rPr>
        <w:t>以上大型设备</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台（套）。</w:t>
      </w:r>
    </w:p>
    <w:p w14:paraId="2C6A8027">
      <w:pPr>
        <w:pStyle w:val="11"/>
        <w:keepNext w:val="0"/>
        <w:keepLines w:val="0"/>
        <w:pageBreakBefore w:val="0"/>
        <w:kinsoku/>
        <w:wordWrap/>
        <w:overflowPunct/>
        <w:autoSpaceDE/>
        <w:autoSpaceDN/>
        <w:bidi w:val="0"/>
        <w:adjustRightInd/>
        <w:snapToGrid/>
        <w:spacing w:line="360" w:lineRule="auto"/>
        <w:ind w:left="0" w:leftChars="0" w:firstLine="640" w:firstLineChars="200"/>
        <w:textAlignment w:val="auto"/>
        <w:rPr>
          <w:rFonts w:hint="eastAsia" w:ascii="仿宋_GB2312" w:hAnsi="仿宋_GB2312" w:eastAsia="仿宋_GB2312" w:cs="仿宋_GB2312"/>
          <w:color w:val="000000"/>
          <w:kern w:val="0"/>
          <w:sz w:val="32"/>
          <w:szCs w:val="32"/>
          <w:highlight w:val="yellow"/>
          <w:lang w:eastAsia="zh-CN"/>
        </w:rPr>
      </w:pPr>
      <w:r>
        <w:rPr>
          <w:rFonts w:hint="eastAsia" w:ascii="仿宋_GB2312" w:hAnsi="仿宋_GB2312" w:eastAsia="仿宋_GB2312" w:cs="仿宋_GB2312"/>
          <w:color w:val="000000"/>
          <w:kern w:val="0"/>
          <w:sz w:val="32"/>
          <w:szCs w:val="32"/>
        </w:rPr>
        <w:t>202</w:t>
      </w:r>
      <w:r>
        <w:rPr>
          <w:rFonts w:hint="eastAsia" w:ascii="仿宋_GB2312" w:hAnsi="仿宋_GB2312" w:eastAsia="仿宋_GB2312" w:cs="仿宋_GB2312"/>
          <w:color w:val="000000"/>
          <w:kern w:val="0"/>
          <w:sz w:val="32"/>
          <w:szCs w:val="32"/>
          <w:lang w:val="en-US" w:eastAsia="zh-CN"/>
        </w:rPr>
        <w:t>5</w:t>
      </w:r>
      <w:r>
        <w:rPr>
          <w:rFonts w:hint="eastAsia" w:ascii="仿宋_GB2312" w:hAnsi="仿宋_GB2312" w:eastAsia="仿宋_GB2312" w:cs="仿宋_GB2312"/>
          <w:color w:val="000000"/>
          <w:kern w:val="0"/>
          <w:sz w:val="32"/>
          <w:szCs w:val="32"/>
        </w:rPr>
        <w:t>年，部门预算</w:t>
      </w:r>
      <w:r>
        <w:rPr>
          <w:rFonts w:hint="eastAsia" w:ascii="仿宋_GB2312" w:hAnsi="仿宋_GB2312" w:eastAsia="仿宋_GB2312" w:cs="仿宋_GB2312"/>
          <w:color w:val="000000"/>
          <w:kern w:val="0"/>
          <w:sz w:val="32"/>
          <w:szCs w:val="32"/>
          <w:lang w:eastAsia="zh-CN"/>
        </w:rPr>
        <w:t>未</w:t>
      </w:r>
      <w:r>
        <w:rPr>
          <w:rFonts w:hint="eastAsia" w:ascii="仿宋_GB2312" w:hAnsi="仿宋_GB2312" w:eastAsia="仿宋_GB2312" w:cs="仿宋_GB2312"/>
          <w:color w:val="000000"/>
          <w:kern w:val="0"/>
          <w:sz w:val="32"/>
          <w:szCs w:val="32"/>
        </w:rPr>
        <w:t>安排购置车辆及单位价值200万元以上大型设备</w:t>
      </w:r>
      <w:r>
        <w:rPr>
          <w:rFonts w:hint="eastAsia" w:ascii="仿宋_GB2312" w:hAnsi="仿宋_GB2312" w:eastAsia="仿宋_GB2312" w:cs="仿宋_GB2312"/>
          <w:color w:val="000000"/>
          <w:kern w:val="0"/>
          <w:sz w:val="32"/>
          <w:szCs w:val="32"/>
          <w:lang w:eastAsia="zh-CN"/>
        </w:rPr>
        <w:t>。</w:t>
      </w:r>
    </w:p>
    <w:p w14:paraId="586ACA75">
      <w:pPr>
        <w:widowControl/>
        <w:numPr>
          <w:ilvl w:val="0"/>
          <w:numId w:val="1"/>
        </w:numPr>
        <w:shd w:val="clear" w:color="auto" w:fill="FFFFFF"/>
        <w:ind w:left="-10" w:leftChars="0" w:firstLine="640" w:firstLineChars="0"/>
        <w:jc w:val="left"/>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绩效目标设置情况</w:t>
      </w:r>
    </w:p>
    <w:p w14:paraId="6274B573">
      <w:pPr>
        <w:pStyle w:val="2"/>
        <w:numPr>
          <w:ilvl w:val="0"/>
          <w:numId w:val="0"/>
        </w:numPr>
        <w:ind w:leftChars="200"/>
        <w:rPr>
          <w:rFonts w:hint="eastAsia" w:ascii="仿宋_GB2312" w:hAnsi="仿宋_GB2312" w:eastAsia="仿宋_GB2312" w:cs="仿宋_GB2312"/>
          <w:color w:val="000000"/>
          <w:kern w:val="0"/>
          <w:sz w:val="32"/>
          <w:szCs w:val="32"/>
          <w:lang w:val="en-US" w:eastAsia="zh-CN" w:bidi="ar-SA"/>
        </w:rPr>
      </w:pPr>
      <w:r>
        <w:rPr>
          <w:rFonts w:hint="eastAsia" w:ascii="仿宋_GB2312" w:hAnsi="仿宋_GB2312" w:eastAsia="仿宋_GB2312" w:cs="仿宋_GB2312"/>
          <w:color w:val="000000"/>
          <w:kern w:val="0"/>
          <w:sz w:val="32"/>
          <w:szCs w:val="32"/>
          <w:lang w:val="en-US" w:eastAsia="zh-CN" w:bidi="ar-SA"/>
        </w:rPr>
        <w:t xml:space="preserve">     2025年，峨边彝族自治县融媒体中心开展绩效目标管理的项目1个，涉及预算20万元。其中：人员类项目0个，涉及预算0万元；运转类项目0个，涉及预算0万元；特定目标类项目1个，涉及预算20万元。</w:t>
      </w:r>
    </w:p>
    <w:p w14:paraId="6BF6F099">
      <w:pPr>
        <w:widowControl/>
        <w:shd w:val="clear" w:color="auto" w:fill="FFFFFF"/>
        <w:ind w:firstLine="643" w:firstLineChars="200"/>
        <w:jc w:val="left"/>
        <w:rPr>
          <w:rFonts w:ascii="仿宋" w:hAnsi="仿宋" w:eastAsia="仿宋" w:cs="宋体"/>
          <w:b/>
          <w:color w:val="000000"/>
          <w:kern w:val="0"/>
          <w:sz w:val="32"/>
          <w:szCs w:val="32"/>
        </w:rPr>
      </w:pPr>
    </w:p>
    <w:p w14:paraId="07120796">
      <w:pPr>
        <w:widowControl/>
        <w:numPr>
          <w:ilvl w:val="0"/>
          <w:numId w:val="0"/>
        </w:numPr>
        <w:shd w:val="clear" w:color="auto" w:fill="FFFFFF"/>
        <w:jc w:val="center"/>
        <w:rPr>
          <w:rFonts w:hint="eastAsia"/>
          <w:b/>
          <w:bCs/>
          <w:sz w:val="52"/>
          <w:szCs w:val="52"/>
          <w:lang w:val="en-US" w:eastAsia="zh-CN"/>
        </w:rPr>
      </w:pPr>
    </w:p>
    <w:p w14:paraId="7B207799">
      <w:pPr>
        <w:widowControl/>
        <w:numPr>
          <w:ilvl w:val="0"/>
          <w:numId w:val="0"/>
        </w:numPr>
        <w:shd w:val="clear" w:color="auto" w:fill="FFFFFF"/>
        <w:jc w:val="center"/>
        <w:rPr>
          <w:rFonts w:hint="eastAsia"/>
          <w:b/>
          <w:bCs/>
          <w:sz w:val="52"/>
          <w:szCs w:val="52"/>
          <w:lang w:val="en-US" w:eastAsia="zh-CN"/>
        </w:rPr>
      </w:pPr>
      <w:r>
        <w:rPr>
          <w:rFonts w:hint="eastAsia"/>
          <w:b/>
          <w:bCs/>
          <w:sz w:val="52"/>
          <w:szCs w:val="52"/>
          <w:lang w:val="en-US" w:eastAsia="zh-CN"/>
        </w:rPr>
        <w:br w:type="column"/>
      </w:r>
    </w:p>
    <w:p w14:paraId="523ACEC3">
      <w:pPr>
        <w:widowControl/>
        <w:numPr>
          <w:ilvl w:val="0"/>
          <w:numId w:val="0"/>
        </w:numPr>
        <w:shd w:val="clear" w:color="auto" w:fill="FFFFFF"/>
        <w:jc w:val="center"/>
        <w:rPr>
          <w:rFonts w:hint="eastAsia"/>
          <w:b/>
          <w:bCs/>
          <w:sz w:val="52"/>
          <w:szCs w:val="52"/>
          <w:lang w:val="en-US" w:eastAsia="zh-CN"/>
        </w:rPr>
      </w:pPr>
    </w:p>
    <w:p w14:paraId="72A8C9DD">
      <w:pPr>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第四部分</w:t>
      </w:r>
    </w:p>
    <w:p w14:paraId="0A760DC0">
      <w:pPr>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峨边彝族自治县融媒体中心</w:t>
      </w:r>
    </w:p>
    <w:p w14:paraId="12E6BAB0">
      <w:pPr>
        <w:keepNext w:val="0"/>
        <w:keepLines w:val="0"/>
        <w:pageBreakBefore w:val="0"/>
        <w:widowControl/>
        <w:numPr>
          <w:ilvl w:val="0"/>
          <w:numId w:val="0"/>
        </w:numPr>
        <w:shd w:val="clear" w:color="auto" w:fill="FFFFFF"/>
        <w:kinsoku/>
        <w:wordWrap/>
        <w:overflowPunct/>
        <w:topLinePunct w:val="0"/>
        <w:autoSpaceDE/>
        <w:autoSpaceDN/>
        <w:bidi w:val="0"/>
        <w:adjustRightInd/>
        <w:snapToGrid/>
        <w:ind w:firstLine="0" w:firstLineChars="0"/>
        <w:jc w:val="center"/>
        <w:textAlignment w:val="auto"/>
        <w:rPr>
          <w:rFonts w:hint="eastAsia" w:ascii="方正小标宋简体" w:hAnsi="方正小标宋简体" w:eastAsia="方正小标宋简体" w:cs="方正小标宋简体"/>
          <w:b/>
          <w:bCs/>
          <w:sz w:val="52"/>
          <w:szCs w:val="52"/>
          <w:lang w:val="en-US" w:eastAsia="zh-CN"/>
        </w:rPr>
      </w:pPr>
      <w:r>
        <w:rPr>
          <w:rFonts w:hint="eastAsia" w:ascii="方正小标宋简体" w:hAnsi="方正小标宋简体" w:eastAsia="方正小标宋简体" w:cs="方正小标宋简体"/>
          <w:b/>
          <w:bCs/>
          <w:sz w:val="52"/>
          <w:szCs w:val="52"/>
          <w:lang w:val="en-US" w:eastAsia="zh-CN"/>
        </w:rPr>
        <w:t>2025年部门预算名词解释</w:t>
      </w:r>
    </w:p>
    <w:p w14:paraId="1A83C234">
      <w:pPr>
        <w:rPr>
          <w:rFonts w:hint="eastAsia"/>
          <w:b/>
          <w:bCs/>
          <w:sz w:val="52"/>
          <w:szCs w:val="52"/>
          <w:lang w:val="en-US" w:eastAsia="zh-CN"/>
        </w:rPr>
      </w:pPr>
      <w:r>
        <w:rPr>
          <w:rFonts w:hint="eastAsia"/>
          <w:b/>
          <w:bCs/>
          <w:sz w:val="52"/>
          <w:szCs w:val="52"/>
          <w:lang w:val="en-US" w:eastAsia="zh-CN"/>
        </w:rPr>
        <w:br w:type="page"/>
      </w:r>
    </w:p>
    <w:p w14:paraId="5E98917A">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楷体" w:hAnsi="楷体" w:eastAsia="楷体" w:cs="楷体"/>
          <w:color w:val="000000"/>
          <w:kern w:val="0"/>
          <w:sz w:val="32"/>
          <w:szCs w:val="32"/>
          <w:lang w:eastAsia="zh-CN"/>
        </w:rPr>
        <w:t>（一）</w:t>
      </w:r>
      <w:r>
        <w:rPr>
          <w:rFonts w:hint="eastAsia" w:ascii="楷体" w:hAnsi="楷体" w:eastAsia="楷体" w:cs="楷体"/>
          <w:color w:val="000000"/>
          <w:kern w:val="0"/>
          <w:sz w:val="32"/>
          <w:szCs w:val="32"/>
        </w:rPr>
        <w:t>财政拨款收支情况：</w:t>
      </w:r>
      <w:r>
        <w:rPr>
          <w:rFonts w:hint="eastAsia" w:ascii="仿宋_GB2312" w:hAnsi="仿宋_GB2312" w:eastAsia="仿宋_GB2312" w:cs="仿宋_GB2312"/>
          <w:color w:val="000000"/>
          <w:kern w:val="0"/>
          <w:sz w:val="32"/>
          <w:szCs w:val="32"/>
        </w:rPr>
        <w:t>是指一般公共预算、政府性基金预算、国有资本经营预算拨款收支情况。 </w:t>
      </w:r>
    </w:p>
    <w:p w14:paraId="032C9FC0">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eastAsia="zh-CN"/>
        </w:rPr>
      </w:pPr>
      <w:r>
        <w:rPr>
          <w:rFonts w:hint="eastAsia" w:ascii="楷体" w:hAnsi="楷体" w:eastAsia="楷体" w:cs="楷体"/>
          <w:color w:val="000000"/>
          <w:kern w:val="0"/>
          <w:sz w:val="32"/>
          <w:szCs w:val="32"/>
          <w:lang w:eastAsia="zh-CN"/>
        </w:rPr>
        <w:t>（二）</w:t>
      </w:r>
      <w:r>
        <w:rPr>
          <w:rFonts w:hint="eastAsia" w:ascii="楷体" w:hAnsi="楷体" w:eastAsia="楷体" w:cs="楷体"/>
          <w:color w:val="000000"/>
          <w:kern w:val="0"/>
          <w:sz w:val="32"/>
          <w:szCs w:val="32"/>
        </w:rPr>
        <w:t>一般公共预算拨款收入：</w:t>
      </w:r>
      <w:r>
        <w:rPr>
          <w:rFonts w:hint="eastAsia" w:ascii="仿宋_GB2312" w:hAnsi="仿宋_GB2312" w:eastAsia="仿宋_GB2312" w:cs="仿宋_GB2312"/>
          <w:color w:val="000000"/>
          <w:kern w:val="0"/>
          <w:sz w:val="32"/>
          <w:szCs w:val="32"/>
        </w:rPr>
        <w:t>指市级财政当年拨付的资金。 </w:t>
      </w:r>
    </w:p>
    <w:p w14:paraId="74528713">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eastAsia="zh-CN"/>
        </w:rPr>
      </w:pPr>
      <w:r>
        <w:rPr>
          <w:rFonts w:hint="eastAsia" w:ascii="楷体" w:hAnsi="楷体" w:eastAsia="楷体" w:cs="楷体"/>
          <w:color w:val="000000"/>
          <w:kern w:val="0"/>
          <w:sz w:val="32"/>
          <w:szCs w:val="32"/>
          <w:lang w:eastAsia="zh-CN"/>
        </w:rPr>
        <w:t>（三）</w:t>
      </w:r>
      <w:r>
        <w:rPr>
          <w:rFonts w:hint="eastAsia" w:ascii="楷体" w:hAnsi="楷体" w:eastAsia="楷体" w:cs="楷体"/>
          <w:color w:val="000000"/>
          <w:kern w:val="0"/>
          <w:sz w:val="32"/>
          <w:szCs w:val="32"/>
        </w:rPr>
        <w:t>事业收入：</w:t>
      </w:r>
      <w:r>
        <w:rPr>
          <w:rFonts w:hint="eastAsia" w:ascii="仿宋_GB2312" w:hAnsi="仿宋_GB2312" w:eastAsia="仿宋_GB2312" w:cs="仿宋_GB2312"/>
          <w:color w:val="000000"/>
          <w:kern w:val="0"/>
          <w:sz w:val="32"/>
          <w:szCs w:val="32"/>
        </w:rPr>
        <w:t>指事业单位开展专业业务活动及辅助活动所取得的收入。 </w:t>
      </w:r>
    </w:p>
    <w:p w14:paraId="0F07D784">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楷体" w:hAnsi="楷体" w:eastAsia="楷体" w:cs="楷体"/>
          <w:color w:val="000000"/>
          <w:kern w:val="0"/>
          <w:sz w:val="32"/>
          <w:szCs w:val="32"/>
          <w:lang w:eastAsia="zh-CN"/>
        </w:rPr>
        <w:t>（四）</w:t>
      </w:r>
      <w:r>
        <w:rPr>
          <w:rFonts w:hint="eastAsia" w:ascii="楷体" w:hAnsi="楷体" w:eastAsia="楷体" w:cs="楷体"/>
          <w:color w:val="000000"/>
          <w:kern w:val="0"/>
          <w:sz w:val="32"/>
          <w:szCs w:val="32"/>
        </w:rPr>
        <w:t>事业单位经营收入：</w:t>
      </w:r>
      <w:r>
        <w:rPr>
          <w:rFonts w:hint="eastAsia" w:ascii="仿宋_GB2312" w:hAnsi="仿宋_GB2312" w:eastAsia="仿宋_GB2312" w:cs="仿宋_GB2312"/>
          <w:color w:val="000000"/>
          <w:kern w:val="0"/>
          <w:sz w:val="32"/>
          <w:szCs w:val="32"/>
        </w:rPr>
        <w:t>指事业单位在专业业务活动及其辅助活动之外开展非独立核算经营活动取得的收入。</w:t>
      </w:r>
      <w:r>
        <w:rPr>
          <w:rFonts w:hint="eastAsia" w:ascii="仿宋" w:hAnsi="仿宋" w:eastAsia="仿宋" w:cs="宋体"/>
          <w:color w:val="000000"/>
          <w:kern w:val="0"/>
          <w:sz w:val="32"/>
          <w:szCs w:val="32"/>
        </w:rPr>
        <w:t> </w:t>
      </w:r>
    </w:p>
    <w:p w14:paraId="06E454AF">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eastAsia="zh-CN"/>
        </w:rPr>
      </w:pPr>
      <w:r>
        <w:rPr>
          <w:rFonts w:hint="eastAsia" w:ascii="楷体" w:hAnsi="楷体" w:eastAsia="楷体" w:cs="楷体"/>
          <w:color w:val="000000"/>
          <w:kern w:val="0"/>
          <w:sz w:val="32"/>
          <w:szCs w:val="32"/>
          <w:lang w:eastAsia="zh-CN"/>
        </w:rPr>
        <w:t>（五）</w:t>
      </w:r>
      <w:r>
        <w:rPr>
          <w:rFonts w:hint="eastAsia" w:ascii="楷体" w:hAnsi="楷体" w:eastAsia="楷体" w:cs="楷体"/>
          <w:color w:val="000000"/>
          <w:kern w:val="0"/>
          <w:sz w:val="32"/>
          <w:szCs w:val="32"/>
        </w:rPr>
        <w:t>其他收入：</w:t>
      </w:r>
      <w:r>
        <w:rPr>
          <w:rFonts w:hint="eastAsia" w:ascii="仿宋_GB2312" w:hAnsi="仿宋_GB2312" w:eastAsia="仿宋_GB2312" w:cs="仿宋_GB2312"/>
          <w:color w:val="000000"/>
          <w:kern w:val="0"/>
          <w:sz w:val="32"/>
          <w:szCs w:val="32"/>
        </w:rPr>
        <w:t>指除上述“一般公共预算拨款收入</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事业收入</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事业单位经营收入”等以外的收入。主要是利息收入、国有资产出租收入等。 </w:t>
      </w:r>
    </w:p>
    <w:p w14:paraId="342D7FDA">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eastAsia="zh-CN"/>
        </w:rPr>
      </w:pPr>
      <w:r>
        <w:rPr>
          <w:rFonts w:hint="eastAsia" w:ascii="楷体" w:hAnsi="楷体" w:eastAsia="楷体" w:cs="楷体"/>
          <w:color w:val="000000"/>
          <w:kern w:val="0"/>
          <w:sz w:val="32"/>
          <w:szCs w:val="32"/>
          <w:lang w:eastAsia="zh-CN"/>
        </w:rPr>
        <w:t>（六）</w:t>
      </w:r>
      <w:r>
        <w:rPr>
          <w:rFonts w:hint="eastAsia" w:ascii="楷体" w:hAnsi="楷体" w:eastAsia="楷体" w:cs="楷体"/>
          <w:color w:val="000000"/>
          <w:kern w:val="0"/>
          <w:sz w:val="32"/>
          <w:szCs w:val="32"/>
        </w:rPr>
        <w:t>用事业基金弥补收支差额：</w:t>
      </w:r>
      <w:r>
        <w:rPr>
          <w:rFonts w:hint="eastAsia" w:ascii="仿宋_GB2312" w:hAnsi="仿宋_GB2312" w:eastAsia="仿宋_GB2312" w:cs="仿宋_GB2312"/>
          <w:color w:val="000000"/>
          <w:kern w:val="0"/>
          <w:sz w:val="32"/>
          <w:szCs w:val="32"/>
        </w:rPr>
        <w:t>指事业单位在当年的收入不足以安排当年</w:t>
      </w:r>
      <w:r>
        <w:rPr>
          <w:rFonts w:hint="eastAsia" w:ascii="仿宋_GB2312" w:hAnsi="仿宋_GB2312" w:eastAsia="仿宋_GB2312" w:cs="仿宋_GB2312"/>
          <w:color w:val="000000"/>
          <w:kern w:val="0"/>
          <w:sz w:val="32"/>
          <w:szCs w:val="32"/>
          <w:lang w:eastAsia="zh-CN"/>
        </w:rPr>
        <w:t>支</w:t>
      </w:r>
      <w:r>
        <w:rPr>
          <w:rFonts w:hint="eastAsia" w:ascii="仿宋_GB2312" w:hAnsi="仿宋_GB2312" w:eastAsia="仿宋_GB2312" w:cs="仿宋_GB2312"/>
          <w:color w:val="000000"/>
          <w:kern w:val="0"/>
          <w:sz w:val="32"/>
          <w:szCs w:val="32"/>
        </w:rPr>
        <w:t>出的情况下，使用以前年度积累的事业基金（事业单位当年收支相抵后按国家规定提取、用于弥补以后年度收支差额的基金）弥补本年度收支缺口的资金。 </w:t>
      </w:r>
    </w:p>
    <w:p w14:paraId="454E0B05">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eastAsia="zh-CN"/>
        </w:rPr>
      </w:pPr>
      <w:r>
        <w:rPr>
          <w:rFonts w:hint="eastAsia" w:ascii="楷体" w:hAnsi="楷体" w:eastAsia="楷体" w:cs="楷体"/>
          <w:color w:val="000000"/>
          <w:kern w:val="0"/>
          <w:sz w:val="32"/>
          <w:szCs w:val="32"/>
          <w:lang w:eastAsia="zh-CN"/>
        </w:rPr>
        <w:t>（七）</w:t>
      </w:r>
      <w:r>
        <w:rPr>
          <w:rFonts w:hint="eastAsia" w:ascii="楷体" w:hAnsi="楷体" w:eastAsia="楷体" w:cs="楷体"/>
          <w:color w:val="000000"/>
          <w:kern w:val="0"/>
          <w:sz w:val="32"/>
          <w:szCs w:val="32"/>
        </w:rPr>
        <w:t>上年结转：</w:t>
      </w:r>
      <w:r>
        <w:rPr>
          <w:rFonts w:hint="eastAsia" w:ascii="仿宋_GB2312" w:hAnsi="仿宋_GB2312" w:eastAsia="仿宋_GB2312" w:cs="仿宋_GB2312"/>
          <w:color w:val="000000"/>
          <w:kern w:val="0"/>
          <w:sz w:val="32"/>
          <w:szCs w:val="32"/>
        </w:rPr>
        <w:t>指以前年度尚未完成，结转到本年仍按原规定用途继续使用的资金。 </w:t>
      </w:r>
    </w:p>
    <w:p w14:paraId="3C007A93">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楷体" w:hAnsi="楷体" w:eastAsia="楷体" w:cs="楷体"/>
          <w:color w:val="000000"/>
          <w:kern w:val="0"/>
          <w:sz w:val="32"/>
          <w:szCs w:val="32"/>
          <w:lang w:eastAsia="zh-CN"/>
        </w:rPr>
        <w:t>（八）一般公共服务支出</w:t>
      </w:r>
      <w:r>
        <w:rPr>
          <w:rFonts w:hint="eastAsia" w:ascii="楷体" w:hAnsi="楷体" w:eastAsia="楷体" w:cs="楷体"/>
          <w:color w:val="000000"/>
          <w:kern w:val="0"/>
          <w:sz w:val="32"/>
          <w:szCs w:val="32"/>
        </w:rPr>
        <w:t>（类）</w:t>
      </w:r>
      <w:r>
        <w:rPr>
          <w:rFonts w:hint="eastAsia" w:ascii="楷体" w:hAnsi="楷体" w:eastAsia="楷体" w:cs="楷体"/>
          <w:color w:val="000000"/>
          <w:kern w:val="0"/>
          <w:sz w:val="32"/>
          <w:szCs w:val="32"/>
          <w:lang w:eastAsia="zh-CN"/>
        </w:rPr>
        <w:t>宣传事务</w:t>
      </w:r>
      <w:r>
        <w:rPr>
          <w:rFonts w:hint="eastAsia" w:ascii="楷体" w:hAnsi="楷体" w:eastAsia="楷体" w:cs="楷体"/>
          <w:color w:val="000000"/>
          <w:kern w:val="0"/>
          <w:sz w:val="32"/>
          <w:szCs w:val="32"/>
        </w:rPr>
        <w:t>（款）</w:t>
      </w:r>
      <w:r>
        <w:rPr>
          <w:rFonts w:hint="eastAsia" w:ascii="楷体" w:hAnsi="楷体" w:eastAsia="楷体" w:cs="楷体"/>
          <w:color w:val="000000"/>
          <w:kern w:val="0"/>
          <w:sz w:val="32"/>
          <w:szCs w:val="32"/>
          <w:lang w:eastAsia="zh-CN"/>
        </w:rPr>
        <w:t>其他宣传事务支出</w:t>
      </w:r>
      <w:r>
        <w:rPr>
          <w:rFonts w:hint="eastAsia" w:ascii="楷体" w:hAnsi="楷体" w:eastAsia="楷体" w:cs="楷体"/>
          <w:color w:val="000000"/>
          <w:kern w:val="0"/>
          <w:sz w:val="32"/>
          <w:szCs w:val="32"/>
        </w:rPr>
        <w:t>（项）：</w:t>
      </w:r>
      <w:r>
        <w:rPr>
          <w:rFonts w:hint="eastAsia" w:ascii="仿宋_GB2312" w:hAnsi="仿宋_GB2312" w:eastAsia="仿宋_GB2312" w:cs="仿宋_GB2312"/>
          <w:color w:val="000000"/>
          <w:kern w:val="0"/>
          <w:sz w:val="32"/>
          <w:szCs w:val="32"/>
          <w:lang w:eastAsia="zh-CN"/>
        </w:rPr>
        <w:t>用于中国共产党宣传部门的事务支出</w:t>
      </w:r>
      <w:r>
        <w:rPr>
          <w:rFonts w:hint="eastAsia" w:ascii="仿宋_GB2312" w:hAnsi="仿宋_GB2312" w:eastAsia="仿宋_GB2312" w:cs="仿宋_GB2312"/>
          <w:color w:val="000000"/>
          <w:kern w:val="0"/>
          <w:sz w:val="32"/>
          <w:szCs w:val="32"/>
        </w:rPr>
        <w:t>。</w:t>
      </w:r>
      <w:r>
        <w:rPr>
          <w:rFonts w:hint="eastAsia" w:ascii="仿宋" w:hAnsi="仿宋" w:eastAsia="仿宋" w:cs="宋体"/>
          <w:color w:val="000000"/>
          <w:kern w:val="0"/>
          <w:sz w:val="32"/>
          <w:szCs w:val="32"/>
        </w:rPr>
        <w:t> </w:t>
      </w:r>
    </w:p>
    <w:p w14:paraId="239A2B19">
      <w:pPr>
        <w:widowControl/>
        <w:numPr>
          <w:ilvl w:val="0"/>
          <w:numId w:val="0"/>
        </w:numPr>
        <w:shd w:val="clear" w:color="auto" w:fill="FFFFFF"/>
        <w:ind w:firstLine="640" w:firstLineChars="200"/>
        <w:jc w:val="left"/>
        <w:rPr>
          <w:rFonts w:hint="eastAsia" w:ascii="仿宋" w:hAnsi="仿宋" w:eastAsia="仿宋" w:cs="宋体"/>
          <w:color w:val="000000"/>
          <w:kern w:val="0"/>
          <w:sz w:val="32"/>
          <w:szCs w:val="32"/>
          <w:lang w:eastAsia="zh-CN"/>
        </w:rPr>
      </w:pPr>
      <w:r>
        <w:rPr>
          <w:rFonts w:hint="eastAsia" w:ascii="楷体" w:hAnsi="楷体" w:eastAsia="楷体" w:cs="楷体"/>
          <w:color w:val="000000"/>
          <w:kern w:val="0"/>
          <w:sz w:val="32"/>
          <w:szCs w:val="32"/>
          <w:lang w:eastAsia="zh-CN"/>
        </w:rPr>
        <w:t>（九）</w:t>
      </w:r>
      <w:r>
        <w:rPr>
          <w:rFonts w:hint="eastAsia" w:ascii="楷体" w:hAnsi="楷体" w:eastAsia="楷体" w:cs="楷体"/>
          <w:color w:val="000000"/>
          <w:kern w:val="0"/>
          <w:sz w:val="32"/>
          <w:szCs w:val="32"/>
        </w:rPr>
        <w:t>文化旅游体育与传媒支出（类）</w:t>
      </w:r>
      <w:r>
        <w:rPr>
          <w:rFonts w:hint="eastAsia" w:ascii="楷体" w:hAnsi="楷体" w:eastAsia="楷体" w:cs="楷体"/>
          <w:color w:val="000000"/>
          <w:kern w:val="0"/>
          <w:sz w:val="32"/>
          <w:szCs w:val="32"/>
          <w:lang w:eastAsia="zh-CN"/>
        </w:rPr>
        <w:t>广播电视</w:t>
      </w:r>
      <w:r>
        <w:rPr>
          <w:rFonts w:hint="eastAsia" w:ascii="楷体" w:hAnsi="楷体" w:eastAsia="楷体" w:cs="楷体"/>
          <w:color w:val="000000"/>
          <w:kern w:val="0"/>
          <w:sz w:val="32"/>
          <w:szCs w:val="32"/>
        </w:rPr>
        <w:t>（款）</w:t>
      </w:r>
      <w:r>
        <w:rPr>
          <w:rFonts w:hint="eastAsia" w:ascii="楷体" w:hAnsi="楷体" w:eastAsia="楷体" w:cs="楷体"/>
          <w:color w:val="000000"/>
          <w:kern w:val="0"/>
          <w:sz w:val="32"/>
          <w:szCs w:val="32"/>
          <w:lang w:eastAsia="zh-CN"/>
        </w:rPr>
        <w:t>其他广播电视支出</w:t>
      </w:r>
      <w:r>
        <w:rPr>
          <w:rFonts w:hint="eastAsia" w:ascii="楷体" w:hAnsi="楷体" w:eastAsia="楷体" w:cs="楷体"/>
          <w:color w:val="000000"/>
          <w:kern w:val="0"/>
          <w:sz w:val="32"/>
          <w:szCs w:val="32"/>
        </w:rPr>
        <w:t>（项）：</w:t>
      </w:r>
      <w:r>
        <w:rPr>
          <w:rFonts w:hint="eastAsia" w:ascii="仿宋_GB2312" w:hAnsi="仿宋_GB2312" w:eastAsia="仿宋_GB2312" w:cs="仿宋_GB2312"/>
          <w:color w:val="000000"/>
          <w:kern w:val="0"/>
          <w:sz w:val="32"/>
          <w:szCs w:val="32"/>
          <w:lang w:eastAsia="zh-CN"/>
        </w:rPr>
        <w:t>用于广播电视方面的支出</w:t>
      </w:r>
      <w:r>
        <w:rPr>
          <w:rFonts w:hint="eastAsia" w:ascii="仿宋_GB2312" w:hAnsi="仿宋_GB2312" w:eastAsia="仿宋_GB2312" w:cs="仿宋_GB2312"/>
          <w:color w:val="000000"/>
          <w:kern w:val="0"/>
          <w:sz w:val="32"/>
          <w:szCs w:val="32"/>
        </w:rPr>
        <w:t>。</w:t>
      </w:r>
      <w:r>
        <w:rPr>
          <w:rFonts w:hint="eastAsia" w:ascii="仿宋" w:hAnsi="仿宋" w:eastAsia="仿宋" w:cs="宋体"/>
          <w:color w:val="000000"/>
          <w:kern w:val="0"/>
          <w:sz w:val="32"/>
          <w:szCs w:val="32"/>
        </w:rPr>
        <w:t> </w:t>
      </w:r>
    </w:p>
    <w:p w14:paraId="78C2FF4D">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eastAsia="zh-CN"/>
        </w:rPr>
      </w:pPr>
      <w:r>
        <w:rPr>
          <w:rFonts w:hint="eastAsia" w:ascii="楷体" w:hAnsi="楷体" w:eastAsia="楷体" w:cs="楷体"/>
          <w:color w:val="000000"/>
          <w:kern w:val="0"/>
          <w:sz w:val="32"/>
          <w:szCs w:val="32"/>
          <w:lang w:eastAsia="zh-CN"/>
        </w:rPr>
        <w:t>（十）</w:t>
      </w:r>
      <w:r>
        <w:rPr>
          <w:rFonts w:hint="eastAsia" w:ascii="楷体" w:hAnsi="楷体" w:eastAsia="楷体" w:cs="楷体"/>
          <w:color w:val="000000"/>
          <w:kern w:val="0"/>
          <w:sz w:val="32"/>
          <w:szCs w:val="32"/>
        </w:rPr>
        <w:t>社会保障和就业（类）</w:t>
      </w:r>
      <w:r>
        <w:rPr>
          <w:rFonts w:hint="eastAsia" w:ascii="楷体" w:hAnsi="楷体" w:eastAsia="楷体" w:cs="楷体"/>
          <w:color w:val="000000"/>
          <w:kern w:val="0"/>
          <w:sz w:val="32"/>
          <w:szCs w:val="32"/>
          <w:lang w:eastAsia="zh-CN"/>
        </w:rPr>
        <w:t>行政事业单位养老支出</w:t>
      </w:r>
      <w:r>
        <w:rPr>
          <w:rFonts w:hint="eastAsia" w:ascii="楷体" w:hAnsi="楷体" w:eastAsia="楷体" w:cs="楷体"/>
          <w:color w:val="000000"/>
          <w:kern w:val="0"/>
          <w:sz w:val="32"/>
          <w:szCs w:val="32"/>
        </w:rPr>
        <w:t>（款）机关事业单位基本养老保险缴费支出（项）：</w:t>
      </w:r>
      <w:r>
        <w:rPr>
          <w:rFonts w:hint="eastAsia" w:ascii="仿宋_GB2312" w:hAnsi="仿宋_GB2312" w:eastAsia="仿宋_GB2312" w:cs="仿宋_GB2312"/>
          <w:color w:val="000000"/>
          <w:kern w:val="0"/>
          <w:sz w:val="32"/>
          <w:szCs w:val="32"/>
        </w:rPr>
        <w:t>指部门实施养老保险制度由单位缴纳的养老保险费的支出。 </w:t>
      </w:r>
    </w:p>
    <w:p w14:paraId="266A18EA">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eastAsia="zh-CN"/>
        </w:rPr>
      </w:pPr>
      <w:r>
        <w:rPr>
          <w:rFonts w:hint="eastAsia" w:ascii="楷体" w:hAnsi="楷体" w:eastAsia="楷体" w:cs="楷体"/>
          <w:color w:val="000000"/>
          <w:kern w:val="0"/>
          <w:sz w:val="32"/>
          <w:szCs w:val="32"/>
          <w:lang w:eastAsia="zh-CN"/>
        </w:rPr>
        <w:t>（十一）</w:t>
      </w:r>
      <w:r>
        <w:rPr>
          <w:rFonts w:hint="eastAsia" w:ascii="楷体" w:hAnsi="楷体" w:eastAsia="楷体" w:cs="楷体"/>
          <w:color w:val="000000"/>
          <w:kern w:val="0"/>
          <w:sz w:val="32"/>
          <w:szCs w:val="32"/>
        </w:rPr>
        <w:t>社会保障和就业（类）行政事业单位</w:t>
      </w:r>
      <w:r>
        <w:rPr>
          <w:rFonts w:hint="eastAsia" w:ascii="楷体" w:hAnsi="楷体" w:eastAsia="楷体" w:cs="楷体"/>
          <w:color w:val="000000"/>
          <w:kern w:val="0"/>
          <w:sz w:val="32"/>
          <w:szCs w:val="32"/>
          <w:lang w:eastAsia="zh-CN"/>
        </w:rPr>
        <w:t>养老支出</w:t>
      </w:r>
      <w:r>
        <w:rPr>
          <w:rFonts w:hint="eastAsia" w:ascii="楷体" w:hAnsi="楷体" w:eastAsia="楷体" w:cs="楷体"/>
          <w:color w:val="000000"/>
          <w:kern w:val="0"/>
          <w:sz w:val="32"/>
          <w:szCs w:val="32"/>
        </w:rPr>
        <w:t>（款）机关事业单位职业年金缴费支出（项）：</w:t>
      </w:r>
      <w:r>
        <w:rPr>
          <w:rFonts w:hint="eastAsia" w:ascii="仿宋_GB2312" w:hAnsi="仿宋_GB2312" w:eastAsia="仿宋_GB2312" w:cs="仿宋_GB2312"/>
          <w:color w:val="000000"/>
          <w:kern w:val="0"/>
          <w:sz w:val="32"/>
          <w:szCs w:val="32"/>
        </w:rPr>
        <w:t>指部门实施养老保险制度由单位缴纳的职业年金的支出。 </w:t>
      </w:r>
    </w:p>
    <w:p w14:paraId="41583891">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eastAsia="zh-CN"/>
        </w:rPr>
      </w:pPr>
      <w:r>
        <w:rPr>
          <w:rFonts w:hint="eastAsia" w:ascii="楷体" w:hAnsi="楷体" w:eastAsia="楷体" w:cs="楷体"/>
          <w:color w:val="000000"/>
          <w:kern w:val="0"/>
          <w:sz w:val="32"/>
          <w:szCs w:val="32"/>
          <w:lang w:eastAsia="zh-CN"/>
        </w:rPr>
        <w:t>（十二）</w:t>
      </w:r>
      <w:r>
        <w:rPr>
          <w:rFonts w:hint="eastAsia" w:ascii="楷体" w:hAnsi="楷体" w:eastAsia="楷体" w:cs="楷体"/>
          <w:color w:val="000000"/>
          <w:kern w:val="0"/>
          <w:sz w:val="32"/>
          <w:szCs w:val="32"/>
        </w:rPr>
        <w:t>社会保障和就业（类）其他社会保障和就业（款）其他社会保障和就业支出（项）：</w:t>
      </w:r>
      <w:r>
        <w:rPr>
          <w:rFonts w:hint="eastAsia" w:ascii="仿宋_GB2312" w:hAnsi="仿宋_GB2312" w:eastAsia="仿宋_GB2312" w:cs="仿宋_GB2312"/>
          <w:color w:val="000000"/>
          <w:kern w:val="0"/>
          <w:sz w:val="32"/>
          <w:szCs w:val="32"/>
        </w:rPr>
        <w:t>指除上述项目外，</w:t>
      </w:r>
      <w:r>
        <w:rPr>
          <w:rFonts w:hint="eastAsia" w:ascii="仿宋_GB2312" w:hAnsi="仿宋_GB2312" w:eastAsia="仿宋_GB2312" w:cs="仿宋_GB2312"/>
          <w:color w:val="000000"/>
          <w:kern w:val="0"/>
          <w:sz w:val="32"/>
          <w:szCs w:val="32"/>
          <w:lang w:eastAsia="zh-CN"/>
        </w:rPr>
        <w:t>用于社会保障和就业</w:t>
      </w:r>
      <w:r>
        <w:rPr>
          <w:rFonts w:hint="eastAsia" w:ascii="仿宋_GB2312" w:hAnsi="仿宋_GB2312" w:eastAsia="仿宋_GB2312" w:cs="仿宋_GB2312"/>
          <w:color w:val="000000"/>
          <w:kern w:val="0"/>
          <w:sz w:val="32"/>
          <w:szCs w:val="32"/>
        </w:rPr>
        <w:t>方面的支出。 </w:t>
      </w:r>
    </w:p>
    <w:p w14:paraId="00DBE950">
      <w:pPr>
        <w:widowControl/>
        <w:numPr>
          <w:ilvl w:val="0"/>
          <w:numId w:val="0"/>
        </w:numPr>
        <w:shd w:val="clear" w:color="auto" w:fill="FFFFFF"/>
        <w:ind w:firstLine="640" w:firstLineChars="200"/>
        <w:jc w:val="left"/>
        <w:rPr>
          <w:rFonts w:hint="eastAsia" w:ascii="仿宋_GB2312" w:hAnsi="仿宋_GB2312" w:eastAsia="仿宋_GB2312" w:cs="仿宋_GB2312"/>
          <w:color w:val="000000"/>
          <w:kern w:val="0"/>
          <w:sz w:val="32"/>
          <w:szCs w:val="32"/>
          <w:lang w:val="en-US" w:eastAsia="zh-CN"/>
        </w:rPr>
      </w:pPr>
      <w:r>
        <w:rPr>
          <w:rFonts w:hint="eastAsia" w:ascii="楷体" w:hAnsi="楷体" w:eastAsia="楷体" w:cs="楷体"/>
          <w:color w:val="000000"/>
          <w:kern w:val="0"/>
          <w:sz w:val="32"/>
          <w:szCs w:val="32"/>
          <w:lang w:eastAsia="zh-CN"/>
        </w:rPr>
        <w:t>（十三）卫生健康支出</w:t>
      </w:r>
      <w:r>
        <w:rPr>
          <w:rFonts w:hint="eastAsia" w:ascii="楷体" w:hAnsi="楷体" w:eastAsia="楷体" w:cs="楷体"/>
          <w:color w:val="000000"/>
          <w:kern w:val="0"/>
          <w:sz w:val="32"/>
          <w:szCs w:val="32"/>
        </w:rPr>
        <w:t>（类）行政事业单位医疗（款）</w:t>
      </w:r>
      <w:r>
        <w:rPr>
          <w:rFonts w:hint="eastAsia" w:ascii="楷体" w:hAnsi="楷体" w:eastAsia="楷体" w:cs="楷体"/>
          <w:color w:val="000000"/>
          <w:kern w:val="0"/>
          <w:sz w:val="32"/>
          <w:szCs w:val="32"/>
          <w:lang w:eastAsia="zh-CN"/>
        </w:rPr>
        <w:t>事业</w:t>
      </w:r>
      <w:r>
        <w:rPr>
          <w:rFonts w:hint="eastAsia" w:ascii="楷体" w:hAnsi="楷体" w:eastAsia="楷体" w:cs="楷体"/>
          <w:color w:val="000000"/>
          <w:kern w:val="0"/>
          <w:sz w:val="32"/>
          <w:szCs w:val="32"/>
        </w:rPr>
        <w:t>单位医疗（项）：</w:t>
      </w:r>
      <w:r>
        <w:rPr>
          <w:rFonts w:hint="eastAsia" w:ascii="仿宋_GB2312" w:hAnsi="仿宋_GB2312" w:eastAsia="仿宋_GB2312" w:cs="仿宋_GB2312"/>
          <w:color w:val="000000"/>
          <w:kern w:val="0"/>
          <w:sz w:val="32"/>
          <w:szCs w:val="32"/>
        </w:rPr>
        <w:t>指</w:t>
      </w:r>
      <w:r>
        <w:rPr>
          <w:rFonts w:hint="eastAsia" w:ascii="仿宋_GB2312" w:hAnsi="仿宋_GB2312" w:eastAsia="仿宋_GB2312" w:cs="仿宋_GB2312"/>
          <w:color w:val="000000"/>
          <w:kern w:val="0"/>
          <w:sz w:val="32"/>
          <w:szCs w:val="32"/>
          <w:lang w:eastAsia="zh-CN"/>
        </w:rPr>
        <w:t>事业单位基本医疗保险缴费，未参加医疗保险的事业单位的公费医疗经费，按国家规定享受离休人员待遇的医疗经费</w:t>
      </w:r>
      <w:r>
        <w:rPr>
          <w:rFonts w:hint="eastAsia" w:ascii="仿宋_GB2312" w:hAnsi="仿宋_GB2312" w:eastAsia="仿宋_GB2312" w:cs="仿宋_GB2312"/>
          <w:color w:val="000000"/>
          <w:kern w:val="0"/>
          <w:sz w:val="32"/>
          <w:szCs w:val="32"/>
        </w:rPr>
        <w:t>。 </w:t>
      </w:r>
      <w:r>
        <w:rPr>
          <w:rFonts w:hint="eastAsia" w:ascii="仿宋_GB2312" w:hAnsi="仿宋_GB2312" w:eastAsia="仿宋_GB2312" w:cs="仿宋_GB2312"/>
          <w:color w:val="000000"/>
          <w:kern w:val="0"/>
          <w:sz w:val="32"/>
          <w:szCs w:val="32"/>
          <w:lang w:val="en-US" w:eastAsia="zh-CN"/>
        </w:rPr>
        <w:t xml:space="preserve"> </w:t>
      </w:r>
    </w:p>
    <w:p w14:paraId="46082BD4">
      <w:pPr>
        <w:widowControl/>
        <w:numPr>
          <w:ilvl w:val="0"/>
          <w:numId w:val="0"/>
        </w:numPr>
        <w:shd w:val="clear" w:color="auto" w:fill="FFFFFF"/>
        <w:jc w:val="left"/>
        <w:rPr>
          <w:rFonts w:hint="eastAsia" w:ascii="仿宋_GB2312" w:hAnsi="仿宋_GB2312" w:eastAsia="仿宋_GB2312" w:cs="仿宋_GB2312"/>
          <w:color w:val="000000"/>
          <w:kern w:val="0"/>
          <w:sz w:val="32"/>
          <w:szCs w:val="32"/>
          <w:lang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 xml:space="preserve"> </w:t>
      </w:r>
      <w:r>
        <w:rPr>
          <w:rFonts w:hint="eastAsia" w:ascii="楷体" w:hAnsi="楷体" w:eastAsia="楷体" w:cs="楷体"/>
          <w:color w:val="000000"/>
          <w:kern w:val="0"/>
          <w:sz w:val="32"/>
          <w:szCs w:val="32"/>
          <w:lang w:val="en-US" w:eastAsia="zh-CN"/>
        </w:rPr>
        <w:t>（十四）</w:t>
      </w:r>
      <w:r>
        <w:rPr>
          <w:rFonts w:hint="eastAsia" w:ascii="楷体" w:hAnsi="楷体" w:eastAsia="楷体" w:cs="楷体"/>
          <w:color w:val="000000"/>
          <w:kern w:val="0"/>
          <w:sz w:val="32"/>
          <w:szCs w:val="32"/>
        </w:rPr>
        <w:t>住房保障（类）住房改革支出（款）住房公积金（项）：</w:t>
      </w:r>
      <w:r>
        <w:rPr>
          <w:rFonts w:hint="eastAsia" w:ascii="仿宋_GB2312" w:hAnsi="仿宋_GB2312" w:eastAsia="仿宋_GB2312" w:cs="仿宋_GB2312"/>
          <w:color w:val="000000"/>
          <w:kern w:val="0"/>
          <w:sz w:val="32"/>
          <w:szCs w:val="32"/>
        </w:rPr>
        <w:t>指由单位及其在职职工按规定缴存的住房公积金支出。 </w:t>
      </w:r>
    </w:p>
    <w:p w14:paraId="1F589297">
      <w:pPr>
        <w:widowControl/>
        <w:numPr>
          <w:ilvl w:val="0"/>
          <w:numId w:val="0"/>
        </w:numPr>
        <w:shd w:val="clear" w:color="auto" w:fill="FFFFFF"/>
        <w:jc w:val="left"/>
        <w:rPr>
          <w:rFonts w:hint="eastAsia" w:ascii="仿宋_GB2312" w:hAnsi="仿宋_GB2312" w:eastAsia="仿宋_GB2312" w:cs="仿宋_GB2312"/>
          <w:color w:val="000000"/>
          <w:kern w:val="0"/>
          <w:sz w:val="32"/>
          <w:szCs w:val="32"/>
          <w:lang w:eastAsia="zh-CN"/>
        </w:rPr>
      </w:pPr>
      <w:r>
        <w:rPr>
          <w:rFonts w:hint="eastAsia" w:ascii="仿宋" w:hAnsi="仿宋" w:eastAsia="仿宋" w:cs="宋体"/>
          <w:color w:val="000000"/>
          <w:kern w:val="0"/>
          <w:sz w:val="32"/>
          <w:szCs w:val="32"/>
        </w:rPr>
        <w:t>　　</w:t>
      </w:r>
      <w:r>
        <w:rPr>
          <w:rFonts w:hint="eastAsia" w:ascii="楷体" w:hAnsi="楷体" w:eastAsia="楷体" w:cs="楷体"/>
          <w:color w:val="000000"/>
          <w:kern w:val="0"/>
          <w:sz w:val="32"/>
          <w:szCs w:val="32"/>
          <w:lang w:eastAsia="zh-CN"/>
        </w:rPr>
        <w:t>（十五）</w:t>
      </w:r>
      <w:r>
        <w:rPr>
          <w:rFonts w:hint="eastAsia" w:ascii="楷体" w:hAnsi="楷体" w:eastAsia="楷体" w:cs="楷体"/>
          <w:color w:val="000000"/>
          <w:kern w:val="0"/>
          <w:sz w:val="32"/>
          <w:szCs w:val="32"/>
        </w:rPr>
        <w:t>住房保障（类）城乡社区住宅（款）住房公积金管理（项）：</w:t>
      </w:r>
      <w:r>
        <w:rPr>
          <w:rFonts w:hint="eastAsia" w:ascii="仿宋_GB2312" w:hAnsi="仿宋_GB2312" w:eastAsia="仿宋_GB2312" w:cs="仿宋_GB2312"/>
          <w:color w:val="000000"/>
          <w:kern w:val="0"/>
          <w:sz w:val="32"/>
          <w:szCs w:val="32"/>
        </w:rPr>
        <w:t>指经财政部门批准用于住房公积金管理机关的管理费用支出。 </w:t>
      </w:r>
    </w:p>
    <w:p w14:paraId="20E8BD7F">
      <w:pPr>
        <w:widowControl/>
        <w:numPr>
          <w:ilvl w:val="0"/>
          <w:numId w:val="0"/>
        </w:numPr>
        <w:shd w:val="clear" w:color="auto" w:fill="FFFFFF"/>
        <w:jc w:val="left"/>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rPr>
        <w:t>　　</w:t>
      </w:r>
      <w:r>
        <w:rPr>
          <w:rFonts w:hint="eastAsia" w:ascii="楷体" w:hAnsi="楷体" w:eastAsia="楷体" w:cs="楷体"/>
          <w:color w:val="000000"/>
          <w:kern w:val="0"/>
          <w:sz w:val="32"/>
          <w:szCs w:val="32"/>
          <w:lang w:eastAsia="zh-CN"/>
        </w:rPr>
        <w:t>（十六）</w:t>
      </w:r>
      <w:r>
        <w:rPr>
          <w:rFonts w:hint="eastAsia" w:ascii="楷体" w:hAnsi="楷体" w:eastAsia="楷体" w:cs="楷体"/>
          <w:color w:val="000000"/>
          <w:kern w:val="0"/>
          <w:sz w:val="32"/>
          <w:szCs w:val="32"/>
        </w:rPr>
        <w:t>基本支出：</w:t>
      </w:r>
      <w:r>
        <w:rPr>
          <w:rFonts w:hint="eastAsia" w:ascii="仿宋_GB2312" w:hAnsi="仿宋_GB2312" w:eastAsia="仿宋_GB2312" w:cs="仿宋_GB2312"/>
          <w:color w:val="000000"/>
          <w:kern w:val="0"/>
          <w:sz w:val="32"/>
          <w:szCs w:val="32"/>
        </w:rPr>
        <w:t>指为保证机构正常运转，完成日常工作任务而发生的人员支出和公用支出。</w:t>
      </w:r>
      <w:r>
        <w:rPr>
          <w:rFonts w:hint="eastAsia" w:ascii="仿宋" w:hAnsi="仿宋" w:eastAsia="仿宋" w:cs="宋体"/>
          <w:color w:val="000000"/>
          <w:kern w:val="0"/>
          <w:sz w:val="32"/>
          <w:szCs w:val="32"/>
        </w:rPr>
        <w:t> </w:t>
      </w:r>
    </w:p>
    <w:p w14:paraId="3FB97E37">
      <w:pPr>
        <w:widowControl/>
        <w:numPr>
          <w:ilvl w:val="0"/>
          <w:numId w:val="0"/>
        </w:numPr>
        <w:shd w:val="clear" w:color="auto" w:fill="FFFFFF"/>
        <w:jc w:val="left"/>
        <w:rPr>
          <w:rFonts w:hint="eastAsia" w:ascii="仿宋_GB2312" w:hAnsi="仿宋_GB2312" w:eastAsia="仿宋_GB2312" w:cs="仿宋_GB2312"/>
          <w:color w:val="000000"/>
          <w:kern w:val="0"/>
          <w:sz w:val="32"/>
          <w:szCs w:val="32"/>
          <w:lang w:eastAsia="zh-CN"/>
        </w:rPr>
      </w:pPr>
      <w:r>
        <w:rPr>
          <w:rFonts w:hint="eastAsia" w:ascii="仿宋" w:hAnsi="仿宋" w:eastAsia="仿宋" w:cs="宋体"/>
          <w:color w:val="000000"/>
          <w:kern w:val="0"/>
          <w:sz w:val="32"/>
          <w:szCs w:val="32"/>
          <w:lang w:eastAsia="zh-CN"/>
        </w:rPr>
        <w:t>　　</w:t>
      </w:r>
      <w:r>
        <w:rPr>
          <w:rFonts w:hint="eastAsia" w:ascii="楷体" w:hAnsi="楷体" w:eastAsia="楷体" w:cs="楷体"/>
          <w:color w:val="000000"/>
          <w:kern w:val="0"/>
          <w:sz w:val="32"/>
          <w:szCs w:val="32"/>
          <w:lang w:eastAsia="zh-CN"/>
        </w:rPr>
        <w:t>（十七）</w:t>
      </w:r>
      <w:r>
        <w:rPr>
          <w:rFonts w:hint="eastAsia" w:ascii="楷体" w:hAnsi="楷体" w:eastAsia="楷体" w:cs="楷体"/>
          <w:color w:val="000000"/>
          <w:kern w:val="0"/>
          <w:sz w:val="32"/>
          <w:szCs w:val="32"/>
        </w:rPr>
        <w:t>项目支出：</w:t>
      </w:r>
      <w:r>
        <w:rPr>
          <w:rFonts w:hint="eastAsia" w:ascii="仿宋_GB2312" w:hAnsi="仿宋_GB2312" w:eastAsia="仿宋_GB2312" w:cs="仿宋_GB2312"/>
          <w:color w:val="000000"/>
          <w:kern w:val="0"/>
          <w:sz w:val="32"/>
          <w:szCs w:val="32"/>
        </w:rPr>
        <w:t>指在基本支出之外为完成特定行政任务和事业发展目标所发生的支出。 </w:t>
      </w:r>
    </w:p>
    <w:p w14:paraId="0270FE1E">
      <w:pPr>
        <w:widowControl/>
        <w:numPr>
          <w:ilvl w:val="0"/>
          <w:numId w:val="0"/>
        </w:numPr>
        <w:shd w:val="clear" w:color="auto" w:fill="FFFFFF"/>
        <w:jc w:val="left"/>
        <w:rPr>
          <w:rFonts w:hint="eastAsia" w:ascii="仿宋_GB2312" w:hAnsi="仿宋_GB2312" w:eastAsia="仿宋_GB2312" w:cs="仿宋_GB2312"/>
          <w:color w:val="000000"/>
          <w:kern w:val="0"/>
          <w:sz w:val="32"/>
          <w:szCs w:val="32"/>
          <w:lang w:val="en-US" w:eastAsia="zh-CN"/>
        </w:rPr>
      </w:pPr>
      <w:r>
        <w:rPr>
          <w:rFonts w:hint="eastAsia" w:ascii="仿宋" w:hAnsi="仿宋" w:eastAsia="仿宋" w:cs="宋体"/>
          <w:color w:val="000000"/>
          <w:kern w:val="0"/>
          <w:sz w:val="32"/>
          <w:szCs w:val="32"/>
        </w:rPr>
        <w:t>　</w:t>
      </w:r>
      <w:r>
        <w:rPr>
          <w:rFonts w:hint="eastAsia" w:ascii="仿宋" w:hAnsi="仿宋" w:eastAsia="仿宋" w:cs="宋体"/>
          <w:color w:val="000000"/>
          <w:kern w:val="0"/>
          <w:sz w:val="32"/>
          <w:szCs w:val="32"/>
          <w:lang w:val="en-US" w:eastAsia="zh-CN"/>
        </w:rPr>
        <w:t xml:space="preserve"> </w:t>
      </w:r>
      <w:r>
        <w:rPr>
          <w:rFonts w:hint="eastAsia" w:ascii="楷体" w:hAnsi="楷体" w:eastAsia="楷体" w:cs="楷体"/>
          <w:color w:val="000000"/>
          <w:kern w:val="0"/>
          <w:sz w:val="32"/>
          <w:szCs w:val="32"/>
          <w:lang w:val="en-US" w:eastAsia="zh-CN"/>
        </w:rPr>
        <w:t>（十八）“三公”经费：</w:t>
      </w:r>
      <w:r>
        <w:rPr>
          <w:rFonts w:hint="eastAsia" w:ascii="仿宋_GB2312" w:hAnsi="仿宋_GB2312" w:eastAsia="仿宋_GB2312" w:cs="仿宋_GB2312"/>
          <w:color w:val="000000"/>
          <w:kern w:val="0"/>
          <w:sz w:val="32"/>
          <w:szCs w:val="32"/>
          <w:lang w:val="en-US" w:eastAsia="zh-CN"/>
        </w:rPr>
        <w:t>纳入预算管理的“三公”经费，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牌照费）及单位按规定保留的公务用车燃料费、维修费、过路过桥费、保险费、安全奖励费用等支出；公务接待费反映单位按规定开支的各类公务接待（含外宾接待）支出。</w:t>
      </w:r>
    </w:p>
    <w:p w14:paraId="43D94864">
      <w:pPr>
        <w:rPr>
          <w:rFonts w:hint="eastAsia" w:ascii="仿宋" w:hAnsi="仿宋" w:eastAsia="仿宋"/>
          <w:sz w:val="32"/>
          <w:szCs w:val="32"/>
        </w:rPr>
      </w:pPr>
      <w:r>
        <w:rPr>
          <w:rFonts w:hint="eastAsia" w:ascii="仿宋" w:hAnsi="仿宋" w:eastAsia="仿宋"/>
          <w:sz w:val="32"/>
          <w:szCs w:val="32"/>
        </w:rPr>
        <w:t xml:space="preserve">                             </w:t>
      </w:r>
    </w:p>
    <w:p w14:paraId="72776E71">
      <w:pPr>
        <w:rPr>
          <w:rFonts w:hint="eastAsia" w:ascii="仿宋" w:hAnsi="仿宋" w:eastAsia="仿宋"/>
          <w:sz w:val="32"/>
          <w:szCs w:val="32"/>
        </w:rPr>
      </w:pPr>
    </w:p>
    <w:p w14:paraId="5B39386A">
      <w:pPr>
        <w:numPr>
          <w:ilvl w:val="0"/>
          <w:numId w:val="0"/>
        </w:numPr>
        <w:spacing w:line="600" w:lineRule="exact"/>
        <w:rPr>
          <w:rFonts w:hint="eastAsia" w:ascii="仿宋" w:hAnsi="仿宋" w:eastAsia="仿宋" w:cs="Times New Roman"/>
          <w:sz w:val="32"/>
          <w:szCs w:val="32"/>
          <w:lang w:val="en-US" w:eastAsia="zh-CN"/>
        </w:rPr>
      </w:pPr>
    </w:p>
    <w:p w14:paraId="3900D86B">
      <w:pPr>
        <w:numPr>
          <w:ilvl w:val="0"/>
          <w:numId w:val="0"/>
        </w:numPr>
        <w:spacing w:line="600" w:lineRule="exact"/>
        <w:rPr>
          <w:rFonts w:hint="eastAsia" w:ascii="仿宋" w:hAnsi="仿宋" w:eastAsia="仿宋" w:cs="Times New Roman"/>
          <w:sz w:val="32"/>
          <w:szCs w:val="32"/>
          <w:lang w:val="en-US" w:eastAsia="zh-CN"/>
        </w:rPr>
      </w:pPr>
    </w:p>
    <w:sectPr>
      <w:pgSz w:w="11906" w:h="16838"/>
      <w:pgMar w:top="1440" w:right="1800" w:bottom="1440" w:left="1576"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A4548E-5A1A-4918-B3A7-BB39734A5C2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71C8164F-E415-46B6-9424-DE931EA0C465}"/>
  </w:font>
  <w:font w:name="仿宋_GB2312">
    <w:panose1 w:val="02010609030101010101"/>
    <w:charset w:val="86"/>
    <w:family w:val="modern"/>
    <w:pitch w:val="default"/>
    <w:sig w:usb0="00000001" w:usb1="080E0000" w:usb2="00000000" w:usb3="00000000" w:csb0="00040000" w:csb1="00000000"/>
    <w:embedRegular r:id="rId3" w:fontKey="{F73F9C23-9231-4283-B135-9AE484A9272B}"/>
  </w:font>
  <w:font w:name="Dialog . plai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E0000" w:usb2="00000000" w:usb3="00000000" w:csb0="00040000" w:csb1="00000000"/>
    <w:embedRegular r:id="rId4" w:fontKey="{4C6EAECB-C3A6-4AB1-A0CE-47418F53469E}"/>
  </w:font>
  <w:font w:name="楷体_GB2312">
    <w:panose1 w:val="02010609030101010101"/>
    <w:charset w:val="86"/>
    <w:family w:val="auto"/>
    <w:pitch w:val="default"/>
    <w:sig w:usb0="00000001" w:usb1="080E0000" w:usb2="00000000" w:usb3="00000000" w:csb0="00040000" w:csb1="00000000"/>
    <w:embedRegular r:id="rId5" w:fontKey="{2CAAE2EB-E395-4392-AD1B-F102625A01CB}"/>
  </w:font>
  <w:font w:name="楷体">
    <w:panose1 w:val="02010609060101010101"/>
    <w:charset w:val="86"/>
    <w:family w:val="auto"/>
    <w:pitch w:val="default"/>
    <w:sig w:usb0="800002BF" w:usb1="38CF7CFA" w:usb2="00000016" w:usb3="00000000" w:csb0="00040001" w:csb1="00000000"/>
    <w:embedRegular r:id="rId6" w:fontKey="{FA8D7006-1344-4579-A4A1-3B556965E1A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8E3DAA"/>
    <w:multiLevelType w:val="singleLevel"/>
    <w:tmpl w:val="848E3DAA"/>
    <w:lvl w:ilvl="0" w:tentative="0">
      <w:start w:val="3"/>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kYjUyODdiMjRjOTlmYzFkZDk5NjdjZTdiMmNkNjIifQ=="/>
  </w:docVars>
  <w:rsids>
    <w:rsidRoot w:val="683477C0"/>
    <w:rsid w:val="00BF14AF"/>
    <w:rsid w:val="028868DE"/>
    <w:rsid w:val="02AD31C8"/>
    <w:rsid w:val="02DD236B"/>
    <w:rsid w:val="048605CC"/>
    <w:rsid w:val="05183AA4"/>
    <w:rsid w:val="057B4DD5"/>
    <w:rsid w:val="07596F6F"/>
    <w:rsid w:val="092F07AF"/>
    <w:rsid w:val="09E57A38"/>
    <w:rsid w:val="0A481E7F"/>
    <w:rsid w:val="0A65586D"/>
    <w:rsid w:val="0C114ED0"/>
    <w:rsid w:val="0E1F4392"/>
    <w:rsid w:val="0E4806A0"/>
    <w:rsid w:val="105E7B8B"/>
    <w:rsid w:val="161810CD"/>
    <w:rsid w:val="16D1671C"/>
    <w:rsid w:val="192D3C53"/>
    <w:rsid w:val="1A0C71CD"/>
    <w:rsid w:val="1A1E7EBE"/>
    <w:rsid w:val="1BA55384"/>
    <w:rsid w:val="1D5F1562"/>
    <w:rsid w:val="1DA63635"/>
    <w:rsid w:val="1E5707F1"/>
    <w:rsid w:val="1EFD1033"/>
    <w:rsid w:val="1F220A99"/>
    <w:rsid w:val="1F3F33F9"/>
    <w:rsid w:val="24816890"/>
    <w:rsid w:val="249D19DF"/>
    <w:rsid w:val="25E02546"/>
    <w:rsid w:val="26244A6A"/>
    <w:rsid w:val="28BA1164"/>
    <w:rsid w:val="29104342"/>
    <w:rsid w:val="2CFB2E19"/>
    <w:rsid w:val="2D494024"/>
    <w:rsid w:val="2DE71083"/>
    <w:rsid w:val="2E75471A"/>
    <w:rsid w:val="2E9F315C"/>
    <w:rsid w:val="2F4F1EE3"/>
    <w:rsid w:val="316F5DC0"/>
    <w:rsid w:val="362F6A44"/>
    <w:rsid w:val="38CC7F9C"/>
    <w:rsid w:val="399B2148"/>
    <w:rsid w:val="3AB03204"/>
    <w:rsid w:val="3CF550FE"/>
    <w:rsid w:val="3F473ED8"/>
    <w:rsid w:val="40275488"/>
    <w:rsid w:val="417E5BAB"/>
    <w:rsid w:val="42424E2B"/>
    <w:rsid w:val="42D07614"/>
    <w:rsid w:val="43770B04"/>
    <w:rsid w:val="44B37668"/>
    <w:rsid w:val="45494B7F"/>
    <w:rsid w:val="458D457A"/>
    <w:rsid w:val="479E67C5"/>
    <w:rsid w:val="48847F4B"/>
    <w:rsid w:val="48F52267"/>
    <w:rsid w:val="49184175"/>
    <w:rsid w:val="499867D8"/>
    <w:rsid w:val="4C846A8C"/>
    <w:rsid w:val="4E4708E5"/>
    <w:rsid w:val="5207113B"/>
    <w:rsid w:val="538B4884"/>
    <w:rsid w:val="53C01FC3"/>
    <w:rsid w:val="53C342A4"/>
    <w:rsid w:val="54AC3D2B"/>
    <w:rsid w:val="54D2203E"/>
    <w:rsid w:val="564A338C"/>
    <w:rsid w:val="59606C85"/>
    <w:rsid w:val="5A56101C"/>
    <w:rsid w:val="5CC20BEA"/>
    <w:rsid w:val="5DC43CD3"/>
    <w:rsid w:val="5EEF2900"/>
    <w:rsid w:val="5FC14CC9"/>
    <w:rsid w:val="6069670F"/>
    <w:rsid w:val="60762418"/>
    <w:rsid w:val="617C3889"/>
    <w:rsid w:val="61A900F8"/>
    <w:rsid w:val="61D218D0"/>
    <w:rsid w:val="63660521"/>
    <w:rsid w:val="66A73D82"/>
    <w:rsid w:val="683477C0"/>
    <w:rsid w:val="693B5C47"/>
    <w:rsid w:val="6A1840E9"/>
    <w:rsid w:val="6ACB7ECE"/>
    <w:rsid w:val="6BB809D3"/>
    <w:rsid w:val="6BF572CD"/>
    <w:rsid w:val="6C223454"/>
    <w:rsid w:val="6C3C7EB4"/>
    <w:rsid w:val="70C927D8"/>
    <w:rsid w:val="720C002E"/>
    <w:rsid w:val="76EC7118"/>
    <w:rsid w:val="781C41BF"/>
    <w:rsid w:val="785618F1"/>
    <w:rsid w:val="787F34CB"/>
    <w:rsid w:val="7B316B71"/>
    <w:rsid w:val="7BC97448"/>
    <w:rsid w:val="7CBD2AF5"/>
    <w:rsid w:val="7CD31403"/>
    <w:rsid w:val="7FC07B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oc 1"/>
    <w:basedOn w:val="1"/>
    <w:next w:val="1"/>
    <w:semiHidden/>
    <w:qFormat/>
    <w:uiPriority w:val="99"/>
  </w:style>
  <w:style w:type="paragraph" w:styleId="6">
    <w:name w:val="Body Text"/>
    <w:basedOn w:val="1"/>
    <w:qFormat/>
    <w:uiPriority w:val="0"/>
    <w:pPr>
      <w:spacing w:before="180" w:after="180"/>
    </w:pPr>
  </w:style>
  <w:style w:type="paragraph" w:styleId="7">
    <w:name w:val="footer"/>
    <w:basedOn w:val="1"/>
    <w:qFormat/>
    <w:uiPriority w:val="0"/>
    <w:pPr>
      <w:tabs>
        <w:tab w:val="center" w:pos="4153"/>
        <w:tab w:val="right" w:pos="8306"/>
      </w:tabs>
      <w:snapToGrid w:val="0"/>
      <w:spacing w:line="240" w:lineRule="atLeast"/>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customStyle="1" w:styleId="11">
    <w:name w:val="〖C01〗正文"/>
    <w:basedOn w:val="1"/>
    <w:qFormat/>
    <w:uiPriority w:val="0"/>
    <w:pPr>
      <w:topLinePunct/>
      <w:spacing w:line="600" w:lineRule="exact"/>
      <w:ind w:firstLine="640" w:firstLineChars="200"/>
    </w:pPr>
    <w:rPr>
      <w:rFonts w:ascii="仿宋_GB2312" w:eastAsia="仿宋_GB2312"/>
      <w:sz w:val="32"/>
      <w:szCs w:val="32"/>
    </w:rPr>
  </w:style>
  <w:style w:type="paragraph" w:customStyle="1" w:styleId="12">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2"/>
      <w:lang w:val="en-US" w:eastAsia="zh-CN" w:bidi="ar-SA"/>
    </w:rPr>
  </w:style>
  <w:style w:type="character" w:customStyle="1" w:styleId="13">
    <w:name w:val="font61"/>
    <w:basedOn w:val="10"/>
    <w:qFormat/>
    <w:uiPriority w:val="0"/>
    <w:rPr>
      <w:rFonts w:ascii="Dialog . plain" w:hAnsi="Dialog . plain" w:eastAsia="Dialog . plain" w:cs="Dialog . plai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1673</Words>
  <Characters>1747</Characters>
  <Lines>0</Lines>
  <Paragraphs>0</Paragraphs>
  <TotalTime>19</TotalTime>
  <ScaleCrop>false</ScaleCrop>
  <LinksUpToDate>false</LinksUpToDate>
  <CharactersWithSpaces>1758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2022-04-15T07:41:00Z</dcterms:created>
  <dc:creator>Administrator</dc:creator>
  <cp:lastModifiedBy>碧云天</cp:lastModifiedBy>
  <cp:lastPrinted>2015-05-14T07:38:00Z</cp:lastPrinted>
  <dcterms:modified xsi:type="dcterms:W3CDTF">2025-05-15T02:42:26Z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0482E30BE9924ED4A9A87F7D72983E75_13</vt:lpwstr>
  </property>
  <property fmtid="{D5CDD505-2E9C-101B-9397-08002B2CF9AE}" pid="4" name="KSOTemplateDocerSaveRecord">
    <vt:lpwstr>eyJoZGlkIjoiNzI2ZGI0OGUzMDAzMzk0YmE1OTYyMDVlZGMwMmYyODYiLCJ1c2VySWQiOiIzNjIzMDEzMzQifQ==</vt:lpwstr>
  </property>
</Properties>
</file>