
<file path=[Content_Types].xml><?xml version="1.0" encoding="utf-8"?>
<Types xmlns="http://schemas.openxmlformats.org/package/2006/content-types">
  <Default Extension="xlsx" ContentType="application/vnd.openxmlformats-officedocument.spreadsheetml.shee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02C1BA">
      <w:pPr>
        <w:spacing w:line="600" w:lineRule="exact"/>
        <w:jc w:val="both"/>
        <w:outlineLvl w:val="0"/>
        <w:rPr>
          <w:rFonts w:hint="eastAsia" w:ascii="仿宋_GB2312" w:hAnsi="仿宋_GB2312" w:eastAsia="仿宋_GB2312" w:cs="仿宋_GB2312"/>
          <w:color w:val="auto"/>
          <w:sz w:val="32"/>
          <w:szCs w:val="32"/>
          <w:highlight w:val="none"/>
          <w:lang w:val="en-US" w:eastAsia="zh-CN"/>
        </w:rPr>
      </w:pPr>
      <w:bookmarkStart w:id="0" w:name="_Toc15396597"/>
      <w:bookmarkStart w:id="1" w:name="_Toc15377193"/>
      <w:bookmarkStart w:id="2" w:name="_Toc15396475"/>
      <w:bookmarkStart w:id="3" w:name="_Toc15377425"/>
      <w:bookmarkStart w:id="4" w:name="_Toc15378441"/>
      <w:bookmarkStart w:id="5" w:name="_Toc15306267"/>
    </w:p>
    <w:p w14:paraId="5845A0C6">
      <w:pPr>
        <w:adjustRightInd w:val="0"/>
        <w:snapToGrid w:val="0"/>
        <w:spacing w:line="360" w:lineRule="auto"/>
        <w:jc w:val="both"/>
        <w:outlineLvl w:val="0"/>
        <w:rPr>
          <w:rFonts w:hint="eastAsia" w:ascii="方正小标宋简体" w:hAnsi="方正小标宋简体" w:eastAsia="方正小标宋简体" w:cs="方正小标宋简体"/>
          <w:color w:val="auto"/>
          <w:sz w:val="72"/>
          <w:szCs w:val="72"/>
          <w:highlight w:val="none"/>
        </w:rPr>
      </w:pPr>
    </w:p>
    <w:p w14:paraId="4D3F3CA3">
      <w:pPr>
        <w:adjustRightInd w:val="0"/>
        <w:snapToGrid w:val="0"/>
        <w:spacing w:line="360" w:lineRule="auto"/>
        <w:jc w:val="both"/>
        <w:outlineLvl w:val="0"/>
        <w:rPr>
          <w:rFonts w:hint="eastAsia" w:ascii="方正小标宋简体" w:hAnsi="方正小标宋简体" w:eastAsia="方正小标宋简体" w:cs="方正小标宋简体"/>
          <w:color w:val="auto"/>
          <w:sz w:val="72"/>
          <w:szCs w:val="72"/>
          <w:highlight w:val="none"/>
        </w:rPr>
      </w:pPr>
    </w:p>
    <w:p w14:paraId="10C3F6E5">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r>
        <w:rPr>
          <w:rFonts w:hint="eastAsia" w:ascii="方正小标宋简体" w:hAnsi="方正小标宋简体" w:eastAsia="方正小标宋简体" w:cs="方正小标宋简体"/>
          <w:color w:val="auto"/>
          <w:sz w:val="72"/>
          <w:szCs w:val="72"/>
          <w:highlight w:val="none"/>
        </w:rPr>
        <w:t>20</w:t>
      </w:r>
      <w:r>
        <w:rPr>
          <w:rFonts w:hint="eastAsia" w:ascii="方正小标宋简体" w:hAnsi="方正小标宋简体" w:eastAsia="方正小标宋简体" w:cs="方正小标宋简体"/>
          <w:color w:val="auto"/>
          <w:sz w:val="72"/>
          <w:szCs w:val="72"/>
          <w:highlight w:val="none"/>
          <w:lang w:val="en-US" w:eastAsia="zh-CN"/>
        </w:rPr>
        <w:t>23</w:t>
      </w:r>
      <w:r>
        <w:rPr>
          <w:rFonts w:hint="eastAsia" w:ascii="方正小标宋简体" w:hAnsi="方正小标宋简体" w:eastAsia="方正小标宋简体" w:cs="方正小标宋简体"/>
          <w:color w:val="auto"/>
          <w:sz w:val="72"/>
          <w:szCs w:val="72"/>
          <w:highlight w:val="none"/>
        </w:rPr>
        <w:t>年度</w:t>
      </w:r>
      <w:bookmarkEnd w:id="0"/>
      <w:bookmarkEnd w:id="1"/>
      <w:bookmarkEnd w:id="2"/>
      <w:bookmarkEnd w:id="3"/>
      <w:bookmarkEnd w:id="4"/>
      <w:bookmarkStart w:id="6" w:name="_Toc15378442"/>
      <w:bookmarkStart w:id="7" w:name="_Toc15396598"/>
      <w:bookmarkStart w:id="8" w:name="_Toc15396476"/>
      <w:bookmarkStart w:id="9" w:name="_Toc15377426"/>
      <w:bookmarkStart w:id="10" w:name="_Toc15377194"/>
    </w:p>
    <w:p w14:paraId="1F2C73A6">
      <w:pPr>
        <w:adjustRightInd w:val="0"/>
        <w:snapToGrid w:val="0"/>
        <w:spacing w:line="360" w:lineRule="auto"/>
        <w:jc w:val="center"/>
        <w:outlineLvl w:val="0"/>
        <w:rPr>
          <w:rFonts w:hint="eastAsia" w:ascii="方正小标宋简体" w:hAnsi="方正小标宋简体" w:eastAsia="方正小标宋简体" w:cs="方正小标宋简体"/>
          <w:color w:val="000000" w:themeColor="text1"/>
          <w:sz w:val="72"/>
          <w:szCs w:val="72"/>
          <w:highlight w:val="none"/>
          <w:lang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72"/>
          <w:szCs w:val="72"/>
          <w:highlight w:val="none"/>
          <w:lang w:eastAsia="zh-CN"/>
          <w14:textFill>
            <w14:solidFill>
              <w14:schemeClr w14:val="tx1"/>
            </w14:solidFill>
          </w14:textFill>
        </w:rPr>
        <w:t>峨边彝族自治县</w:t>
      </w:r>
      <w:bookmarkEnd w:id="5"/>
      <w:bookmarkStart w:id="11" w:name="_Toc15306268"/>
      <w:r>
        <w:rPr>
          <w:rFonts w:hint="eastAsia" w:ascii="方正小标宋简体" w:hAnsi="方正小标宋简体" w:eastAsia="方正小标宋简体" w:cs="方正小标宋简体"/>
          <w:color w:val="000000" w:themeColor="text1"/>
          <w:sz w:val="72"/>
          <w:szCs w:val="72"/>
          <w:highlight w:val="none"/>
          <w:lang w:eastAsia="zh-CN"/>
          <w14:textFill>
            <w14:solidFill>
              <w14:schemeClr w14:val="tx1"/>
            </w14:solidFill>
          </w14:textFill>
        </w:rPr>
        <w:t>融媒体中心</w:t>
      </w:r>
      <w:r>
        <w:rPr>
          <w:rFonts w:hint="eastAsia" w:ascii="方正小标宋简体" w:hAnsi="方正小标宋简体" w:eastAsia="方正小标宋简体" w:cs="方正小标宋简体"/>
          <w:color w:val="000000" w:themeColor="text1"/>
          <w:sz w:val="72"/>
          <w:szCs w:val="72"/>
          <w:highlight w:val="none"/>
          <w14:textFill>
            <w14:solidFill>
              <w14:schemeClr w14:val="tx1"/>
            </w14:solidFill>
          </w14:textFill>
        </w:rPr>
        <w:t>部门决算</w:t>
      </w:r>
      <w:bookmarkEnd w:id="6"/>
      <w:bookmarkEnd w:id="7"/>
      <w:bookmarkEnd w:id="8"/>
      <w:bookmarkEnd w:id="9"/>
      <w:bookmarkEnd w:id="10"/>
      <w:bookmarkEnd w:id="11"/>
      <w:r>
        <w:rPr>
          <w:rFonts w:hint="eastAsia" w:ascii="方正小标宋简体" w:hAnsi="方正小标宋简体" w:eastAsia="方正小标宋简体" w:cs="方正小标宋简体"/>
          <w:color w:val="000000" w:themeColor="text1"/>
          <w:sz w:val="72"/>
          <w:szCs w:val="72"/>
          <w:highlight w:val="none"/>
          <w:lang w:eastAsia="zh-CN"/>
          <w14:textFill>
            <w14:solidFill>
              <w14:schemeClr w14:val="tx1"/>
            </w14:solidFill>
          </w14:textFill>
        </w:rPr>
        <w:t>编制说明</w:t>
      </w:r>
    </w:p>
    <w:p w14:paraId="5DD4418F">
      <w:pPr>
        <w:adjustRightInd w:val="0"/>
        <w:snapToGrid w:val="0"/>
        <w:spacing w:line="360" w:lineRule="auto"/>
        <w:jc w:val="center"/>
        <w:outlineLvl w:val="0"/>
        <w:rPr>
          <w:rFonts w:hint="eastAsia" w:ascii="方正小标宋简体" w:hAnsi="宋体" w:eastAsia="方正小标宋简体"/>
          <w:color w:val="000000" w:themeColor="text1"/>
          <w:sz w:val="52"/>
          <w:szCs w:val="52"/>
          <w:highlight w:val="none"/>
          <w:lang w:eastAsia="zh-CN"/>
          <w14:textFill>
            <w14:solidFill>
              <w14:schemeClr w14:val="tx1"/>
            </w14:solidFill>
          </w14:textFill>
        </w:rPr>
      </w:pPr>
    </w:p>
    <w:p w14:paraId="30F266AC">
      <w:pPr>
        <w:pStyle w:val="6"/>
        <w:ind w:left="0" w:leftChars="0" w:firstLine="0" w:firstLineChars="0"/>
        <w:rPr>
          <w:rFonts w:hint="eastAsia" w:ascii="Calibri" w:hAnsi="宋体" w:eastAsia="方正小标宋简体"/>
          <w:color w:val="000000"/>
          <w:sz w:val="72"/>
          <w:szCs w:val="72"/>
        </w:rPr>
      </w:pPr>
      <w:r>
        <w:rPr>
          <w:rFonts w:ascii="方正小标宋简体" w:hAnsi="宋体" w:eastAsia="方正小标宋简体"/>
          <w:color w:val="auto"/>
          <w:sz w:val="36"/>
          <w:szCs w:val="36"/>
          <w:highlight w:val="none"/>
        </w:rPr>
        <w:br w:type="page"/>
      </w:r>
    </w:p>
    <w:p w14:paraId="779AB63F">
      <w:pPr>
        <w:widowControl/>
        <w:ind w:firstLine="3520" w:firstLineChars="800"/>
        <w:jc w:val="both"/>
        <w:rPr>
          <w:rFonts w:hint="eastAsia" w:ascii="黑体" w:hAnsi="黑体" w:eastAsia="黑体" w:cs="黑体"/>
          <w:sz w:val="44"/>
          <w:szCs w:val="44"/>
        </w:rPr>
      </w:pPr>
      <w:r>
        <w:rPr>
          <w:rFonts w:hint="eastAsia" w:ascii="黑体" w:hAnsi="黑体" w:eastAsia="黑体" w:cs="黑体"/>
          <w:color w:val="000000"/>
          <w:sz w:val="44"/>
          <w:szCs w:val="44"/>
        </w:rPr>
        <w:t>目录</w:t>
      </w:r>
    </w:p>
    <w:p w14:paraId="3E7A326C">
      <w:pPr>
        <w:pStyle w:val="12"/>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公开时间：202</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 xml:space="preserve">年 </w:t>
      </w:r>
      <w:r>
        <w:rPr>
          <w:rFonts w:hint="eastAsia" w:ascii="仿宋_GB2312" w:hAnsi="仿宋_GB2312" w:eastAsia="仿宋_GB2312" w:cs="仿宋_GB2312"/>
          <w:sz w:val="28"/>
          <w:szCs w:val="28"/>
          <w:lang w:val="en-US" w:eastAsia="zh-CN"/>
        </w:rPr>
        <w:t>10月23日</w:t>
      </w:r>
    </w:p>
    <w:p w14:paraId="433B415B">
      <w:pPr>
        <w:pStyle w:val="24"/>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sz w:val="28"/>
          <w:szCs w:val="28"/>
        </w:rPr>
        <w:instrText xml:space="preserve"> HYPERLINK \l _Toc19718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第一部分 部门概况</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t>4</w:t>
      </w:r>
      <w:r>
        <w:rPr>
          <w:rFonts w:hint="eastAsia" w:ascii="仿宋_GB2312" w:hAnsi="仿宋_GB2312" w:eastAsia="仿宋_GB2312" w:cs="仿宋_GB2312"/>
          <w:b/>
          <w:bCs/>
          <w:sz w:val="28"/>
          <w:szCs w:val="28"/>
        </w:rPr>
        <w:fldChar w:fldCharType="end"/>
      </w:r>
    </w:p>
    <w:p w14:paraId="6DF1B54D">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_Toc23612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一、基本职能及主要工作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rPr>
        <w:fldChar w:fldCharType="end"/>
      </w:r>
    </w:p>
    <w:p w14:paraId="0ACCE9EC">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_Toc12693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二、机构设置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rPr>
        <w:fldChar w:fldCharType="end"/>
      </w:r>
    </w:p>
    <w:p w14:paraId="3C041905">
      <w:pPr>
        <w:pStyle w:val="24"/>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sz w:val="28"/>
          <w:szCs w:val="28"/>
        </w:rPr>
        <w:instrText xml:space="preserve"> HYPERLINK \l _Toc3595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第二部分 202</w:t>
      </w:r>
      <w:r>
        <w:rPr>
          <w:rFonts w:hint="eastAsia" w:ascii="仿宋_GB2312" w:hAnsi="仿宋_GB2312" w:eastAsia="仿宋_GB2312" w:cs="仿宋_GB2312"/>
          <w:b/>
          <w:bCs/>
          <w:sz w:val="28"/>
          <w:szCs w:val="28"/>
          <w:lang w:val="en-US" w:eastAsia="zh-CN"/>
        </w:rPr>
        <w:t>3</w:t>
      </w:r>
      <w:r>
        <w:rPr>
          <w:rFonts w:hint="eastAsia" w:ascii="仿宋_GB2312" w:hAnsi="仿宋_GB2312" w:eastAsia="仿宋_GB2312" w:cs="仿宋_GB2312"/>
          <w:b/>
          <w:bCs/>
          <w:sz w:val="28"/>
          <w:szCs w:val="28"/>
        </w:rPr>
        <w:t>年度部门决算情况说明</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t>5</w:t>
      </w:r>
      <w:r>
        <w:rPr>
          <w:rFonts w:hint="eastAsia" w:ascii="仿宋_GB2312" w:hAnsi="仿宋_GB2312" w:eastAsia="仿宋_GB2312" w:cs="仿宋_GB2312"/>
          <w:b/>
          <w:bCs/>
          <w:sz w:val="28"/>
          <w:szCs w:val="28"/>
        </w:rPr>
        <w:fldChar w:fldCharType="end"/>
      </w:r>
    </w:p>
    <w:p w14:paraId="37ED4877">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_Toc29402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一、 收入支出决算总体情况说明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5</w:t>
      </w:r>
      <w:r>
        <w:rPr>
          <w:rFonts w:hint="eastAsia" w:ascii="仿宋_GB2312" w:hAnsi="仿宋_GB2312" w:eastAsia="仿宋_GB2312" w:cs="仿宋_GB2312"/>
          <w:sz w:val="28"/>
          <w:szCs w:val="28"/>
        </w:rPr>
        <w:fldChar w:fldCharType="end"/>
      </w:r>
    </w:p>
    <w:p w14:paraId="694D71A4">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_Toc26318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二、 收入决算情况说明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6</w:t>
      </w:r>
      <w:r>
        <w:rPr>
          <w:rFonts w:hint="eastAsia" w:ascii="仿宋_GB2312" w:hAnsi="仿宋_GB2312" w:eastAsia="仿宋_GB2312" w:cs="仿宋_GB2312"/>
          <w:sz w:val="28"/>
          <w:szCs w:val="28"/>
        </w:rPr>
        <w:fldChar w:fldCharType="end"/>
      </w:r>
    </w:p>
    <w:p w14:paraId="0A4A93C6">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_Toc12541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三、 支出决算情况说明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6</w:t>
      </w:r>
      <w:r>
        <w:rPr>
          <w:rFonts w:hint="eastAsia" w:ascii="仿宋_GB2312" w:hAnsi="仿宋_GB2312" w:eastAsia="仿宋_GB2312" w:cs="仿宋_GB2312"/>
          <w:sz w:val="28"/>
          <w:szCs w:val="28"/>
        </w:rPr>
        <w:fldChar w:fldCharType="end"/>
      </w:r>
    </w:p>
    <w:p w14:paraId="5060D8D6">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_Toc30909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四、财政拨款收入支出决算总体情况说明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7</w:t>
      </w:r>
      <w:r>
        <w:rPr>
          <w:rFonts w:hint="eastAsia" w:ascii="仿宋_GB2312" w:hAnsi="仿宋_GB2312" w:eastAsia="仿宋_GB2312" w:cs="仿宋_GB2312"/>
          <w:sz w:val="28"/>
          <w:szCs w:val="28"/>
        </w:rPr>
        <w:fldChar w:fldCharType="end"/>
      </w:r>
    </w:p>
    <w:p w14:paraId="7DFCDBDA">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_Toc9541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五、一般公共预算财政拨款支出决算情况说明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8</w:t>
      </w:r>
      <w:r>
        <w:rPr>
          <w:rFonts w:hint="eastAsia" w:ascii="仿宋_GB2312" w:hAnsi="仿宋_GB2312" w:eastAsia="仿宋_GB2312" w:cs="仿宋_GB2312"/>
          <w:sz w:val="28"/>
          <w:szCs w:val="28"/>
        </w:rPr>
        <w:fldChar w:fldCharType="end"/>
      </w:r>
    </w:p>
    <w:p w14:paraId="4CF8CECD">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_Toc28746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六、一般公共预算财政拨款基本支出决算情况说明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10</w:t>
      </w:r>
      <w:r>
        <w:rPr>
          <w:rFonts w:hint="eastAsia" w:ascii="仿宋_GB2312" w:hAnsi="仿宋_GB2312" w:eastAsia="仿宋_GB2312" w:cs="仿宋_GB2312"/>
          <w:sz w:val="28"/>
          <w:szCs w:val="28"/>
        </w:rPr>
        <w:fldChar w:fldCharType="end"/>
      </w:r>
    </w:p>
    <w:p w14:paraId="0286CADE">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_Toc18835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七、“三公”经费财政拨款支出决算情况说明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11</w:t>
      </w:r>
      <w:r>
        <w:rPr>
          <w:rFonts w:hint="eastAsia" w:ascii="仿宋_GB2312" w:hAnsi="仿宋_GB2312" w:eastAsia="仿宋_GB2312" w:cs="仿宋_GB2312"/>
          <w:sz w:val="28"/>
          <w:szCs w:val="28"/>
        </w:rPr>
        <w:fldChar w:fldCharType="end"/>
      </w:r>
    </w:p>
    <w:p w14:paraId="4B6BCAF9">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_Toc18976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八、政府性基金预算支出决算情况说明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12</w:t>
      </w:r>
      <w:r>
        <w:rPr>
          <w:rFonts w:hint="eastAsia" w:ascii="仿宋_GB2312" w:hAnsi="仿宋_GB2312" w:eastAsia="仿宋_GB2312" w:cs="仿宋_GB2312"/>
          <w:sz w:val="28"/>
          <w:szCs w:val="28"/>
        </w:rPr>
        <w:fldChar w:fldCharType="end"/>
      </w:r>
    </w:p>
    <w:p w14:paraId="48097615">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_Toc12529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九、国有资本经营预算支出决算情况说明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12</w:t>
      </w:r>
      <w:r>
        <w:rPr>
          <w:rFonts w:hint="eastAsia" w:ascii="仿宋_GB2312" w:hAnsi="仿宋_GB2312" w:eastAsia="仿宋_GB2312" w:cs="仿宋_GB2312"/>
          <w:sz w:val="28"/>
          <w:szCs w:val="28"/>
        </w:rPr>
        <w:fldChar w:fldCharType="end"/>
      </w:r>
    </w:p>
    <w:p w14:paraId="76E12522">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_Toc23044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十、其他重要事项的情况说明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12</w:t>
      </w:r>
      <w:r>
        <w:rPr>
          <w:rFonts w:hint="eastAsia" w:ascii="仿宋_GB2312" w:hAnsi="仿宋_GB2312" w:eastAsia="仿宋_GB2312" w:cs="仿宋_GB2312"/>
          <w:sz w:val="28"/>
          <w:szCs w:val="28"/>
        </w:rPr>
        <w:fldChar w:fldCharType="end"/>
      </w:r>
    </w:p>
    <w:p w14:paraId="2C55EF2B">
      <w:pPr>
        <w:pStyle w:val="24"/>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sz w:val="28"/>
          <w:szCs w:val="28"/>
        </w:rPr>
        <w:instrText xml:space="preserve"> HYPERLINK \l _Toc16747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第三部分 名词解释</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t>16</w:t>
      </w:r>
      <w:r>
        <w:rPr>
          <w:rFonts w:hint="eastAsia" w:ascii="仿宋_GB2312" w:hAnsi="仿宋_GB2312" w:eastAsia="仿宋_GB2312" w:cs="仿宋_GB2312"/>
          <w:b/>
          <w:bCs/>
          <w:sz w:val="28"/>
          <w:szCs w:val="28"/>
        </w:rPr>
        <w:fldChar w:fldCharType="end"/>
      </w:r>
    </w:p>
    <w:p w14:paraId="261D5426">
      <w:pPr>
        <w:pStyle w:val="24"/>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sz w:val="28"/>
          <w:szCs w:val="28"/>
        </w:rPr>
        <w:instrText xml:space="preserve"> HYPERLINK \l _Toc12738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第四部分 附件</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t>18</w:t>
      </w:r>
      <w:r>
        <w:rPr>
          <w:rFonts w:hint="eastAsia" w:ascii="仿宋_GB2312" w:hAnsi="仿宋_GB2312" w:eastAsia="仿宋_GB2312" w:cs="仿宋_GB2312"/>
          <w:b/>
          <w:bCs/>
          <w:sz w:val="28"/>
          <w:szCs w:val="28"/>
        </w:rPr>
        <w:fldChar w:fldCharType="end"/>
      </w:r>
    </w:p>
    <w:p w14:paraId="7DBF370D">
      <w:pPr>
        <w:pStyle w:val="24"/>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sz w:val="28"/>
          <w:szCs w:val="28"/>
        </w:rPr>
        <w:instrText xml:space="preserve"> HYPERLINK \l _Toc32515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第五部分 附表</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t>24</w:t>
      </w:r>
      <w:r>
        <w:rPr>
          <w:rFonts w:hint="eastAsia" w:ascii="仿宋_GB2312" w:hAnsi="仿宋_GB2312" w:eastAsia="仿宋_GB2312" w:cs="仿宋_GB2312"/>
          <w:b/>
          <w:bCs/>
          <w:sz w:val="28"/>
          <w:szCs w:val="28"/>
        </w:rPr>
        <w:fldChar w:fldCharType="end"/>
      </w:r>
    </w:p>
    <w:p w14:paraId="09AF0A32">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_Toc3377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一、收入支出决算总表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p>
    <w:p w14:paraId="53A7F53C">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_Toc19843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二、收入决算表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p>
    <w:p w14:paraId="35A95472">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_Toc25385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三、支出决算表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p>
    <w:p w14:paraId="7FB6CE32">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_Toc6355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四、财政拨款收入支出决算总表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p>
    <w:p w14:paraId="2CD64843">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_Toc25777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五、财政拨款支出决算明细表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p>
    <w:p w14:paraId="2929632A">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_Toc2167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六、一般公共预算财政拨款支出决算表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p>
    <w:p w14:paraId="1A87CA39">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_Toc23861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七、一般公共预算财政拨款支出决算明细表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p>
    <w:p w14:paraId="1565B40F">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_Toc23609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八、一般公共预算财政拨款基本支出决算表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p>
    <w:p w14:paraId="0EDAE4DE">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_Toc28450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九、一般公共预算财政拨款项目支出决算表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p>
    <w:p w14:paraId="484AB26A">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_Toc12151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十、一般公共预算财政拨款“三公”经费支出决算表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p>
    <w:p w14:paraId="0AAD93AF">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_Toc18555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十一、政府性基金预算财政拨款收入支出决算表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p>
    <w:p w14:paraId="71A1A803">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_Toc24539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十二、政府性基金预算财政拨款“三公”经费支出决算表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p>
    <w:p w14:paraId="0B15AE0D">
      <w:pPr>
        <w:pStyle w:val="25"/>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_Toc24871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十三、国有资本经营预算财政拨款收入支出决算表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p>
    <w:p w14:paraId="6397670D">
      <w:pPr>
        <w:pStyle w:val="25"/>
        <w:tabs>
          <w:tab w:val="right" w:leader="dot" w:pos="8306"/>
        </w:tabs>
        <w:rPr>
          <w:rFonts w:hint="eastAsia" w:ascii="仿宋_GB2312" w:hAnsi="仿宋_GB2312" w:eastAsia="仿宋_GB2312" w:cs="仿宋_GB2312"/>
          <w:sz w:val="28"/>
          <w:szCs w:val="28"/>
        </w:rPr>
      </w:pPr>
      <w:bookmarkStart w:id="12" w:name="_Toc15377196"/>
      <w:bookmarkStart w:id="13" w:name="_Toc15396599"/>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_Toc31470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十四、国有资本经营预算财政拨款支出决算表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p>
    <w:p w14:paraId="131279B7">
      <w:pPr>
        <w:rPr>
          <w:rFonts w:hint="eastAsia" w:ascii="仿宋_GB2312" w:hAnsi="仿宋_GB2312" w:eastAsia="仿宋_GB2312" w:cs="仿宋_GB2312"/>
          <w:sz w:val="28"/>
          <w:szCs w:val="28"/>
        </w:rPr>
      </w:pPr>
    </w:p>
    <w:p w14:paraId="7A76E263">
      <w:pPr>
        <w:widowControl/>
        <w:spacing w:line="440" w:lineRule="exact"/>
        <w:jc w:val="left"/>
        <w:rPr>
          <w:rFonts w:ascii="仿宋" w:hAnsi="仿宋" w:eastAsia="仿宋"/>
          <w:bCs/>
          <w:color w:val="auto"/>
          <w:kern w:val="44"/>
          <w:sz w:val="24"/>
          <w:highlight w:val="none"/>
        </w:rPr>
      </w:pPr>
      <w:r>
        <w:rPr>
          <w:rFonts w:ascii="仿宋" w:hAnsi="仿宋" w:eastAsia="仿宋"/>
          <w:b/>
          <w:color w:val="auto"/>
          <w:sz w:val="24"/>
          <w:highlight w:val="none"/>
        </w:rPr>
        <w:br w:type="page"/>
      </w:r>
    </w:p>
    <w:p w14:paraId="2117861E">
      <w:pPr>
        <w:pStyle w:val="3"/>
        <w:numPr>
          <w:ilvl w:val="0"/>
          <w:numId w:val="0"/>
        </w:numPr>
        <w:ind w:firstLine="883" w:firstLineChars="200"/>
        <w:jc w:val="both"/>
        <w:rPr>
          <w:rStyle w:val="19"/>
          <w:rFonts w:hint="eastAsia" w:ascii="黑体" w:hAnsi="黑体" w:eastAsia="黑体"/>
          <w:b/>
          <w:bCs w:val="0"/>
          <w:color w:val="auto"/>
          <w:highlight w:val="none"/>
        </w:rPr>
      </w:pPr>
      <w:r>
        <w:rPr>
          <w:rStyle w:val="19"/>
          <w:rFonts w:hint="eastAsia" w:ascii="黑体" w:hAnsi="黑体" w:eastAsia="黑体"/>
          <w:b/>
          <w:bCs w:val="0"/>
          <w:color w:val="auto"/>
          <w:highlight w:val="none"/>
          <w:lang w:val="en-US" w:eastAsia="zh-CN"/>
        </w:rPr>
        <w:t xml:space="preserve">第一部分  </w:t>
      </w:r>
      <w:r>
        <w:rPr>
          <w:rStyle w:val="19"/>
          <w:rFonts w:hint="eastAsia" w:ascii="黑体" w:hAnsi="黑体" w:eastAsia="黑体"/>
          <w:b/>
          <w:bCs w:val="0"/>
          <w:color w:val="auto"/>
          <w:highlight w:val="none"/>
        </w:rPr>
        <w:t>部门概况</w:t>
      </w:r>
      <w:bookmarkEnd w:id="12"/>
      <w:bookmarkEnd w:id="13"/>
    </w:p>
    <w:p w14:paraId="7609C210">
      <w:pPr>
        <w:pStyle w:val="3"/>
        <w:numPr>
          <w:ilvl w:val="0"/>
          <w:numId w:val="0"/>
        </w:numPr>
        <w:ind w:firstLine="361" w:firstLineChars="100"/>
        <w:jc w:val="both"/>
        <w:rPr>
          <w:rFonts w:hint="eastAsia" w:ascii="仿宋_GB2312" w:hAnsi="仿宋_GB2312" w:eastAsia="仿宋_GB2312" w:cs="仿宋_GB2312"/>
          <w:b/>
          <w:bCs w:val="0"/>
          <w:color w:val="auto"/>
          <w:sz w:val="36"/>
          <w:szCs w:val="36"/>
          <w:highlight w:val="none"/>
          <w:lang w:eastAsia="zh-CN"/>
        </w:rPr>
      </w:pPr>
      <w:r>
        <w:rPr>
          <w:rFonts w:hint="eastAsia" w:ascii="仿宋_GB2312" w:hAnsi="仿宋_GB2312" w:eastAsia="仿宋_GB2312" w:cs="仿宋_GB2312"/>
          <w:b/>
          <w:bCs w:val="0"/>
          <w:color w:val="auto"/>
          <w:sz w:val="36"/>
          <w:szCs w:val="36"/>
          <w:highlight w:val="none"/>
          <w:lang w:eastAsia="zh-CN"/>
        </w:rPr>
        <w:t>一、部门职责</w:t>
      </w:r>
    </w:p>
    <w:p w14:paraId="7E8A141B">
      <w:pPr>
        <w:pStyle w:val="3"/>
        <w:numPr>
          <w:ilvl w:val="0"/>
          <w:numId w:val="0"/>
        </w:numPr>
        <w:ind w:firstLine="640" w:firstLineChars="200"/>
        <w:jc w:val="both"/>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lang w:val="en-US" w:eastAsia="zh-CN"/>
        </w:rPr>
        <w:t>主要职责：1.</w:t>
      </w:r>
      <w:r>
        <w:rPr>
          <w:rFonts w:hint="eastAsia" w:ascii="仿宋_GB2312" w:hAnsi="仿宋_GB2312" w:eastAsia="仿宋_GB2312" w:cs="仿宋_GB2312"/>
          <w:b w:val="0"/>
          <w:bCs w:val="0"/>
          <w:color w:val="000000"/>
          <w:sz w:val="32"/>
          <w:szCs w:val="32"/>
        </w:rPr>
        <w:t>贯彻落实党的理论、路线和各项宣传方针政策，把握新闻宣传基调，坚持正面宣传、团结鼓劲，为全县经济社会发展提供舆论支持；围绕县委、县政府中心工作，积极开展新闻网络内外宣传，落实全县新闻报道计划，完成上级下达的各项内外宣传和创优任务。</w:t>
      </w:r>
      <w:r>
        <w:rPr>
          <w:rFonts w:hint="eastAsia" w:ascii="仿宋_GB2312" w:hAnsi="仿宋_GB2312" w:eastAsia="仿宋_GB2312" w:cs="仿宋_GB2312"/>
          <w:b w:val="0"/>
          <w:bCs w:val="0"/>
          <w:color w:val="000000"/>
          <w:sz w:val="32"/>
          <w:szCs w:val="32"/>
          <w:lang w:val="en-US" w:eastAsia="zh-CN"/>
        </w:rPr>
        <w:t>2.</w:t>
      </w:r>
      <w:r>
        <w:rPr>
          <w:rFonts w:hint="eastAsia" w:ascii="仿宋_GB2312" w:hAnsi="仿宋_GB2312" w:eastAsia="仿宋_GB2312" w:cs="仿宋_GB2312"/>
          <w:b w:val="0"/>
          <w:bCs w:val="0"/>
          <w:color w:val="000000"/>
          <w:sz w:val="32"/>
          <w:szCs w:val="32"/>
        </w:rPr>
        <w:t>负责全县新闻业务管理和对外通联工作，抓好全县新闻网络宣传阵地和人才队伍建设。</w:t>
      </w:r>
      <w:r>
        <w:rPr>
          <w:rFonts w:hint="eastAsia" w:ascii="仿宋_GB2312" w:hAnsi="仿宋_GB2312" w:eastAsia="仿宋_GB2312" w:cs="仿宋_GB2312"/>
          <w:b w:val="0"/>
          <w:bCs w:val="0"/>
          <w:color w:val="000000"/>
          <w:sz w:val="32"/>
          <w:szCs w:val="32"/>
          <w:lang w:val="en-US" w:eastAsia="zh-CN"/>
        </w:rPr>
        <w:t>3.</w:t>
      </w:r>
      <w:r>
        <w:rPr>
          <w:rFonts w:hint="eastAsia" w:ascii="仿宋_GB2312" w:hAnsi="仿宋_GB2312" w:eastAsia="仿宋_GB2312" w:cs="仿宋_GB2312"/>
          <w:b w:val="0"/>
          <w:bCs w:val="0"/>
          <w:color w:val="000000"/>
          <w:sz w:val="32"/>
          <w:szCs w:val="32"/>
        </w:rPr>
        <w:t>协助配合上级媒体和新闻单位来县采访工作。</w:t>
      </w:r>
      <w:r>
        <w:rPr>
          <w:rFonts w:hint="eastAsia" w:ascii="仿宋_GB2312" w:hAnsi="仿宋_GB2312" w:eastAsia="仿宋_GB2312" w:cs="仿宋_GB2312"/>
          <w:b w:val="0"/>
          <w:bCs w:val="0"/>
          <w:color w:val="000000"/>
          <w:sz w:val="32"/>
          <w:szCs w:val="32"/>
          <w:lang w:val="en-US" w:eastAsia="zh-CN"/>
        </w:rPr>
        <w:t>4.</w:t>
      </w:r>
      <w:r>
        <w:rPr>
          <w:rFonts w:hint="eastAsia" w:ascii="仿宋_GB2312" w:hAnsi="仿宋_GB2312" w:eastAsia="仿宋_GB2312" w:cs="仿宋_GB2312"/>
          <w:b w:val="0"/>
          <w:bCs w:val="0"/>
          <w:color w:val="000000"/>
          <w:sz w:val="32"/>
          <w:szCs w:val="32"/>
        </w:rPr>
        <w:t>负责与县内各乡镇各部门之间的沟通协调，负责县内各类具有传播功能的媒介资源管理工作，负责网络对话和舆情收集、引导工作。</w:t>
      </w:r>
      <w:r>
        <w:rPr>
          <w:rFonts w:hint="eastAsia" w:ascii="仿宋_GB2312" w:hAnsi="仿宋_GB2312" w:eastAsia="仿宋_GB2312" w:cs="仿宋_GB2312"/>
          <w:b w:val="0"/>
          <w:bCs w:val="0"/>
          <w:color w:val="000000"/>
          <w:sz w:val="32"/>
          <w:szCs w:val="32"/>
          <w:lang w:val="en-US" w:eastAsia="zh-CN"/>
        </w:rPr>
        <w:t>5.</w:t>
      </w:r>
      <w:r>
        <w:rPr>
          <w:rFonts w:hint="eastAsia" w:ascii="仿宋_GB2312" w:hAnsi="仿宋_GB2312" w:eastAsia="仿宋_GB2312" w:cs="仿宋_GB2312"/>
          <w:b w:val="0"/>
          <w:bCs w:val="0"/>
          <w:color w:val="000000"/>
          <w:sz w:val="32"/>
          <w:szCs w:val="32"/>
        </w:rPr>
        <w:t>负责政府信息公开相关事宜。</w:t>
      </w:r>
      <w:r>
        <w:rPr>
          <w:rFonts w:hint="eastAsia" w:ascii="仿宋_GB2312" w:hAnsi="仿宋_GB2312" w:eastAsia="仿宋_GB2312" w:cs="仿宋_GB2312"/>
          <w:b w:val="0"/>
          <w:bCs w:val="0"/>
          <w:color w:val="000000"/>
          <w:sz w:val="32"/>
          <w:szCs w:val="32"/>
          <w:lang w:val="en-US" w:eastAsia="zh-CN"/>
        </w:rPr>
        <w:t>6.</w:t>
      </w:r>
      <w:r>
        <w:rPr>
          <w:rFonts w:hint="eastAsia" w:ascii="仿宋_GB2312" w:hAnsi="仿宋_GB2312" w:eastAsia="仿宋_GB2312" w:cs="仿宋_GB2312"/>
          <w:b w:val="0"/>
          <w:bCs w:val="0"/>
          <w:color w:val="000000"/>
          <w:sz w:val="32"/>
          <w:szCs w:val="32"/>
        </w:rPr>
        <w:t>负责上级下发的各项网评、网宣任务。</w:t>
      </w:r>
      <w:r>
        <w:rPr>
          <w:rFonts w:hint="eastAsia" w:ascii="仿宋_GB2312" w:hAnsi="仿宋_GB2312" w:eastAsia="仿宋_GB2312" w:cs="仿宋_GB2312"/>
          <w:b w:val="0"/>
          <w:bCs w:val="0"/>
          <w:color w:val="000000"/>
          <w:sz w:val="32"/>
          <w:szCs w:val="32"/>
          <w:lang w:val="en-US" w:eastAsia="zh-CN"/>
        </w:rPr>
        <w:t>7.</w:t>
      </w:r>
      <w:r>
        <w:rPr>
          <w:rFonts w:hint="eastAsia" w:ascii="仿宋_GB2312" w:hAnsi="仿宋_GB2312" w:eastAsia="仿宋_GB2312" w:cs="仿宋_GB2312"/>
          <w:b w:val="0"/>
          <w:bCs w:val="0"/>
          <w:color w:val="000000"/>
          <w:sz w:val="32"/>
          <w:szCs w:val="32"/>
        </w:rPr>
        <w:t>负责舆情分</w:t>
      </w:r>
      <w:r>
        <w:rPr>
          <w:rFonts w:hint="eastAsia" w:ascii="仿宋_GB2312" w:hAnsi="仿宋_GB2312" w:eastAsia="仿宋_GB2312" w:cs="仿宋_GB2312"/>
          <w:b w:val="0"/>
          <w:bCs w:val="0"/>
          <w:color w:val="000000"/>
          <w:sz w:val="32"/>
          <w:szCs w:val="32"/>
          <w:lang w:eastAsia="zh-CN"/>
        </w:rPr>
        <w:t>析</w:t>
      </w:r>
      <w:r>
        <w:rPr>
          <w:rFonts w:hint="eastAsia" w:ascii="仿宋_GB2312" w:hAnsi="仿宋_GB2312" w:eastAsia="仿宋_GB2312" w:cs="仿宋_GB2312"/>
          <w:b w:val="0"/>
          <w:bCs w:val="0"/>
          <w:color w:val="000000"/>
          <w:sz w:val="32"/>
          <w:szCs w:val="32"/>
        </w:rPr>
        <w:t>研判，提供决策咨询。</w:t>
      </w:r>
      <w:r>
        <w:rPr>
          <w:rFonts w:hint="eastAsia" w:ascii="仿宋_GB2312" w:hAnsi="仿宋_GB2312" w:eastAsia="仿宋_GB2312" w:cs="仿宋_GB2312"/>
          <w:b w:val="0"/>
          <w:bCs w:val="0"/>
          <w:color w:val="000000"/>
          <w:sz w:val="32"/>
          <w:szCs w:val="32"/>
          <w:lang w:val="en-US" w:eastAsia="zh-CN"/>
        </w:rPr>
        <w:t>8.</w:t>
      </w:r>
      <w:r>
        <w:rPr>
          <w:rFonts w:hint="eastAsia" w:ascii="仿宋_GB2312" w:hAnsi="仿宋_GB2312" w:eastAsia="仿宋_GB2312" w:cs="仿宋_GB2312"/>
          <w:b w:val="0"/>
          <w:bCs w:val="0"/>
          <w:color w:val="000000"/>
          <w:sz w:val="32"/>
          <w:szCs w:val="32"/>
        </w:rPr>
        <w:t>完成县委县政府交办的</w:t>
      </w:r>
      <w:r>
        <w:rPr>
          <w:rFonts w:hint="eastAsia" w:ascii="仿宋_GB2312" w:hAnsi="仿宋_GB2312" w:eastAsia="仿宋_GB2312" w:cs="仿宋_GB2312"/>
          <w:b w:val="0"/>
          <w:bCs w:val="0"/>
          <w:color w:val="000000"/>
          <w:sz w:val="32"/>
          <w:szCs w:val="32"/>
          <w:lang w:eastAsia="zh-CN"/>
        </w:rPr>
        <w:t>其他</w:t>
      </w:r>
      <w:r>
        <w:rPr>
          <w:rFonts w:hint="eastAsia" w:ascii="仿宋_GB2312" w:hAnsi="仿宋_GB2312" w:eastAsia="仿宋_GB2312" w:cs="仿宋_GB2312"/>
          <w:b w:val="0"/>
          <w:bCs w:val="0"/>
          <w:color w:val="000000"/>
          <w:sz w:val="32"/>
          <w:szCs w:val="32"/>
        </w:rPr>
        <w:t>工作任务。</w:t>
      </w:r>
      <w:bookmarkStart w:id="14" w:name="_Toc15377200"/>
      <w:bookmarkStart w:id="15" w:name="_Toc15396601"/>
    </w:p>
    <w:p w14:paraId="67AFBA62">
      <w:pPr>
        <w:pStyle w:val="3"/>
        <w:numPr>
          <w:ilvl w:val="0"/>
          <w:numId w:val="0"/>
        </w:numPr>
        <w:ind w:firstLine="640" w:firstLineChars="200"/>
        <w:jc w:val="both"/>
        <w:rPr>
          <w:rFonts w:hint="eastAsia" w:ascii="仿宋_GB2312" w:hAnsi="仿宋_GB2312" w:eastAsia="仿宋_GB2312" w:cs="仿宋_GB2312"/>
          <w:b w:val="0"/>
          <w:bCs w:val="0"/>
          <w:color w:val="000000"/>
          <w:sz w:val="32"/>
          <w:szCs w:val="32"/>
        </w:rPr>
      </w:pPr>
    </w:p>
    <w:p w14:paraId="0E698B0C">
      <w:pPr>
        <w:pStyle w:val="3"/>
        <w:numPr>
          <w:ilvl w:val="0"/>
          <w:numId w:val="0"/>
        </w:numPr>
        <w:ind w:firstLine="640" w:firstLineChars="200"/>
        <w:jc w:val="both"/>
        <w:rPr>
          <w:rFonts w:hint="eastAsia" w:ascii="仿宋_GB2312" w:hAnsi="仿宋_GB2312" w:eastAsia="仿宋_GB2312" w:cs="仿宋_GB2312"/>
          <w:b w:val="0"/>
          <w:bCs w:val="0"/>
          <w:color w:val="000000"/>
          <w:sz w:val="32"/>
          <w:szCs w:val="32"/>
        </w:rPr>
      </w:pPr>
    </w:p>
    <w:p w14:paraId="43BED6C4">
      <w:pPr>
        <w:pStyle w:val="3"/>
        <w:numPr>
          <w:ilvl w:val="0"/>
          <w:numId w:val="1"/>
        </w:numPr>
        <w:ind w:firstLine="720" w:firstLineChars="200"/>
        <w:jc w:val="both"/>
        <w:rPr>
          <w:rStyle w:val="20"/>
          <w:rFonts w:hint="eastAsia" w:ascii="黑体" w:hAnsi="黑体" w:eastAsia="黑体"/>
          <w:b w:val="0"/>
          <w:bCs w:val="0"/>
          <w:color w:val="auto"/>
          <w:sz w:val="36"/>
          <w:szCs w:val="36"/>
          <w:highlight w:val="none"/>
        </w:rPr>
      </w:pPr>
      <w:r>
        <w:rPr>
          <w:rFonts w:hint="eastAsia" w:ascii="黑体" w:hAnsi="黑体" w:eastAsia="黑体"/>
          <w:b w:val="0"/>
          <w:color w:val="auto"/>
          <w:sz w:val="36"/>
          <w:szCs w:val="36"/>
          <w:highlight w:val="none"/>
        </w:rPr>
        <w:t>机</w:t>
      </w:r>
      <w:r>
        <w:rPr>
          <w:rStyle w:val="20"/>
          <w:rFonts w:hint="eastAsia" w:ascii="黑体" w:hAnsi="黑体" w:eastAsia="黑体"/>
          <w:b w:val="0"/>
          <w:bCs w:val="0"/>
          <w:color w:val="auto"/>
          <w:sz w:val="36"/>
          <w:szCs w:val="36"/>
          <w:highlight w:val="none"/>
        </w:rPr>
        <w:t>构设置</w:t>
      </w:r>
      <w:bookmarkEnd w:id="14"/>
      <w:bookmarkEnd w:id="15"/>
    </w:p>
    <w:p w14:paraId="2EB20A61">
      <w:pPr>
        <w:pStyle w:val="3"/>
        <w:numPr>
          <w:ilvl w:val="0"/>
          <w:numId w:val="0"/>
        </w:numPr>
        <w:ind w:firstLine="960" w:firstLineChars="300"/>
        <w:jc w:val="both"/>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峨边彝族自治县融媒体中心</w:t>
      </w:r>
      <w:r>
        <w:rPr>
          <w:rFonts w:hint="eastAsia" w:ascii="仿宋_GB2312" w:hAnsi="仿宋_GB2312" w:eastAsia="仿宋_GB2312" w:cs="仿宋_GB2312"/>
          <w:b w:val="0"/>
          <w:bCs w:val="0"/>
          <w:color w:val="auto"/>
          <w:sz w:val="32"/>
          <w:szCs w:val="32"/>
          <w:highlight w:val="none"/>
        </w:rPr>
        <w:t>下属二级</w:t>
      </w:r>
      <w:r>
        <w:rPr>
          <w:rFonts w:hint="eastAsia" w:ascii="仿宋_GB2312" w:hAnsi="仿宋_GB2312" w:eastAsia="仿宋_GB2312" w:cs="仿宋_GB2312"/>
          <w:b w:val="0"/>
          <w:bCs w:val="0"/>
          <w:color w:val="auto"/>
          <w:sz w:val="32"/>
          <w:szCs w:val="32"/>
          <w:highlight w:val="none"/>
          <w:lang w:eastAsia="zh-CN"/>
        </w:rPr>
        <w:t>预算</w:t>
      </w:r>
      <w:r>
        <w:rPr>
          <w:rFonts w:hint="eastAsia" w:ascii="仿宋_GB2312" w:hAnsi="仿宋_GB2312" w:eastAsia="仿宋_GB2312" w:cs="仿宋_GB2312"/>
          <w:b w:val="0"/>
          <w:bCs w:val="0"/>
          <w:color w:val="auto"/>
          <w:sz w:val="32"/>
          <w:szCs w:val="32"/>
          <w:highlight w:val="none"/>
        </w:rPr>
        <w:t>单位</w:t>
      </w:r>
      <w:r>
        <w:rPr>
          <w:rFonts w:hint="eastAsia" w:ascii="仿宋_GB2312" w:hAnsi="仿宋_GB2312" w:eastAsia="仿宋_GB2312" w:cs="仿宋_GB2312"/>
          <w:b w:val="0"/>
          <w:bCs w:val="0"/>
          <w:color w:val="auto"/>
          <w:sz w:val="32"/>
          <w:szCs w:val="32"/>
          <w:highlight w:val="none"/>
          <w:lang w:val="en-US" w:eastAsia="zh-CN"/>
        </w:rPr>
        <w:t>0</w:t>
      </w:r>
      <w:r>
        <w:rPr>
          <w:rFonts w:hint="eastAsia" w:ascii="仿宋_GB2312" w:hAnsi="仿宋_GB2312" w:eastAsia="仿宋_GB2312" w:cs="仿宋_GB2312"/>
          <w:b w:val="0"/>
          <w:bCs w:val="0"/>
          <w:color w:val="auto"/>
          <w:sz w:val="32"/>
          <w:szCs w:val="32"/>
          <w:highlight w:val="none"/>
        </w:rPr>
        <w:t>个，其中行政单位</w:t>
      </w:r>
      <w:r>
        <w:rPr>
          <w:rFonts w:hint="eastAsia" w:ascii="仿宋_GB2312" w:hAnsi="仿宋_GB2312" w:eastAsia="仿宋_GB2312" w:cs="仿宋_GB2312"/>
          <w:b w:val="0"/>
          <w:bCs w:val="0"/>
          <w:color w:val="auto"/>
          <w:sz w:val="32"/>
          <w:szCs w:val="32"/>
          <w:highlight w:val="none"/>
          <w:lang w:val="en-US" w:eastAsia="zh-CN"/>
        </w:rPr>
        <w:t>0</w:t>
      </w:r>
      <w:r>
        <w:rPr>
          <w:rFonts w:hint="eastAsia" w:ascii="仿宋_GB2312" w:hAnsi="仿宋_GB2312" w:eastAsia="仿宋_GB2312" w:cs="仿宋_GB2312"/>
          <w:b w:val="0"/>
          <w:bCs w:val="0"/>
          <w:color w:val="auto"/>
          <w:sz w:val="32"/>
          <w:szCs w:val="32"/>
          <w:highlight w:val="none"/>
        </w:rPr>
        <w:t>个，参照公务员法管理的事业单位</w:t>
      </w:r>
      <w:r>
        <w:rPr>
          <w:rFonts w:hint="eastAsia" w:ascii="仿宋_GB2312" w:hAnsi="仿宋_GB2312" w:eastAsia="仿宋_GB2312" w:cs="仿宋_GB2312"/>
          <w:b w:val="0"/>
          <w:bCs w:val="0"/>
          <w:color w:val="auto"/>
          <w:sz w:val="32"/>
          <w:szCs w:val="32"/>
          <w:highlight w:val="none"/>
          <w:lang w:val="en-US" w:eastAsia="zh-CN"/>
        </w:rPr>
        <w:t>1</w:t>
      </w:r>
      <w:r>
        <w:rPr>
          <w:rFonts w:hint="eastAsia" w:ascii="仿宋_GB2312" w:hAnsi="仿宋_GB2312" w:eastAsia="仿宋_GB2312" w:cs="仿宋_GB2312"/>
          <w:b w:val="0"/>
          <w:bCs w:val="0"/>
          <w:color w:val="auto"/>
          <w:sz w:val="32"/>
          <w:szCs w:val="32"/>
          <w:highlight w:val="none"/>
        </w:rPr>
        <w:t>个，其他事业单位</w:t>
      </w:r>
      <w:r>
        <w:rPr>
          <w:rFonts w:hint="eastAsia" w:ascii="仿宋_GB2312" w:hAnsi="仿宋_GB2312" w:eastAsia="仿宋_GB2312" w:cs="仿宋_GB2312"/>
          <w:b w:val="0"/>
          <w:bCs w:val="0"/>
          <w:color w:val="auto"/>
          <w:sz w:val="32"/>
          <w:szCs w:val="32"/>
          <w:highlight w:val="none"/>
          <w:lang w:val="en-US" w:eastAsia="zh-CN"/>
        </w:rPr>
        <w:t>0</w:t>
      </w:r>
      <w:r>
        <w:rPr>
          <w:rFonts w:hint="eastAsia" w:ascii="仿宋_GB2312" w:hAnsi="仿宋_GB2312" w:eastAsia="仿宋_GB2312" w:cs="仿宋_GB2312"/>
          <w:b w:val="0"/>
          <w:bCs w:val="0"/>
          <w:color w:val="auto"/>
          <w:sz w:val="32"/>
          <w:szCs w:val="32"/>
          <w:highlight w:val="none"/>
        </w:rPr>
        <w:t>个。纳入</w:t>
      </w:r>
      <w:r>
        <w:rPr>
          <w:rFonts w:hint="eastAsia" w:ascii="仿宋_GB2312" w:hAnsi="仿宋_GB2312" w:eastAsia="仿宋_GB2312" w:cs="仿宋_GB2312"/>
          <w:b w:val="0"/>
          <w:bCs w:val="0"/>
          <w:color w:val="auto"/>
          <w:sz w:val="32"/>
          <w:szCs w:val="32"/>
          <w:highlight w:val="none"/>
          <w:lang w:eastAsia="zh-CN"/>
        </w:rPr>
        <w:t>峨边彝族自治县融媒体中心</w:t>
      </w:r>
      <w:r>
        <w:rPr>
          <w:rFonts w:hint="eastAsia" w:ascii="仿宋_GB2312" w:hAnsi="仿宋_GB2312" w:eastAsia="仿宋_GB2312" w:cs="仿宋_GB2312"/>
          <w:b w:val="0"/>
          <w:bCs w:val="0"/>
          <w:color w:val="auto"/>
          <w:sz w:val="32"/>
          <w:szCs w:val="32"/>
          <w:highlight w:val="none"/>
        </w:rPr>
        <w:t>20</w:t>
      </w:r>
      <w:r>
        <w:rPr>
          <w:rFonts w:hint="eastAsia" w:ascii="仿宋_GB2312" w:hAnsi="仿宋_GB2312" w:eastAsia="仿宋_GB2312" w:cs="仿宋_GB2312"/>
          <w:b w:val="0"/>
          <w:bCs w:val="0"/>
          <w:color w:val="auto"/>
          <w:sz w:val="32"/>
          <w:szCs w:val="32"/>
          <w:highlight w:val="none"/>
          <w:lang w:val="en-US" w:eastAsia="zh-CN"/>
        </w:rPr>
        <w:t>23</w:t>
      </w:r>
      <w:r>
        <w:rPr>
          <w:rFonts w:hint="eastAsia" w:ascii="仿宋_GB2312" w:hAnsi="仿宋_GB2312" w:eastAsia="仿宋_GB2312" w:cs="仿宋_GB2312"/>
          <w:b w:val="0"/>
          <w:bCs w:val="0"/>
          <w:color w:val="auto"/>
          <w:sz w:val="32"/>
          <w:szCs w:val="32"/>
          <w:highlight w:val="none"/>
        </w:rPr>
        <w:t>年度部门决算编制范围的二级预算单位</w:t>
      </w:r>
      <w:r>
        <w:rPr>
          <w:rFonts w:hint="eastAsia" w:ascii="仿宋_GB2312" w:hAnsi="仿宋_GB2312" w:eastAsia="仿宋_GB2312" w:cs="仿宋_GB2312"/>
          <w:b w:val="0"/>
          <w:bCs w:val="0"/>
          <w:color w:val="auto"/>
          <w:sz w:val="32"/>
          <w:szCs w:val="32"/>
          <w:highlight w:val="none"/>
          <w:lang w:eastAsia="zh-CN"/>
        </w:rPr>
        <w:t>无。</w:t>
      </w:r>
    </w:p>
    <w:p w14:paraId="73329A60">
      <w:pPr>
        <w:widowControl/>
        <w:jc w:val="left"/>
        <w:rPr>
          <w:rStyle w:val="19"/>
          <w:rFonts w:ascii="黑体" w:hAnsi="黑体" w:eastAsia="黑体"/>
          <w:b/>
          <w:bCs w:val="0"/>
          <w:color w:val="auto"/>
          <w:sz w:val="44"/>
          <w:szCs w:val="44"/>
          <w:highlight w:val="none"/>
        </w:rPr>
      </w:pPr>
      <w:bookmarkStart w:id="16" w:name="_Toc15396602"/>
      <w:bookmarkStart w:id="17" w:name="_Toc15377204"/>
      <w:r>
        <w:rPr>
          <w:rFonts w:hint="eastAsia" w:ascii="黑体" w:hAnsi="黑体" w:eastAsia="黑体"/>
          <w:b/>
          <w:bCs w:val="0"/>
          <w:color w:val="auto"/>
          <w:sz w:val="44"/>
          <w:szCs w:val="44"/>
          <w:highlight w:val="none"/>
        </w:rPr>
        <w:t xml:space="preserve">第二部分 </w:t>
      </w:r>
      <w:r>
        <w:rPr>
          <w:rFonts w:hint="eastAsia" w:ascii="黑体" w:hAnsi="黑体" w:eastAsia="黑体"/>
          <w:b/>
          <w:bCs w:val="0"/>
          <w:color w:val="auto"/>
          <w:sz w:val="44"/>
          <w:szCs w:val="44"/>
          <w:highlight w:val="none"/>
          <w:lang w:val="en-US" w:eastAsia="zh-CN"/>
        </w:rPr>
        <w:t>2023年度</w:t>
      </w:r>
      <w:r>
        <w:rPr>
          <w:rStyle w:val="19"/>
          <w:rFonts w:hint="eastAsia" w:ascii="黑体" w:hAnsi="黑体" w:eastAsia="黑体"/>
          <w:b/>
          <w:bCs w:val="0"/>
          <w:color w:val="auto"/>
          <w:sz w:val="44"/>
          <w:szCs w:val="44"/>
          <w:highlight w:val="none"/>
        </w:rPr>
        <w:t>部门决算情况说明</w:t>
      </w:r>
      <w:bookmarkEnd w:id="16"/>
      <w:bookmarkEnd w:id="17"/>
    </w:p>
    <w:p w14:paraId="2F0BD74C">
      <w:pPr>
        <w:rPr>
          <w:color w:val="auto"/>
          <w:highlight w:val="none"/>
        </w:rPr>
      </w:pPr>
    </w:p>
    <w:p w14:paraId="7AEF5350">
      <w:pPr>
        <w:pStyle w:val="21"/>
        <w:numPr>
          <w:ilvl w:val="0"/>
          <w:numId w:val="2"/>
        </w:numPr>
        <w:spacing w:line="600" w:lineRule="exact"/>
        <w:ind w:firstLineChars="0"/>
        <w:outlineLvl w:val="1"/>
        <w:rPr>
          <w:rStyle w:val="20"/>
          <w:rFonts w:ascii="黑体" w:hAnsi="黑体" w:eastAsia="黑体"/>
          <w:b w:val="0"/>
          <w:color w:val="auto"/>
          <w:highlight w:val="none"/>
        </w:rPr>
      </w:pPr>
      <w:bookmarkStart w:id="18" w:name="_Toc15377205"/>
      <w:bookmarkStart w:id="19" w:name="_Toc15396603"/>
      <w:r>
        <w:rPr>
          <w:rFonts w:hint="eastAsia" w:ascii="黑体" w:hAnsi="黑体" w:eastAsia="黑体"/>
          <w:color w:val="auto"/>
          <w:sz w:val="32"/>
          <w:szCs w:val="32"/>
          <w:highlight w:val="none"/>
        </w:rPr>
        <w:t>收</w:t>
      </w:r>
      <w:r>
        <w:rPr>
          <w:rStyle w:val="20"/>
          <w:rFonts w:hint="eastAsia" w:ascii="黑体" w:hAnsi="黑体" w:eastAsia="黑体"/>
          <w:b w:val="0"/>
          <w:color w:val="auto"/>
          <w:highlight w:val="none"/>
        </w:rPr>
        <w:t>入支出决算总体情况说明</w:t>
      </w:r>
      <w:bookmarkEnd w:id="18"/>
      <w:bookmarkEnd w:id="19"/>
    </w:p>
    <w:p w14:paraId="7EC4059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年度收、支总计</w:t>
      </w:r>
      <w:r>
        <w:rPr>
          <w:rFonts w:hint="eastAsia" w:ascii="仿宋_GB2312" w:hAnsi="仿宋_GB2312" w:eastAsia="仿宋_GB2312" w:cs="仿宋_GB2312"/>
          <w:color w:val="auto"/>
          <w:sz w:val="32"/>
          <w:szCs w:val="32"/>
          <w:highlight w:val="none"/>
          <w:lang w:val="en-US" w:eastAsia="zh-CN"/>
        </w:rPr>
        <w:t>479.14</w:t>
      </w:r>
      <w:r>
        <w:rPr>
          <w:rFonts w:hint="eastAsia" w:ascii="仿宋_GB2312" w:hAnsi="仿宋_GB2312" w:eastAsia="仿宋_GB2312" w:cs="仿宋_GB2312"/>
          <w:color w:val="auto"/>
          <w:sz w:val="32"/>
          <w:szCs w:val="32"/>
          <w:highlight w:val="none"/>
        </w:rPr>
        <w:t>万元。与20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年相比，收、支总计各增加</w:t>
      </w:r>
      <w:r>
        <w:rPr>
          <w:rFonts w:hint="eastAsia" w:ascii="仿宋_GB2312" w:hAnsi="仿宋_GB2312" w:eastAsia="仿宋_GB2312" w:cs="仿宋_GB2312"/>
          <w:color w:val="auto"/>
          <w:sz w:val="32"/>
          <w:szCs w:val="32"/>
          <w:highlight w:val="none"/>
          <w:lang w:val="en-US" w:eastAsia="zh-CN"/>
        </w:rPr>
        <w:t>53.17</w:t>
      </w:r>
      <w:r>
        <w:rPr>
          <w:rFonts w:hint="eastAsia" w:ascii="仿宋_GB2312" w:hAnsi="仿宋_GB2312" w:eastAsia="仿宋_GB2312" w:cs="仿宋_GB2312"/>
          <w:color w:val="auto"/>
          <w:sz w:val="32"/>
          <w:szCs w:val="32"/>
          <w:highlight w:val="none"/>
        </w:rPr>
        <w:t>万元，增长</w:t>
      </w:r>
      <w:r>
        <w:rPr>
          <w:rFonts w:hint="eastAsia" w:ascii="仿宋_GB2312" w:hAnsi="仿宋_GB2312" w:eastAsia="仿宋_GB2312" w:cs="仿宋_GB2312"/>
          <w:color w:val="auto"/>
          <w:sz w:val="32"/>
          <w:szCs w:val="32"/>
          <w:highlight w:val="none"/>
          <w:lang w:val="en-US" w:eastAsia="zh-CN"/>
        </w:rPr>
        <w:t>11.09</w:t>
      </w:r>
      <w:r>
        <w:rPr>
          <w:rFonts w:hint="eastAsia" w:ascii="仿宋_GB2312" w:hAnsi="仿宋_GB2312" w:eastAsia="仿宋_GB2312" w:cs="仿宋_GB2312"/>
          <w:color w:val="auto"/>
          <w:sz w:val="32"/>
          <w:szCs w:val="32"/>
          <w:highlight w:val="none"/>
        </w:rPr>
        <w:t>%。主要变动原因是</w:t>
      </w:r>
      <w:r>
        <w:rPr>
          <w:rFonts w:hint="eastAsia" w:ascii="仿宋_GB2312" w:hAnsi="仿宋_GB2312" w:eastAsia="仿宋_GB2312" w:cs="仿宋_GB2312"/>
          <w:b w:val="0"/>
          <w:bCs w:val="0"/>
          <w:color w:val="000000"/>
          <w:sz w:val="32"/>
          <w:szCs w:val="32"/>
          <w:lang w:eastAsia="zh-CN"/>
        </w:rPr>
        <w:t>项目和人员增加</w:t>
      </w:r>
      <w:r>
        <w:rPr>
          <w:rFonts w:hint="eastAsia" w:ascii="仿宋_GB2312" w:hAnsi="仿宋_GB2312" w:eastAsia="仿宋_GB2312" w:cs="仿宋_GB2312"/>
          <w:color w:val="auto"/>
          <w:sz w:val="32"/>
          <w:szCs w:val="32"/>
          <w:highlight w:val="none"/>
          <w:lang w:eastAsia="zh-CN"/>
        </w:rPr>
        <w:t>。</w:t>
      </w:r>
    </w:p>
    <w:p w14:paraId="4113D8A1">
      <w:pPr>
        <w:pStyle w:val="5"/>
        <w:rPr>
          <w:rFonts w:hint="eastAsia"/>
          <w:lang w:eastAsia="zh-CN"/>
        </w:rPr>
      </w:pPr>
      <w:r>
        <w:rPr>
          <w:rFonts w:hint="eastAsia"/>
          <w:lang w:eastAsia="zh-CN"/>
        </w:rPr>
        <w:drawing>
          <wp:inline distT="0" distB="0" distL="114300" distR="114300">
            <wp:extent cx="5080000" cy="3477260"/>
            <wp:effectExtent l="4445" t="4445" r="20955" b="2349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709B9121">
      <w:pPr>
        <w:pStyle w:val="21"/>
        <w:numPr>
          <w:ilvl w:val="0"/>
          <w:numId w:val="0"/>
        </w:numPr>
        <w:spacing w:line="600" w:lineRule="exact"/>
        <w:outlineLvl w:val="1"/>
        <w:rPr>
          <w:rStyle w:val="20"/>
          <w:rFonts w:ascii="黑体" w:hAnsi="黑体" w:eastAsia="黑体"/>
          <w:b w:val="0"/>
          <w:color w:val="auto"/>
          <w:highlight w:val="none"/>
        </w:rPr>
      </w:pPr>
      <w:bookmarkStart w:id="20" w:name="_Toc15377206"/>
      <w:bookmarkStart w:id="21" w:name="_Toc15396604"/>
      <w:r>
        <w:rPr>
          <w:rFonts w:hint="eastAsia" w:ascii="黑体" w:hAnsi="黑体" w:eastAsia="黑体"/>
          <w:color w:val="auto"/>
          <w:sz w:val="32"/>
          <w:szCs w:val="32"/>
          <w:highlight w:val="none"/>
          <w:lang w:eastAsia="zh-CN"/>
        </w:rPr>
        <w:t>二、</w:t>
      </w:r>
      <w:r>
        <w:rPr>
          <w:rFonts w:hint="eastAsia" w:ascii="黑体" w:hAnsi="黑体" w:eastAsia="黑体"/>
          <w:color w:val="auto"/>
          <w:sz w:val="32"/>
          <w:szCs w:val="32"/>
          <w:highlight w:val="none"/>
        </w:rPr>
        <w:t>收</w:t>
      </w:r>
      <w:r>
        <w:rPr>
          <w:rStyle w:val="20"/>
          <w:rFonts w:hint="eastAsia" w:ascii="黑体" w:hAnsi="黑体" w:eastAsia="黑体"/>
          <w:b w:val="0"/>
          <w:color w:val="auto"/>
          <w:highlight w:val="none"/>
        </w:rPr>
        <w:t>入决算情况说明</w:t>
      </w:r>
      <w:bookmarkEnd w:id="20"/>
      <w:bookmarkEnd w:id="21"/>
    </w:p>
    <w:p w14:paraId="709C18F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年本年收入合计</w:t>
      </w:r>
      <w:r>
        <w:rPr>
          <w:rFonts w:hint="eastAsia" w:ascii="仿宋_GB2312" w:hAnsi="仿宋_GB2312" w:eastAsia="仿宋_GB2312" w:cs="仿宋_GB2312"/>
          <w:color w:val="auto"/>
          <w:sz w:val="32"/>
          <w:szCs w:val="32"/>
          <w:highlight w:val="none"/>
          <w:lang w:val="en-US" w:eastAsia="zh-CN"/>
        </w:rPr>
        <w:t>479.14</w:t>
      </w:r>
      <w:r>
        <w:rPr>
          <w:rFonts w:hint="eastAsia" w:ascii="仿宋_GB2312" w:hAnsi="仿宋_GB2312" w:eastAsia="仿宋_GB2312" w:cs="仿宋_GB2312"/>
          <w:color w:val="auto"/>
          <w:sz w:val="32"/>
          <w:szCs w:val="32"/>
          <w:highlight w:val="none"/>
        </w:rPr>
        <w:t>万元，其中：</w:t>
      </w:r>
      <w:bookmarkStart w:id="22" w:name="OLE_LINK1"/>
      <w:r>
        <w:rPr>
          <w:rFonts w:hint="eastAsia" w:ascii="仿宋_GB2312" w:hAnsi="仿宋_GB2312" w:eastAsia="仿宋_GB2312" w:cs="仿宋_GB2312"/>
          <w:color w:val="auto"/>
          <w:sz w:val="32"/>
          <w:szCs w:val="32"/>
          <w:highlight w:val="none"/>
        </w:rPr>
        <w:t>一般公共预算财政拨款收入</w:t>
      </w:r>
      <w:bookmarkEnd w:id="22"/>
      <w:r>
        <w:rPr>
          <w:rFonts w:hint="eastAsia" w:ascii="仿宋_GB2312" w:hAnsi="仿宋_GB2312" w:eastAsia="仿宋_GB2312" w:cs="仿宋_GB2312"/>
          <w:color w:val="auto"/>
          <w:sz w:val="32"/>
          <w:szCs w:val="32"/>
          <w:highlight w:val="none"/>
          <w:lang w:val="en-US" w:eastAsia="zh-CN"/>
        </w:rPr>
        <w:t>424.98</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88.70</w:t>
      </w:r>
      <w:r>
        <w:rPr>
          <w:rFonts w:hint="eastAsia" w:ascii="仿宋_GB2312" w:hAnsi="仿宋_GB2312" w:eastAsia="仿宋_GB2312" w:cs="仿宋_GB2312"/>
          <w:color w:val="auto"/>
          <w:sz w:val="32"/>
          <w:szCs w:val="32"/>
          <w:highlight w:val="none"/>
        </w:rPr>
        <w:t>%；</w:t>
      </w:r>
      <w:bookmarkStart w:id="23" w:name="OLE_LINK2"/>
      <w:r>
        <w:rPr>
          <w:rFonts w:hint="eastAsia" w:ascii="仿宋_GB2312" w:hAnsi="仿宋_GB2312" w:eastAsia="仿宋_GB2312" w:cs="仿宋_GB2312"/>
          <w:color w:val="auto"/>
          <w:sz w:val="32"/>
          <w:szCs w:val="32"/>
          <w:highlight w:val="none"/>
        </w:rPr>
        <w:t>政府性基金预算财政拨款收入</w:t>
      </w:r>
      <w:bookmarkEnd w:id="23"/>
      <w:r>
        <w:rPr>
          <w:rFonts w:hint="eastAsia" w:ascii="仿宋_GB2312" w:hAnsi="仿宋_GB2312" w:eastAsia="仿宋_GB2312" w:cs="仿宋_GB2312"/>
          <w:color w:val="auto"/>
          <w:sz w:val="32"/>
          <w:szCs w:val="32"/>
          <w:highlight w:val="none"/>
          <w:lang w:val="en-US" w:eastAsia="zh-CN"/>
        </w:rPr>
        <w:t>54.16</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11.30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sz w:val="32"/>
          <w:szCs w:val="32"/>
          <w:lang w:eastAsia="zh-CN"/>
        </w:rPr>
        <w:t>。</w:t>
      </w:r>
    </w:p>
    <w:p w14:paraId="0391AC36">
      <w:pPr>
        <w:pStyle w:val="5"/>
        <w:rPr>
          <w:rFonts w:hint="eastAsia" w:eastAsia="仿宋"/>
          <w:lang w:eastAsia="zh-CN"/>
        </w:rPr>
      </w:pPr>
      <w:r>
        <w:rPr>
          <w:rFonts w:hint="eastAsia" w:ascii="仿宋_GB2312" w:hAnsi="仿宋_GB2312" w:eastAsia="仿宋_GB2312" w:cs="仿宋_GB2312"/>
          <w:sz w:val="32"/>
          <w:szCs w:val="32"/>
          <w:lang w:eastAsia="zh-CN"/>
        </w:rPr>
        <w:drawing>
          <wp:inline distT="0" distB="0" distL="114300" distR="114300">
            <wp:extent cx="5080000" cy="3810000"/>
            <wp:effectExtent l="4445" t="4445" r="20955" b="1460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120B402">
      <w:pPr>
        <w:pStyle w:val="21"/>
        <w:numPr>
          <w:ilvl w:val="0"/>
          <w:numId w:val="0"/>
        </w:numPr>
        <w:spacing w:line="600" w:lineRule="exact"/>
        <w:outlineLvl w:val="1"/>
        <w:rPr>
          <w:rStyle w:val="20"/>
          <w:rFonts w:ascii="黑体" w:hAnsi="黑体" w:eastAsia="黑体"/>
          <w:b w:val="0"/>
          <w:color w:val="auto"/>
          <w:highlight w:val="none"/>
        </w:rPr>
      </w:pPr>
      <w:bookmarkStart w:id="24" w:name="_Toc15377207"/>
      <w:bookmarkStart w:id="25" w:name="_Toc15396605"/>
      <w:r>
        <w:rPr>
          <w:rFonts w:hint="eastAsia" w:ascii="黑体" w:hAnsi="黑体" w:eastAsia="黑体"/>
          <w:color w:val="auto"/>
          <w:sz w:val="32"/>
          <w:szCs w:val="32"/>
          <w:highlight w:val="none"/>
          <w:lang w:eastAsia="zh-CN"/>
        </w:rPr>
        <w:t>三、</w:t>
      </w:r>
      <w:r>
        <w:rPr>
          <w:rFonts w:hint="eastAsia" w:ascii="黑体" w:hAnsi="黑体" w:eastAsia="黑体"/>
          <w:color w:val="auto"/>
          <w:sz w:val="32"/>
          <w:szCs w:val="32"/>
          <w:highlight w:val="none"/>
        </w:rPr>
        <w:t>支</w:t>
      </w:r>
      <w:r>
        <w:rPr>
          <w:rStyle w:val="20"/>
          <w:rFonts w:hint="eastAsia" w:ascii="黑体" w:hAnsi="黑体" w:eastAsia="黑体"/>
          <w:b w:val="0"/>
          <w:color w:val="auto"/>
          <w:highlight w:val="none"/>
        </w:rPr>
        <w:t>出决算情况说明</w:t>
      </w:r>
      <w:bookmarkEnd w:id="24"/>
      <w:bookmarkEnd w:id="25"/>
    </w:p>
    <w:p w14:paraId="2A9016D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年本年支出合计</w:t>
      </w:r>
      <w:r>
        <w:rPr>
          <w:rFonts w:hint="eastAsia" w:ascii="仿宋_GB2312" w:hAnsi="仿宋_GB2312" w:eastAsia="仿宋_GB2312" w:cs="仿宋_GB2312"/>
          <w:color w:val="auto"/>
          <w:sz w:val="32"/>
          <w:szCs w:val="32"/>
          <w:highlight w:val="none"/>
          <w:lang w:val="en-US" w:eastAsia="zh-CN"/>
        </w:rPr>
        <w:t>479.14</w:t>
      </w:r>
      <w:r>
        <w:rPr>
          <w:rFonts w:hint="eastAsia" w:ascii="仿宋_GB2312" w:hAnsi="仿宋_GB2312" w:eastAsia="仿宋_GB2312" w:cs="仿宋_GB2312"/>
          <w:color w:val="auto"/>
          <w:sz w:val="32"/>
          <w:szCs w:val="32"/>
          <w:highlight w:val="none"/>
        </w:rPr>
        <w:t>万元，其中：基本支出</w:t>
      </w:r>
      <w:r>
        <w:rPr>
          <w:rFonts w:hint="eastAsia" w:ascii="仿宋_GB2312" w:hAnsi="仿宋_GB2312" w:eastAsia="仿宋_GB2312" w:cs="仿宋_GB2312"/>
          <w:color w:val="auto"/>
          <w:sz w:val="32"/>
          <w:szCs w:val="32"/>
          <w:highlight w:val="none"/>
          <w:lang w:val="en-US" w:eastAsia="zh-CN"/>
        </w:rPr>
        <w:t>381.94</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79.71</w:t>
      </w:r>
      <w:r>
        <w:rPr>
          <w:rFonts w:hint="eastAsia" w:ascii="仿宋_GB2312" w:hAnsi="仿宋_GB2312" w:eastAsia="仿宋_GB2312" w:cs="仿宋_GB2312"/>
          <w:color w:val="auto"/>
          <w:sz w:val="32"/>
          <w:szCs w:val="32"/>
          <w:highlight w:val="none"/>
        </w:rPr>
        <w:t>%；项目支出</w:t>
      </w:r>
      <w:r>
        <w:rPr>
          <w:rFonts w:hint="eastAsia" w:ascii="仿宋_GB2312" w:hAnsi="仿宋_GB2312" w:eastAsia="仿宋_GB2312" w:cs="仿宋_GB2312"/>
          <w:color w:val="auto"/>
          <w:sz w:val="32"/>
          <w:szCs w:val="32"/>
          <w:highlight w:val="none"/>
          <w:lang w:val="en-US" w:eastAsia="zh-CN"/>
        </w:rPr>
        <w:t>43.04</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8.99</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政</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府性基金支出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54.16</w:t>
      </w:r>
      <w:r>
        <w:rPr>
          <w:rFonts w:hint="eastAsia" w:ascii="仿宋_GB2312" w:hAnsi="仿宋_GB2312" w:eastAsia="仿宋_GB2312" w:cs="仿宋_GB2312"/>
          <w:color w:val="000000" w:themeColor="text1"/>
          <w:sz w:val="32"/>
          <w:szCs w:val="32"/>
          <w:highlight w:val="none"/>
          <w14:textFill>
            <w14:solidFill>
              <w14:schemeClr w14:val="tx1"/>
            </w14:solidFill>
          </w14:textFill>
        </w:rPr>
        <w:t>万元，</w:t>
      </w:r>
      <w:r>
        <w:rPr>
          <w:rFonts w:hint="eastAsia" w:ascii="仿宋_GB2312" w:hAnsi="仿宋_GB2312" w:eastAsia="仿宋_GB2312" w:cs="仿宋_GB2312"/>
          <w:color w:val="auto"/>
          <w:sz w:val="32"/>
          <w:szCs w:val="32"/>
          <w:highlight w:val="none"/>
        </w:rPr>
        <w:t>占</w:t>
      </w:r>
      <w:r>
        <w:rPr>
          <w:rFonts w:hint="eastAsia" w:ascii="仿宋_GB2312" w:hAnsi="仿宋_GB2312" w:eastAsia="仿宋_GB2312" w:cs="仿宋_GB2312"/>
          <w:color w:val="auto"/>
          <w:sz w:val="32"/>
          <w:szCs w:val="32"/>
          <w:highlight w:val="none"/>
          <w:lang w:val="en-US" w:eastAsia="zh-CN"/>
        </w:rPr>
        <w:t>11.30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w:t>
      </w:r>
    </w:p>
    <w:p w14:paraId="3A279E76">
      <w:pPr>
        <w:pStyle w:val="5"/>
        <w:rPr>
          <w:rFonts w:hint="eastAsia" w:eastAsia="仿宋"/>
          <w:lang w:eastAsia="zh-CN"/>
        </w:rPr>
      </w:pPr>
      <w:r>
        <w:rPr>
          <w:rFonts w:hint="eastAsia" w:eastAsia="仿宋"/>
          <w:lang w:eastAsia="zh-CN"/>
        </w:rPr>
        <w:drawing>
          <wp:inline distT="0" distB="0" distL="114300" distR="114300">
            <wp:extent cx="5080000" cy="3810000"/>
            <wp:effectExtent l="4445" t="4445" r="5715" b="1079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7EFC71C">
      <w:pPr>
        <w:spacing w:line="600" w:lineRule="exact"/>
        <w:outlineLvl w:val="1"/>
        <w:rPr>
          <w:rStyle w:val="20"/>
          <w:rFonts w:ascii="黑体" w:hAnsi="黑体" w:eastAsia="黑体"/>
          <w:b w:val="0"/>
          <w:color w:val="auto"/>
          <w:highlight w:val="none"/>
        </w:rPr>
      </w:pPr>
      <w:bookmarkStart w:id="26" w:name="_Toc15396606"/>
      <w:bookmarkStart w:id="27" w:name="_Toc15377208"/>
      <w:r>
        <w:rPr>
          <w:rFonts w:hint="eastAsia" w:ascii="黑体" w:hAnsi="黑体" w:eastAsia="黑体"/>
          <w:color w:val="auto"/>
          <w:sz w:val="32"/>
          <w:szCs w:val="32"/>
          <w:highlight w:val="none"/>
        </w:rPr>
        <w:t>四、财</w:t>
      </w:r>
      <w:r>
        <w:rPr>
          <w:rStyle w:val="20"/>
          <w:rFonts w:hint="eastAsia" w:ascii="黑体" w:hAnsi="黑体" w:eastAsia="黑体"/>
          <w:b w:val="0"/>
          <w:color w:val="auto"/>
          <w:highlight w:val="none"/>
        </w:rPr>
        <w:t>政拨款收入支出决算总体情况说明</w:t>
      </w:r>
      <w:bookmarkEnd w:id="26"/>
      <w:bookmarkEnd w:id="27"/>
    </w:p>
    <w:p w14:paraId="30BA08A3">
      <w:pPr>
        <w:spacing w:line="60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年财政拨款收、支总计</w:t>
      </w:r>
      <w:r>
        <w:rPr>
          <w:rFonts w:hint="eastAsia" w:ascii="仿宋_GB2312" w:hAnsi="仿宋_GB2312" w:eastAsia="仿宋_GB2312" w:cs="仿宋_GB2312"/>
          <w:color w:val="auto"/>
          <w:sz w:val="32"/>
          <w:szCs w:val="32"/>
          <w:highlight w:val="none"/>
          <w:lang w:val="en-US" w:eastAsia="zh-CN"/>
        </w:rPr>
        <w:t>479.14</w:t>
      </w:r>
      <w:r>
        <w:rPr>
          <w:rFonts w:hint="eastAsia" w:ascii="仿宋_GB2312" w:hAnsi="仿宋_GB2312" w:eastAsia="仿宋_GB2312" w:cs="仿宋_GB2312"/>
          <w:color w:val="auto"/>
          <w:sz w:val="32"/>
          <w:szCs w:val="32"/>
          <w:highlight w:val="none"/>
        </w:rPr>
        <w:t>万元。与20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年相比，财政拨款收、支总计各增加</w:t>
      </w:r>
      <w:r>
        <w:rPr>
          <w:rFonts w:hint="eastAsia" w:ascii="仿宋_GB2312" w:hAnsi="仿宋_GB2312" w:eastAsia="仿宋_GB2312" w:cs="仿宋_GB2312"/>
          <w:color w:val="auto"/>
          <w:sz w:val="32"/>
          <w:szCs w:val="32"/>
          <w:highlight w:val="none"/>
          <w:lang w:val="en-US" w:eastAsia="zh-CN"/>
        </w:rPr>
        <w:t>53.17</w:t>
      </w:r>
      <w:r>
        <w:rPr>
          <w:rFonts w:hint="eastAsia" w:ascii="仿宋_GB2312" w:hAnsi="仿宋_GB2312" w:eastAsia="仿宋_GB2312" w:cs="仿宋_GB2312"/>
          <w:color w:val="auto"/>
          <w:sz w:val="32"/>
          <w:szCs w:val="32"/>
          <w:highlight w:val="none"/>
        </w:rPr>
        <w:t>万元，增长</w:t>
      </w:r>
      <w:r>
        <w:rPr>
          <w:rFonts w:hint="eastAsia" w:ascii="仿宋_GB2312" w:hAnsi="仿宋_GB2312" w:eastAsia="仿宋_GB2312" w:cs="仿宋_GB2312"/>
          <w:color w:val="auto"/>
          <w:sz w:val="32"/>
          <w:szCs w:val="32"/>
          <w:highlight w:val="none"/>
          <w:lang w:val="en-US" w:eastAsia="zh-CN"/>
        </w:rPr>
        <w:t>11.09</w:t>
      </w:r>
      <w:r>
        <w:rPr>
          <w:rFonts w:hint="eastAsia" w:ascii="仿宋_GB2312" w:hAnsi="仿宋_GB2312" w:eastAsia="仿宋_GB2312" w:cs="仿宋_GB2312"/>
          <w:color w:val="auto"/>
          <w:sz w:val="32"/>
          <w:szCs w:val="32"/>
          <w:highlight w:val="none"/>
        </w:rPr>
        <w:t>%。主要变动原因是</w:t>
      </w:r>
      <w:r>
        <w:rPr>
          <w:rFonts w:hint="eastAsia" w:ascii="仿宋_GB2312" w:hAnsi="仿宋_GB2312" w:eastAsia="仿宋_GB2312" w:cs="仿宋_GB2312"/>
          <w:color w:val="auto"/>
          <w:sz w:val="32"/>
          <w:szCs w:val="32"/>
          <w:highlight w:val="none"/>
          <w:lang w:eastAsia="zh-CN"/>
        </w:rPr>
        <w:t>项目和人员增加。</w:t>
      </w:r>
    </w:p>
    <w:p w14:paraId="344E42AA">
      <w:pPr>
        <w:spacing w:line="600" w:lineRule="exact"/>
        <w:rPr>
          <w:rFonts w:ascii="仿宋" w:hAnsi="仿宋" w:eastAsia="仿宋"/>
          <w:color w:val="auto"/>
          <w:sz w:val="32"/>
          <w:szCs w:val="32"/>
          <w:highlight w:val="none"/>
        </w:rPr>
      </w:pPr>
    </w:p>
    <w:p w14:paraId="150EA6E5">
      <w:pPr>
        <w:spacing w:line="600" w:lineRule="exact"/>
        <w:ind w:firstLine="640"/>
        <w:rPr>
          <w:rFonts w:hint="eastAsia" w:ascii="仿宋" w:hAnsi="仿宋" w:eastAsia="仿宋"/>
          <w:b/>
          <w:color w:val="auto"/>
          <w:sz w:val="32"/>
          <w:szCs w:val="32"/>
          <w:highlight w:val="none"/>
          <w:lang w:eastAsia="zh-CN"/>
        </w:rPr>
      </w:pPr>
    </w:p>
    <w:p w14:paraId="146FE4C1">
      <w:pPr>
        <w:pStyle w:val="5"/>
        <w:rPr>
          <w:rFonts w:hint="eastAsia" w:ascii="仿宋" w:hAnsi="仿宋" w:eastAsia="仿宋"/>
          <w:b/>
          <w:color w:val="auto"/>
          <w:sz w:val="32"/>
          <w:szCs w:val="32"/>
          <w:highlight w:val="none"/>
          <w:lang w:eastAsia="zh-CN"/>
        </w:rPr>
      </w:pPr>
      <w:r>
        <w:drawing>
          <wp:inline distT="0" distB="0" distL="114300" distR="114300">
            <wp:extent cx="5095875" cy="3495675"/>
            <wp:effectExtent l="0" t="0" r="9525" b="9525"/>
            <wp:docPr id="11" name="图片 1" descr="C:/Users/Administrator/Desktop/00.png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Administrator/Desktop/00.png00"/>
                    <pic:cNvPicPr>
                      <a:picLocks noChangeAspect="1"/>
                    </pic:cNvPicPr>
                  </pic:nvPicPr>
                  <pic:blipFill>
                    <a:blip r:embed="rId9"/>
                    <a:srcRect l="518" r="518"/>
                    <a:stretch>
                      <a:fillRect/>
                    </a:stretch>
                  </pic:blipFill>
                  <pic:spPr>
                    <a:xfrm>
                      <a:off x="0" y="0"/>
                      <a:ext cx="5095875" cy="3495675"/>
                    </a:xfrm>
                    <a:prstGeom prst="rect">
                      <a:avLst/>
                    </a:prstGeom>
                    <a:noFill/>
                    <a:ln>
                      <a:noFill/>
                    </a:ln>
                  </pic:spPr>
                </pic:pic>
              </a:graphicData>
            </a:graphic>
          </wp:inline>
        </w:drawing>
      </w:r>
    </w:p>
    <w:p w14:paraId="3429372E">
      <w:pPr>
        <w:numPr>
          <w:ilvl w:val="0"/>
          <w:numId w:val="3"/>
        </w:numPr>
        <w:spacing w:line="600" w:lineRule="exact"/>
        <w:outlineLvl w:val="1"/>
        <w:rPr>
          <w:rStyle w:val="20"/>
          <w:rFonts w:hint="eastAsia" w:ascii="黑体" w:hAnsi="黑体" w:eastAsia="黑体"/>
          <w:b w:val="0"/>
          <w:color w:val="auto"/>
          <w:highlight w:val="none"/>
        </w:rPr>
      </w:pPr>
      <w:bookmarkStart w:id="28" w:name="_Toc15377209"/>
      <w:bookmarkStart w:id="29" w:name="_Toc15396607"/>
      <w:r>
        <w:rPr>
          <w:rFonts w:hint="eastAsia" w:ascii="黑体" w:hAnsi="黑体" w:eastAsia="黑体"/>
          <w:b/>
          <w:color w:val="auto"/>
          <w:sz w:val="32"/>
          <w:szCs w:val="32"/>
          <w:highlight w:val="none"/>
        </w:rPr>
        <w:t>一</w:t>
      </w:r>
      <w:r>
        <w:rPr>
          <w:rStyle w:val="20"/>
          <w:rFonts w:hint="eastAsia" w:ascii="黑体" w:hAnsi="黑体" w:eastAsia="黑体"/>
          <w:b w:val="0"/>
          <w:color w:val="auto"/>
          <w:highlight w:val="none"/>
        </w:rPr>
        <w:t>般公共预算财政拨款支出决算情况说明</w:t>
      </w:r>
      <w:bookmarkEnd w:id="28"/>
      <w:bookmarkEnd w:id="29"/>
      <w:bookmarkStart w:id="30" w:name="_Toc15377210"/>
    </w:p>
    <w:p w14:paraId="70E4D483">
      <w:pPr>
        <w:numPr>
          <w:ilvl w:val="0"/>
          <w:numId w:val="0"/>
        </w:numPr>
        <w:spacing w:line="600" w:lineRule="exact"/>
        <w:ind w:firstLine="643" w:firstLineChars="200"/>
        <w:outlineLvl w:val="1"/>
        <w:rPr>
          <w:rFonts w:hint="eastAsia" w:ascii="仿宋" w:hAnsi="仿宋" w:eastAsia="仿宋"/>
          <w:b/>
          <w:color w:val="auto"/>
          <w:sz w:val="32"/>
          <w:szCs w:val="32"/>
          <w:highlight w:val="none"/>
        </w:rPr>
      </w:pPr>
      <w:r>
        <w:rPr>
          <w:rFonts w:hint="eastAsia" w:ascii="仿宋" w:hAnsi="仿宋" w:eastAsia="仿宋"/>
          <w:b/>
          <w:color w:val="auto"/>
          <w:sz w:val="32"/>
          <w:szCs w:val="32"/>
          <w:highlight w:val="none"/>
          <w:lang w:eastAsia="zh-CN"/>
        </w:rPr>
        <w:t>（一）</w:t>
      </w:r>
      <w:r>
        <w:rPr>
          <w:rFonts w:hint="eastAsia" w:ascii="仿宋" w:hAnsi="仿宋" w:eastAsia="仿宋"/>
          <w:b/>
          <w:color w:val="auto"/>
          <w:sz w:val="32"/>
          <w:szCs w:val="32"/>
          <w:highlight w:val="none"/>
        </w:rPr>
        <w:t>一般公共预算财政拨款支出决算总体情况</w:t>
      </w:r>
      <w:bookmarkEnd w:id="30"/>
    </w:p>
    <w:p w14:paraId="2D8D43B9">
      <w:pPr>
        <w:spacing w:line="600" w:lineRule="exact"/>
        <w:ind w:firstLine="960" w:firstLineChars="300"/>
        <w:outlineLvl w:val="2"/>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年一般公共预算财政拨款支出</w:t>
      </w:r>
      <w:r>
        <w:rPr>
          <w:rFonts w:hint="eastAsia" w:ascii="仿宋_GB2312" w:hAnsi="仿宋_GB2312" w:eastAsia="仿宋_GB2312" w:cs="仿宋_GB2312"/>
          <w:color w:val="auto"/>
          <w:sz w:val="32"/>
          <w:szCs w:val="32"/>
          <w:highlight w:val="none"/>
          <w:lang w:val="en-US" w:eastAsia="zh-CN"/>
        </w:rPr>
        <w:t>424.98</w:t>
      </w:r>
      <w:r>
        <w:rPr>
          <w:rFonts w:hint="eastAsia" w:ascii="仿宋_GB2312" w:hAnsi="仿宋_GB2312" w:eastAsia="仿宋_GB2312" w:cs="仿宋_GB2312"/>
          <w:color w:val="auto"/>
          <w:sz w:val="32"/>
          <w:szCs w:val="32"/>
          <w:highlight w:val="none"/>
        </w:rPr>
        <w:t>万元，占本年支出合计的</w:t>
      </w:r>
      <w:r>
        <w:rPr>
          <w:rFonts w:hint="eastAsia" w:ascii="仿宋_GB2312" w:hAnsi="仿宋_GB2312" w:eastAsia="仿宋_GB2312" w:cs="仿宋_GB2312"/>
          <w:color w:val="auto"/>
          <w:sz w:val="32"/>
          <w:szCs w:val="32"/>
          <w:highlight w:val="none"/>
          <w:lang w:val="en-US" w:eastAsia="zh-CN"/>
        </w:rPr>
        <w:t>88.70</w:t>
      </w:r>
      <w:r>
        <w:rPr>
          <w:rFonts w:hint="eastAsia" w:ascii="仿宋_GB2312" w:hAnsi="仿宋_GB2312" w:eastAsia="仿宋_GB2312" w:cs="仿宋_GB2312"/>
          <w:color w:val="auto"/>
          <w:sz w:val="32"/>
          <w:szCs w:val="32"/>
          <w:highlight w:val="none"/>
        </w:rPr>
        <w:t>%。与20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年相比，一般公共预算财政拨款</w:t>
      </w:r>
      <w:r>
        <w:rPr>
          <w:rFonts w:hint="eastAsia" w:ascii="仿宋_GB2312" w:hAnsi="仿宋_GB2312" w:eastAsia="仿宋_GB2312" w:cs="仿宋_GB2312"/>
          <w:color w:val="auto"/>
          <w:sz w:val="32"/>
          <w:szCs w:val="32"/>
          <w:highlight w:val="none"/>
          <w:lang w:eastAsia="zh-CN"/>
        </w:rPr>
        <w:t>支出</w:t>
      </w:r>
      <w:r>
        <w:rPr>
          <w:rFonts w:hint="eastAsia" w:ascii="仿宋_GB2312" w:hAnsi="仿宋_GB2312" w:eastAsia="仿宋_GB2312" w:cs="仿宋_GB2312"/>
          <w:color w:val="auto"/>
          <w:sz w:val="32"/>
          <w:szCs w:val="32"/>
          <w:highlight w:val="none"/>
        </w:rPr>
        <w:t>增加</w:t>
      </w:r>
      <w:r>
        <w:rPr>
          <w:rFonts w:hint="eastAsia" w:ascii="仿宋_GB2312" w:hAnsi="仿宋_GB2312" w:eastAsia="仿宋_GB2312" w:cs="仿宋_GB2312"/>
          <w:color w:val="auto"/>
          <w:sz w:val="32"/>
          <w:szCs w:val="32"/>
          <w:highlight w:val="none"/>
          <w:lang w:val="en-US" w:eastAsia="zh-CN"/>
        </w:rPr>
        <w:t>31.71</w:t>
      </w:r>
      <w:r>
        <w:rPr>
          <w:rFonts w:hint="eastAsia" w:ascii="仿宋_GB2312" w:hAnsi="仿宋_GB2312" w:eastAsia="仿宋_GB2312" w:cs="仿宋_GB2312"/>
          <w:color w:val="auto"/>
          <w:sz w:val="32"/>
          <w:szCs w:val="32"/>
          <w:highlight w:val="none"/>
        </w:rPr>
        <w:t>万元，增长</w:t>
      </w:r>
      <w:r>
        <w:rPr>
          <w:rFonts w:hint="eastAsia" w:ascii="仿宋_GB2312" w:hAnsi="仿宋_GB2312" w:eastAsia="仿宋_GB2312" w:cs="仿宋_GB2312"/>
          <w:color w:val="auto"/>
          <w:sz w:val="32"/>
          <w:szCs w:val="32"/>
          <w:highlight w:val="none"/>
          <w:lang w:val="en-US" w:eastAsia="zh-CN"/>
        </w:rPr>
        <w:t>6.61</w:t>
      </w:r>
      <w:r>
        <w:rPr>
          <w:rFonts w:hint="eastAsia" w:ascii="仿宋_GB2312" w:hAnsi="仿宋_GB2312" w:eastAsia="仿宋_GB2312" w:cs="仿宋_GB2312"/>
          <w:color w:val="auto"/>
          <w:sz w:val="32"/>
          <w:szCs w:val="32"/>
          <w:highlight w:val="none"/>
        </w:rPr>
        <w:t>%。主要变动原因是</w:t>
      </w:r>
      <w:r>
        <w:rPr>
          <w:rFonts w:hint="eastAsia" w:ascii="仿宋_GB2312" w:hAnsi="仿宋_GB2312" w:eastAsia="仿宋_GB2312" w:cs="仿宋_GB2312"/>
          <w:color w:val="auto"/>
          <w:sz w:val="32"/>
          <w:szCs w:val="32"/>
          <w:highlight w:val="none"/>
          <w:lang w:eastAsia="zh-CN"/>
        </w:rPr>
        <w:t>人员增加。</w:t>
      </w:r>
    </w:p>
    <w:p w14:paraId="4004997A">
      <w:pPr>
        <w:pStyle w:val="5"/>
      </w:pPr>
      <w:r>
        <w:drawing>
          <wp:inline distT="0" distB="0" distL="114300" distR="114300">
            <wp:extent cx="4834255" cy="3286125"/>
            <wp:effectExtent l="4445" t="4445" r="19050" b="508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Start w:id="31" w:name="_Toc15377211"/>
    </w:p>
    <w:p w14:paraId="1F27B163">
      <w:pPr>
        <w:pStyle w:val="5"/>
        <w:numPr>
          <w:ilvl w:val="0"/>
          <w:numId w:val="4"/>
        </w:numPr>
        <w:rPr>
          <w:rFonts w:hint="eastAsia" w:ascii="仿宋" w:hAnsi="仿宋" w:eastAsia="仿宋"/>
          <w:color w:val="auto"/>
          <w:sz w:val="32"/>
          <w:szCs w:val="32"/>
          <w:highlight w:val="none"/>
        </w:rPr>
      </w:pPr>
      <w:r>
        <w:rPr>
          <w:rFonts w:hint="eastAsia" w:ascii="仿宋" w:hAnsi="仿宋" w:eastAsia="仿宋"/>
          <w:b/>
          <w:color w:val="auto"/>
          <w:sz w:val="32"/>
          <w:szCs w:val="32"/>
          <w:highlight w:val="none"/>
        </w:rPr>
        <w:t>一般公共预算财政拨款支出决算结构情况</w:t>
      </w:r>
      <w:bookmarkEnd w:id="31"/>
    </w:p>
    <w:p w14:paraId="29070B52">
      <w:pPr>
        <w:pStyle w:val="5"/>
        <w:numPr>
          <w:ilvl w:val="0"/>
          <w:numId w:val="0"/>
        </w:numPr>
        <w:ind w:firstLine="640" w:firstLineChars="200"/>
        <w:rPr>
          <w:rFonts w:hint="default" w:ascii="仿宋" w:hAnsi="仿宋" w:eastAsia="仿宋_GB2312"/>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rPr>
        <w:t>20</w:t>
      </w:r>
      <w:r>
        <w:rPr>
          <w:rFonts w:hint="eastAsia" w:ascii="仿宋_GB2312" w:hAnsi="仿宋_GB2312" w:eastAsia="仿宋_GB2312" w:cs="仿宋_GB2312"/>
          <w:b w:val="0"/>
          <w:bCs w:val="0"/>
          <w:color w:val="auto"/>
          <w:sz w:val="32"/>
          <w:szCs w:val="32"/>
          <w:highlight w:val="none"/>
          <w:lang w:val="en-US" w:eastAsia="zh-CN"/>
        </w:rPr>
        <w:t>23</w:t>
      </w:r>
      <w:r>
        <w:rPr>
          <w:rFonts w:hint="eastAsia" w:ascii="仿宋_GB2312" w:hAnsi="仿宋_GB2312" w:eastAsia="仿宋_GB2312" w:cs="仿宋_GB2312"/>
          <w:b w:val="0"/>
          <w:bCs w:val="0"/>
          <w:color w:val="auto"/>
          <w:sz w:val="32"/>
          <w:szCs w:val="32"/>
          <w:highlight w:val="none"/>
        </w:rPr>
        <w:t>年一般公共预算财政拨款支出</w:t>
      </w:r>
      <w:r>
        <w:rPr>
          <w:rFonts w:hint="eastAsia" w:ascii="仿宋_GB2312" w:hAnsi="仿宋_GB2312" w:eastAsia="仿宋_GB2312" w:cs="仿宋_GB2312"/>
          <w:b w:val="0"/>
          <w:bCs w:val="0"/>
          <w:color w:val="auto"/>
          <w:sz w:val="32"/>
          <w:szCs w:val="32"/>
          <w:highlight w:val="none"/>
          <w:lang w:val="en-US" w:eastAsia="zh-CN"/>
        </w:rPr>
        <w:t>424.98</w:t>
      </w:r>
      <w:r>
        <w:rPr>
          <w:rFonts w:hint="eastAsia" w:ascii="仿宋_GB2312" w:hAnsi="仿宋_GB2312" w:eastAsia="仿宋_GB2312" w:cs="仿宋_GB2312"/>
          <w:b w:val="0"/>
          <w:bCs w:val="0"/>
          <w:color w:val="auto"/>
          <w:sz w:val="32"/>
          <w:szCs w:val="32"/>
          <w:highlight w:val="none"/>
        </w:rPr>
        <w:t>万元，主要用于以下方面</w:t>
      </w:r>
      <w:r>
        <w:rPr>
          <w:rFonts w:hint="eastAsia" w:ascii="仿宋_GB2312" w:hAnsi="仿宋_GB2312" w:eastAsia="仿宋_GB2312" w:cs="仿宋_GB2312"/>
          <w:b w:val="0"/>
          <w:bCs w:val="0"/>
          <w:color w:val="auto"/>
          <w:sz w:val="32"/>
          <w:szCs w:val="32"/>
          <w:highlight w:val="none"/>
          <w:lang w:eastAsia="zh-CN"/>
        </w:rPr>
        <w:t>：</w:t>
      </w:r>
      <w:bookmarkStart w:id="32" w:name="OLE_LINK3"/>
      <w:r>
        <w:rPr>
          <w:rFonts w:hint="eastAsia" w:ascii="仿宋_GB2312" w:hAnsi="仿宋_GB2312" w:eastAsia="仿宋_GB2312" w:cs="仿宋_GB2312"/>
          <w:b/>
          <w:color w:val="auto"/>
          <w:sz w:val="32"/>
          <w:szCs w:val="32"/>
          <w:highlight w:val="none"/>
        </w:rPr>
        <w:t>一般公共服务</w:t>
      </w:r>
      <w:r>
        <w:rPr>
          <w:rFonts w:hint="eastAsia" w:ascii="仿宋_GB2312" w:hAnsi="仿宋_GB2312" w:eastAsia="仿宋_GB2312" w:cs="仿宋_GB2312"/>
          <w:b/>
          <w:bCs/>
          <w:color w:val="auto"/>
          <w:sz w:val="32"/>
          <w:szCs w:val="32"/>
          <w:highlight w:val="none"/>
        </w:rPr>
        <w:t>支出</w:t>
      </w:r>
      <w:bookmarkEnd w:id="32"/>
      <w:r>
        <w:rPr>
          <w:rFonts w:hint="eastAsia" w:ascii="仿宋_GB2312" w:hAnsi="仿宋_GB2312" w:eastAsia="仿宋_GB2312" w:cs="仿宋_GB2312"/>
          <w:b w:val="0"/>
          <w:bCs w:val="0"/>
          <w:color w:val="auto"/>
          <w:sz w:val="32"/>
          <w:szCs w:val="32"/>
          <w:highlight w:val="none"/>
          <w:lang w:val="en-US" w:eastAsia="zh-CN"/>
        </w:rPr>
        <w:t>43.04</w:t>
      </w:r>
      <w:r>
        <w:rPr>
          <w:rFonts w:hint="eastAsia" w:ascii="仿宋_GB2312" w:hAnsi="仿宋_GB2312" w:eastAsia="仿宋_GB2312" w:cs="仿宋_GB2312"/>
          <w:b w:val="0"/>
          <w:bCs w:val="0"/>
          <w:color w:val="auto"/>
          <w:sz w:val="32"/>
          <w:szCs w:val="32"/>
          <w:highlight w:val="none"/>
        </w:rPr>
        <w:t>万元，占</w:t>
      </w:r>
      <w:r>
        <w:rPr>
          <w:rFonts w:hint="eastAsia" w:ascii="仿宋_GB2312" w:hAnsi="仿宋_GB2312" w:eastAsia="仿宋_GB2312" w:cs="仿宋_GB2312"/>
          <w:b w:val="0"/>
          <w:bCs w:val="0"/>
          <w:color w:val="auto"/>
          <w:sz w:val="32"/>
          <w:szCs w:val="32"/>
          <w:highlight w:val="none"/>
          <w:lang w:val="en-US" w:eastAsia="zh-CN"/>
        </w:rPr>
        <w:t>8.98</w:t>
      </w:r>
      <w:r>
        <w:rPr>
          <w:rFonts w:hint="eastAsia" w:ascii="仿宋_GB2312" w:hAnsi="仿宋_GB2312" w:eastAsia="仿宋_GB2312" w:cs="仿宋_GB2312"/>
          <w:b w:val="0"/>
          <w:bCs w:val="0"/>
          <w:color w:val="auto"/>
          <w:sz w:val="32"/>
          <w:szCs w:val="32"/>
          <w:highlight w:val="none"/>
        </w:rPr>
        <w:t>%；</w:t>
      </w:r>
      <w:bookmarkStart w:id="33" w:name="OLE_LINK4"/>
      <w:r>
        <w:rPr>
          <w:rFonts w:hint="eastAsia" w:ascii="仿宋_GB2312" w:hAnsi="仿宋_GB2312" w:eastAsia="仿宋_GB2312" w:cs="仿宋_GB2312"/>
          <w:b/>
          <w:bCs/>
          <w:color w:val="auto"/>
          <w:sz w:val="32"/>
          <w:szCs w:val="32"/>
          <w:highlight w:val="none"/>
        </w:rPr>
        <w:t>文化旅游体育与传媒支出</w:t>
      </w:r>
      <w:bookmarkEnd w:id="33"/>
      <w:r>
        <w:rPr>
          <w:rFonts w:hint="eastAsia" w:ascii="仿宋_GB2312" w:hAnsi="仿宋_GB2312" w:eastAsia="仿宋_GB2312" w:cs="仿宋_GB2312"/>
          <w:b w:val="0"/>
          <w:bCs w:val="0"/>
          <w:color w:val="auto"/>
          <w:sz w:val="32"/>
          <w:szCs w:val="32"/>
          <w:highlight w:val="none"/>
          <w:lang w:val="en-US" w:eastAsia="zh-CN"/>
        </w:rPr>
        <w:t>286.07</w:t>
      </w:r>
      <w:r>
        <w:rPr>
          <w:rFonts w:hint="eastAsia" w:ascii="仿宋_GB2312" w:hAnsi="仿宋_GB2312" w:eastAsia="仿宋_GB2312" w:cs="仿宋_GB2312"/>
          <w:b w:val="0"/>
          <w:bCs w:val="0"/>
          <w:color w:val="auto"/>
          <w:sz w:val="32"/>
          <w:szCs w:val="32"/>
          <w:highlight w:val="none"/>
        </w:rPr>
        <w:t>万元，占</w:t>
      </w:r>
      <w:r>
        <w:rPr>
          <w:rFonts w:hint="eastAsia" w:ascii="仿宋_GB2312" w:hAnsi="仿宋_GB2312" w:eastAsia="仿宋_GB2312" w:cs="仿宋_GB2312"/>
          <w:b w:val="0"/>
          <w:bCs w:val="0"/>
          <w:color w:val="auto"/>
          <w:sz w:val="32"/>
          <w:szCs w:val="32"/>
          <w:highlight w:val="none"/>
          <w:lang w:val="en-US" w:eastAsia="zh-CN"/>
        </w:rPr>
        <w:t>59.70</w:t>
      </w:r>
      <w:r>
        <w:rPr>
          <w:rFonts w:hint="eastAsia" w:ascii="仿宋_GB2312" w:hAnsi="仿宋_GB2312" w:eastAsia="仿宋_GB2312" w:cs="仿宋_GB2312"/>
          <w:b w:val="0"/>
          <w:bCs w:val="0"/>
          <w:color w:val="auto"/>
          <w:sz w:val="32"/>
          <w:szCs w:val="32"/>
          <w:highlight w:val="none"/>
        </w:rPr>
        <w:t>%；</w:t>
      </w:r>
      <w:bookmarkStart w:id="34" w:name="OLE_LINK5"/>
      <w:r>
        <w:rPr>
          <w:rFonts w:hint="eastAsia" w:ascii="仿宋_GB2312" w:hAnsi="仿宋_GB2312" w:eastAsia="仿宋_GB2312" w:cs="仿宋_GB2312"/>
          <w:b/>
          <w:color w:val="auto"/>
          <w:sz w:val="32"/>
          <w:szCs w:val="32"/>
          <w:highlight w:val="none"/>
        </w:rPr>
        <w:t>社会保障和就业</w:t>
      </w:r>
      <w:r>
        <w:rPr>
          <w:rFonts w:hint="eastAsia" w:ascii="仿宋_GB2312" w:hAnsi="仿宋_GB2312" w:eastAsia="仿宋_GB2312" w:cs="仿宋_GB2312"/>
          <w:b/>
          <w:bCs/>
          <w:color w:val="auto"/>
          <w:sz w:val="32"/>
          <w:szCs w:val="32"/>
          <w:highlight w:val="none"/>
        </w:rPr>
        <w:t>支出</w:t>
      </w:r>
      <w:bookmarkEnd w:id="34"/>
      <w:r>
        <w:rPr>
          <w:rFonts w:hint="eastAsia" w:ascii="仿宋_GB2312" w:hAnsi="仿宋_GB2312" w:eastAsia="仿宋_GB2312" w:cs="仿宋_GB2312"/>
          <w:b w:val="0"/>
          <w:bCs w:val="0"/>
          <w:color w:val="auto"/>
          <w:sz w:val="32"/>
          <w:szCs w:val="32"/>
          <w:highlight w:val="none"/>
          <w:lang w:val="en-US" w:eastAsia="zh-CN"/>
        </w:rPr>
        <w:t>57.41</w:t>
      </w:r>
      <w:r>
        <w:rPr>
          <w:rFonts w:hint="eastAsia" w:ascii="仿宋_GB2312" w:hAnsi="仿宋_GB2312" w:eastAsia="仿宋_GB2312" w:cs="仿宋_GB2312"/>
          <w:b w:val="0"/>
          <w:bCs w:val="0"/>
          <w:color w:val="auto"/>
          <w:sz w:val="32"/>
          <w:szCs w:val="32"/>
          <w:highlight w:val="none"/>
        </w:rPr>
        <w:t>万元，占</w:t>
      </w:r>
      <w:r>
        <w:rPr>
          <w:rFonts w:hint="eastAsia" w:ascii="仿宋_GB2312" w:hAnsi="仿宋_GB2312" w:eastAsia="仿宋_GB2312" w:cs="仿宋_GB2312"/>
          <w:b w:val="0"/>
          <w:bCs w:val="0"/>
          <w:color w:val="auto"/>
          <w:sz w:val="32"/>
          <w:szCs w:val="32"/>
          <w:highlight w:val="none"/>
          <w:lang w:val="en-US" w:eastAsia="zh-CN"/>
        </w:rPr>
        <w:t>11.98</w:t>
      </w:r>
      <w:r>
        <w:rPr>
          <w:rFonts w:hint="eastAsia" w:ascii="仿宋_GB2312" w:hAnsi="仿宋_GB2312" w:eastAsia="仿宋_GB2312" w:cs="仿宋_GB2312"/>
          <w:b w:val="0"/>
          <w:bCs w:val="0"/>
          <w:color w:val="auto"/>
          <w:sz w:val="32"/>
          <w:szCs w:val="32"/>
          <w:highlight w:val="none"/>
        </w:rPr>
        <w:t>%；</w:t>
      </w:r>
      <w:bookmarkStart w:id="35" w:name="OLE_LINK6"/>
      <w:r>
        <w:rPr>
          <w:rFonts w:hint="eastAsia" w:ascii="仿宋_GB2312" w:hAnsi="仿宋_GB2312" w:eastAsia="仿宋_GB2312" w:cs="仿宋_GB2312"/>
          <w:b/>
          <w:bCs/>
          <w:color w:val="auto"/>
          <w:sz w:val="32"/>
          <w:szCs w:val="32"/>
          <w:highlight w:val="none"/>
        </w:rPr>
        <w:t>卫生健康支出</w:t>
      </w:r>
      <w:bookmarkEnd w:id="35"/>
      <w:r>
        <w:rPr>
          <w:rFonts w:hint="eastAsia" w:ascii="仿宋_GB2312" w:hAnsi="仿宋_GB2312" w:eastAsia="仿宋_GB2312" w:cs="仿宋_GB2312"/>
          <w:b w:val="0"/>
          <w:bCs w:val="0"/>
          <w:color w:val="auto"/>
          <w:sz w:val="32"/>
          <w:szCs w:val="32"/>
          <w:highlight w:val="none"/>
          <w:lang w:val="en-US" w:eastAsia="zh-CN"/>
        </w:rPr>
        <w:t>12.76</w:t>
      </w:r>
      <w:r>
        <w:rPr>
          <w:rFonts w:hint="eastAsia" w:ascii="仿宋_GB2312" w:hAnsi="仿宋_GB2312" w:eastAsia="仿宋_GB2312" w:cs="仿宋_GB2312"/>
          <w:b w:val="0"/>
          <w:bCs w:val="0"/>
          <w:color w:val="auto"/>
          <w:sz w:val="32"/>
          <w:szCs w:val="32"/>
          <w:highlight w:val="none"/>
        </w:rPr>
        <w:t>万元，占</w:t>
      </w:r>
      <w:r>
        <w:rPr>
          <w:rFonts w:hint="eastAsia" w:ascii="仿宋_GB2312" w:hAnsi="仿宋_GB2312" w:eastAsia="仿宋_GB2312" w:cs="仿宋_GB2312"/>
          <w:b w:val="0"/>
          <w:bCs w:val="0"/>
          <w:color w:val="auto"/>
          <w:sz w:val="32"/>
          <w:szCs w:val="32"/>
          <w:highlight w:val="none"/>
          <w:lang w:val="en-US" w:eastAsia="zh-CN"/>
        </w:rPr>
        <w:t>2.7</w:t>
      </w:r>
      <w:r>
        <w:rPr>
          <w:rFonts w:hint="eastAsia" w:ascii="仿宋_GB2312" w:hAnsi="仿宋_GB2312" w:eastAsia="仿宋_GB2312" w:cs="仿宋_GB2312"/>
          <w:b w:val="0"/>
          <w:bCs w:val="0"/>
          <w:color w:val="auto"/>
          <w:sz w:val="32"/>
          <w:szCs w:val="32"/>
          <w:highlight w:val="none"/>
        </w:rPr>
        <w:t>%；</w:t>
      </w:r>
      <w:bookmarkStart w:id="36" w:name="OLE_LINK7"/>
      <w:r>
        <w:rPr>
          <w:rFonts w:hint="eastAsia" w:ascii="仿宋_GB2312" w:hAnsi="仿宋_GB2312" w:eastAsia="仿宋_GB2312" w:cs="仿宋_GB2312"/>
          <w:b/>
          <w:bCs/>
          <w:color w:val="auto"/>
          <w:sz w:val="32"/>
          <w:szCs w:val="32"/>
          <w:highlight w:val="none"/>
        </w:rPr>
        <w:t>住房保障支出</w:t>
      </w:r>
      <w:bookmarkEnd w:id="36"/>
      <w:r>
        <w:rPr>
          <w:rFonts w:hint="eastAsia" w:ascii="仿宋_GB2312" w:hAnsi="仿宋_GB2312" w:eastAsia="仿宋_GB2312" w:cs="仿宋_GB2312"/>
          <w:b w:val="0"/>
          <w:bCs w:val="0"/>
          <w:color w:val="auto"/>
          <w:sz w:val="32"/>
          <w:szCs w:val="32"/>
          <w:highlight w:val="none"/>
          <w:lang w:val="en-US" w:eastAsia="zh-CN"/>
        </w:rPr>
        <w:t>25.70</w:t>
      </w:r>
      <w:r>
        <w:rPr>
          <w:rFonts w:hint="eastAsia" w:ascii="仿宋_GB2312" w:hAnsi="仿宋_GB2312" w:eastAsia="仿宋_GB2312" w:cs="仿宋_GB2312"/>
          <w:b w:val="0"/>
          <w:bCs w:val="0"/>
          <w:color w:val="auto"/>
          <w:sz w:val="32"/>
          <w:szCs w:val="32"/>
          <w:highlight w:val="none"/>
        </w:rPr>
        <w:t>万元，占</w:t>
      </w:r>
      <w:r>
        <w:rPr>
          <w:rFonts w:hint="eastAsia" w:ascii="仿宋_GB2312" w:hAnsi="仿宋_GB2312" w:eastAsia="仿宋_GB2312" w:cs="仿宋_GB2312"/>
          <w:b w:val="0"/>
          <w:bCs w:val="0"/>
          <w:color w:val="auto"/>
          <w:sz w:val="32"/>
          <w:szCs w:val="32"/>
          <w:highlight w:val="none"/>
          <w:lang w:val="en-US" w:eastAsia="zh-CN"/>
        </w:rPr>
        <w:t>5.34</w:t>
      </w:r>
      <w:r>
        <w:rPr>
          <w:rFonts w:hint="eastAsia" w:ascii="仿宋_GB2312" w:hAnsi="仿宋_GB2312" w:eastAsia="仿宋_GB2312" w:cs="仿宋_GB2312"/>
          <w:b w:val="0"/>
          <w:bCs w:val="0"/>
          <w:color w:val="auto"/>
          <w:sz w:val="32"/>
          <w:szCs w:val="32"/>
          <w:highlight w:val="none"/>
        </w:rPr>
        <w:t>%</w:t>
      </w: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lang w:val="en-US" w:eastAsia="zh-CN"/>
        </w:rPr>
        <w:t>城乡社区支出54.16；占11.30%。</w:t>
      </w:r>
    </w:p>
    <w:p w14:paraId="6EBDEF02">
      <w:pPr>
        <w:pStyle w:val="5"/>
        <w:rPr>
          <w:rFonts w:hint="eastAsia" w:ascii="仿宋" w:hAnsi="仿宋" w:eastAsia="仿宋"/>
          <w:color w:val="auto"/>
          <w:sz w:val="32"/>
          <w:szCs w:val="32"/>
          <w:highlight w:val="none"/>
          <w:lang w:eastAsia="zh-CN"/>
        </w:rPr>
      </w:pPr>
    </w:p>
    <w:p w14:paraId="4F76EE92">
      <w:pPr>
        <w:rPr>
          <w:rFonts w:ascii="仿宋" w:hAnsi="仿宋" w:eastAsia="仿宋"/>
          <w:b/>
          <w:color w:val="auto"/>
          <w:sz w:val="32"/>
          <w:szCs w:val="32"/>
          <w:highlight w:val="none"/>
        </w:rPr>
      </w:pPr>
      <w:r>
        <w:rPr>
          <w:rFonts w:hint="eastAsia" w:ascii="仿宋" w:hAnsi="仿宋" w:eastAsia="仿宋"/>
          <w:color w:val="auto"/>
          <w:sz w:val="32"/>
          <w:szCs w:val="32"/>
          <w:highlight w:val="none"/>
          <w:lang w:eastAsia="zh-CN"/>
        </w:rPr>
        <w:drawing>
          <wp:inline distT="0" distB="0" distL="114300" distR="114300">
            <wp:extent cx="5080000" cy="3810000"/>
            <wp:effectExtent l="4445" t="4445" r="20955" b="14605"/>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Start w:id="37" w:name="_Toc15377212"/>
      <w:r>
        <w:rPr>
          <w:rFonts w:hint="eastAsia" w:ascii="仿宋" w:hAnsi="仿宋" w:eastAsia="仿宋"/>
          <w:b/>
          <w:color w:val="auto"/>
          <w:sz w:val="32"/>
          <w:szCs w:val="32"/>
          <w:highlight w:val="none"/>
        </w:rPr>
        <w:t>（三）一般公共预算财政拨款支出决算具体情况</w:t>
      </w:r>
      <w:bookmarkEnd w:id="37"/>
    </w:p>
    <w:p w14:paraId="019B80EB">
      <w:pPr>
        <w:spacing w:line="600" w:lineRule="exact"/>
        <w:ind w:firstLine="643" w:firstLineChars="200"/>
        <w:outlineLvl w:val="2"/>
        <w:rPr>
          <w:rFonts w:hint="eastAsia" w:ascii="仿宋_GB2312" w:hAnsi="仿宋_GB2312" w:eastAsia="仿宋_GB2312" w:cs="仿宋_GB2312"/>
          <w:color w:val="auto"/>
          <w:sz w:val="32"/>
          <w:szCs w:val="32"/>
          <w:highlight w:val="none"/>
        </w:rPr>
      </w:pPr>
      <w:bookmarkStart w:id="38" w:name="_Toc15378460"/>
      <w:bookmarkStart w:id="39" w:name="_Toc15377213"/>
      <w:bookmarkStart w:id="40" w:name="_Toc15377444"/>
      <w:r>
        <w:rPr>
          <w:rFonts w:hint="eastAsia" w:ascii="仿宋_GB2312" w:hAnsi="仿宋_GB2312" w:eastAsia="仿宋_GB2312" w:cs="仿宋_GB2312"/>
          <w:b/>
          <w:color w:val="auto"/>
          <w:sz w:val="32"/>
          <w:szCs w:val="32"/>
          <w:highlight w:val="none"/>
        </w:rPr>
        <w:t>20</w:t>
      </w:r>
      <w:r>
        <w:rPr>
          <w:rFonts w:hint="eastAsia" w:ascii="仿宋_GB2312" w:hAnsi="仿宋_GB2312" w:eastAsia="仿宋_GB2312" w:cs="仿宋_GB2312"/>
          <w:b/>
          <w:color w:val="auto"/>
          <w:sz w:val="32"/>
          <w:szCs w:val="32"/>
          <w:highlight w:val="none"/>
          <w:lang w:val="en-US" w:eastAsia="zh-CN"/>
        </w:rPr>
        <w:t>23</w:t>
      </w:r>
      <w:r>
        <w:rPr>
          <w:rFonts w:hint="eastAsia" w:ascii="仿宋_GB2312" w:hAnsi="仿宋_GB2312" w:eastAsia="仿宋_GB2312" w:cs="仿宋_GB2312"/>
          <w:b/>
          <w:color w:val="auto"/>
          <w:sz w:val="32"/>
          <w:szCs w:val="32"/>
          <w:highlight w:val="none"/>
        </w:rPr>
        <w:t>年</w:t>
      </w:r>
      <w:r>
        <w:rPr>
          <w:rFonts w:hint="eastAsia" w:ascii="仿宋_GB2312" w:hAnsi="仿宋_GB2312" w:eastAsia="仿宋_GB2312" w:cs="仿宋_GB2312"/>
          <w:b/>
          <w:color w:val="auto"/>
          <w:sz w:val="32"/>
          <w:szCs w:val="32"/>
          <w:highlight w:val="none"/>
          <w:lang w:eastAsia="zh-CN"/>
        </w:rPr>
        <w:t>一</w:t>
      </w:r>
      <w:r>
        <w:rPr>
          <w:rFonts w:hint="eastAsia" w:ascii="仿宋_GB2312" w:hAnsi="仿宋_GB2312" w:eastAsia="仿宋_GB2312" w:cs="仿宋_GB2312"/>
          <w:b/>
          <w:color w:val="auto"/>
          <w:sz w:val="32"/>
          <w:szCs w:val="32"/>
          <w:highlight w:val="none"/>
        </w:rPr>
        <w:t>般公共预算支出决算数为</w:t>
      </w:r>
      <w:r>
        <w:rPr>
          <w:rFonts w:hint="eastAsia" w:ascii="仿宋_GB2312" w:hAnsi="仿宋_GB2312" w:eastAsia="仿宋_GB2312" w:cs="仿宋_GB2312"/>
          <w:b/>
          <w:color w:val="auto"/>
          <w:sz w:val="32"/>
          <w:szCs w:val="32"/>
          <w:highlight w:val="none"/>
          <w:lang w:val="en-US" w:eastAsia="zh-CN"/>
        </w:rPr>
        <w:t>424.98</w:t>
      </w:r>
      <w:r>
        <w:rPr>
          <w:rFonts w:hint="eastAsia" w:ascii="仿宋_GB2312" w:hAnsi="仿宋_GB2312" w:eastAsia="仿宋_GB2312" w:cs="仿宋_GB2312"/>
          <w:color w:val="auto"/>
          <w:sz w:val="32"/>
          <w:szCs w:val="32"/>
          <w:highlight w:val="none"/>
        </w:rPr>
        <w:t>，</w:t>
      </w:r>
      <w:r>
        <w:rPr>
          <w:rStyle w:val="17"/>
          <w:rFonts w:hint="eastAsia" w:ascii="仿宋_GB2312" w:hAnsi="仿宋_GB2312" w:eastAsia="仿宋_GB2312" w:cs="仿宋_GB2312"/>
          <w:bCs/>
          <w:color w:val="auto"/>
          <w:sz w:val="32"/>
          <w:szCs w:val="32"/>
          <w:highlight w:val="none"/>
        </w:rPr>
        <w:t>完成预算</w:t>
      </w:r>
      <w:r>
        <w:rPr>
          <w:rStyle w:val="17"/>
          <w:rFonts w:hint="eastAsia" w:ascii="仿宋_GB2312" w:hAnsi="仿宋_GB2312" w:eastAsia="仿宋_GB2312" w:cs="仿宋_GB2312"/>
          <w:bCs/>
          <w:color w:val="auto"/>
          <w:sz w:val="32"/>
          <w:szCs w:val="32"/>
          <w:highlight w:val="none"/>
          <w:lang w:val="en-US" w:eastAsia="zh-CN"/>
        </w:rPr>
        <w:t>100</w:t>
      </w:r>
      <w:r>
        <w:rPr>
          <w:rStyle w:val="17"/>
          <w:rFonts w:hint="eastAsia" w:ascii="仿宋_GB2312" w:hAnsi="仿宋_GB2312" w:eastAsia="仿宋_GB2312" w:cs="仿宋_GB2312"/>
          <w:bCs/>
          <w:color w:val="auto"/>
          <w:sz w:val="32"/>
          <w:szCs w:val="32"/>
          <w:highlight w:val="none"/>
        </w:rPr>
        <w:t>%。其中：</w:t>
      </w:r>
      <w:bookmarkEnd w:id="38"/>
      <w:bookmarkEnd w:id="39"/>
      <w:bookmarkEnd w:id="40"/>
    </w:p>
    <w:p w14:paraId="65A718D9">
      <w:pPr>
        <w:spacing w:line="600" w:lineRule="exact"/>
        <w:ind w:firstLine="643" w:firstLineChars="200"/>
        <w:rPr>
          <w:rFonts w:hint="eastAsia" w:ascii="仿宋_GB2312" w:hAnsi="仿宋_GB2312" w:eastAsia="仿宋_GB2312" w:cs="仿宋_GB2312"/>
          <w:b/>
          <w:color w:val="auto"/>
          <w:sz w:val="32"/>
          <w:szCs w:val="32"/>
          <w:highlight w:val="none"/>
        </w:rPr>
      </w:pPr>
      <w:r>
        <w:rPr>
          <w:rStyle w:val="17"/>
          <w:rFonts w:hint="eastAsia" w:ascii="仿宋_GB2312" w:hAnsi="仿宋_GB2312" w:eastAsia="仿宋_GB2312" w:cs="仿宋_GB2312"/>
          <w:bCs/>
          <w:color w:val="auto"/>
          <w:sz w:val="32"/>
          <w:szCs w:val="32"/>
          <w:highlight w:val="none"/>
        </w:rPr>
        <w:t>1.一般公共服务（类）</w:t>
      </w:r>
      <w:r>
        <w:rPr>
          <w:rStyle w:val="17"/>
          <w:rFonts w:hint="eastAsia" w:ascii="仿宋_GB2312" w:hAnsi="仿宋_GB2312" w:eastAsia="仿宋_GB2312" w:cs="仿宋_GB2312"/>
          <w:bCs/>
          <w:color w:val="auto"/>
          <w:sz w:val="32"/>
          <w:szCs w:val="32"/>
          <w:highlight w:val="none"/>
          <w:lang w:eastAsia="zh-CN"/>
        </w:rPr>
        <w:t>宣传事务</w:t>
      </w:r>
      <w:r>
        <w:rPr>
          <w:rStyle w:val="17"/>
          <w:rFonts w:hint="eastAsia" w:ascii="仿宋_GB2312" w:hAnsi="仿宋_GB2312" w:eastAsia="仿宋_GB2312" w:cs="仿宋_GB2312"/>
          <w:bCs/>
          <w:color w:val="auto"/>
          <w:sz w:val="32"/>
          <w:szCs w:val="32"/>
          <w:highlight w:val="none"/>
        </w:rPr>
        <w:t>（款）</w:t>
      </w:r>
      <w:r>
        <w:rPr>
          <w:rStyle w:val="17"/>
          <w:rFonts w:hint="eastAsia" w:ascii="仿宋_GB2312" w:hAnsi="仿宋_GB2312" w:eastAsia="仿宋_GB2312" w:cs="仿宋_GB2312"/>
          <w:bCs/>
          <w:color w:val="auto"/>
          <w:sz w:val="32"/>
          <w:szCs w:val="32"/>
          <w:highlight w:val="none"/>
          <w:lang w:eastAsia="zh-CN"/>
        </w:rPr>
        <w:t>其他宣传事务支出</w:t>
      </w:r>
      <w:r>
        <w:rPr>
          <w:rStyle w:val="17"/>
          <w:rFonts w:hint="eastAsia" w:ascii="仿宋_GB2312" w:hAnsi="仿宋_GB2312" w:eastAsia="仿宋_GB2312" w:cs="仿宋_GB2312"/>
          <w:bCs/>
          <w:color w:val="auto"/>
          <w:sz w:val="32"/>
          <w:szCs w:val="32"/>
          <w:highlight w:val="none"/>
        </w:rPr>
        <w:t>（项）</w:t>
      </w:r>
      <w:r>
        <w:rPr>
          <w:rStyle w:val="17"/>
          <w:rFonts w:hint="eastAsia" w:ascii="仿宋_GB2312" w:hAnsi="仿宋_GB2312" w:eastAsia="仿宋_GB2312" w:cs="仿宋_GB2312"/>
          <w:bCs/>
          <w:color w:val="auto"/>
          <w:sz w:val="32"/>
          <w:szCs w:val="32"/>
          <w:highlight w:val="none"/>
          <w:lang w:eastAsia="zh-CN"/>
        </w:rPr>
        <w:t>：</w:t>
      </w:r>
      <w:r>
        <w:rPr>
          <w:rStyle w:val="17"/>
          <w:rFonts w:hint="eastAsia" w:ascii="仿宋_GB2312" w:hAnsi="仿宋_GB2312" w:eastAsia="仿宋_GB2312" w:cs="仿宋_GB2312"/>
          <w:b w:val="0"/>
          <w:bCs/>
          <w:color w:val="auto"/>
          <w:sz w:val="32"/>
          <w:szCs w:val="32"/>
          <w:highlight w:val="none"/>
        </w:rPr>
        <w:t xml:space="preserve"> 支出决算为</w:t>
      </w:r>
      <w:r>
        <w:rPr>
          <w:rStyle w:val="17"/>
          <w:rFonts w:hint="eastAsia" w:ascii="仿宋_GB2312" w:hAnsi="仿宋_GB2312" w:eastAsia="仿宋_GB2312" w:cs="仿宋_GB2312"/>
          <w:b w:val="0"/>
          <w:bCs/>
          <w:color w:val="auto"/>
          <w:sz w:val="32"/>
          <w:szCs w:val="32"/>
          <w:highlight w:val="none"/>
          <w:lang w:val="en-US" w:eastAsia="zh-CN"/>
        </w:rPr>
        <w:t>43.04</w:t>
      </w:r>
      <w:r>
        <w:rPr>
          <w:rStyle w:val="17"/>
          <w:rFonts w:hint="eastAsia" w:ascii="仿宋_GB2312" w:hAnsi="仿宋_GB2312" w:eastAsia="仿宋_GB2312" w:cs="仿宋_GB2312"/>
          <w:b w:val="0"/>
          <w:bCs/>
          <w:color w:val="auto"/>
          <w:sz w:val="32"/>
          <w:szCs w:val="32"/>
          <w:highlight w:val="none"/>
        </w:rPr>
        <w:t>万元，完成预算</w:t>
      </w:r>
      <w:r>
        <w:rPr>
          <w:rStyle w:val="17"/>
          <w:rFonts w:hint="eastAsia" w:ascii="仿宋_GB2312" w:hAnsi="仿宋_GB2312" w:eastAsia="仿宋_GB2312" w:cs="仿宋_GB2312"/>
          <w:b w:val="0"/>
          <w:bCs/>
          <w:color w:val="auto"/>
          <w:sz w:val="32"/>
          <w:szCs w:val="32"/>
          <w:highlight w:val="none"/>
          <w:lang w:val="en-US" w:eastAsia="zh-CN"/>
        </w:rPr>
        <w:t>100</w:t>
      </w:r>
      <w:r>
        <w:rPr>
          <w:rStyle w:val="17"/>
          <w:rFonts w:hint="eastAsia" w:ascii="仿宋_GB2312" w:hAnsi="仿宋_GB2312" w:eastAsia="仿宋_GB2312" w:cs="仿宋_GB2312"/>
          <w:b w:val="0"/>
          <w:bCs/>
          <w:color w:val="auto"/>
          <w:sz w:val="32"/>
          <w:szCs w:val="32"/>
          <w:highlight w:val="none"/>
        </w:rPr>
        <w:t>%，决算数等于预算数。</w:t>
      </w:r>
    </w:p>
    <w:p w14:paraId="67408667">
      <w:pPr>
        <w:spacing w:line="600" w:lineRule="exact"/>
        <w:ind w:firstLine="643" w:firstLineChars="200"/>
        <w:rPr>
          <w:rFonts w:hint="eastAsia" w:ascii="仿宋_GB2312" w:hAnsi="仿宋_GB2312" w:eastAsia="仿宋_GB2312" w:cs="仿宋_GB2312"/>
          <w:b/>
          <w:color w:val="auto"/>
          <w:sz w:val="32"/>
          <w:szCs w:val="32"/>
          <w:highlight w:val="none"/>
        </w:rPr>
      </w:pPr>
      <w:r>
        <w:rPr>
          <w:rStyle w:val="17"/>
          <w:rFonts w:hint="eastAsia" w:ascii="仿宋_GB2312" w:hAnsi="仿宋_GB2312" w:eastAsia="仿宋_GB2312" w:cs="仿宋_GB2312"/>
          <w:bCs/>
          <w:color w:val="auto"/>
          <w:sz w:val="32"/>
          <w:szCs w:val="32"/>
          <w:highlight w:val="none"/>
          <w:lang w:val="en-US" w:eastAsia="zh-CN"/>
        </w:rPr>
        <w:t>2</w:t>
      </w:r>
      <w:r>
        <w:rPr>
          <w:rStyle w:val="17"/>
          <w:rFonts w:hint="eastAsia" w:ascii="仿宋_GB2312" w:hAnsi="仿宋_GB2312" w:eastAsia="仿宋_GB2312" w:cs="仿宋_GB2312"/>
          <w:bCs/>
          <w:color w:val="auto"/>
          <w:sz w:val="32"/>
          <w:szCs w:val="32"/>
          <w:highlight w:val="none"/>
        </w:rPr>
        <w:t>.文化旅游体育与传媒（类）</w:t>
      </w:r>
      <w:r>
        <w:rPr>
          <w:rStyle w:val="17"/>
          <w:rFonts w:hint="eastAsia" w:ascii="仿宋_GB2312" w:hAnsi="仿宋_GB2312" w:eastAsia="仿宋_GB2312" w:cs="仿宋_GB2312"/>
          <w:bCs/>
          <w:color w:val="auto"/>
          <w:sz w:val="32"/>
          <w:szCs w:val="32"/>
          <w:highlight w:val="none"/>
          <w:lang w:eastAsia="zh-CN"/>
        </w:rPr>
        <w:t>广播电视</w:t>
      </w:r>
      <w:r>
        <w:rPr>
          <w:rStyle w:val="17"/>
          <w:rFonts w:hint="eastAsia" w:ascii="仿宋_GB2312" w:hAnsi="仿宋_GB2312" w:eastAsia="仿宋_GB2312" w:cs="仿宋_GB2312"/>
          <w:bCs/>
          <w:color w:val="auto"/>
          <w:sz w:val="32"/>
          <w:szCs w:val="32"/>
          <w:highlight w:val="none"/>
        </w:rPr>
        <w:t>（款）</w:t>
      </w:r>
      <w:r>
        <w:rPr>
          <w:rStyle w:val="17"/>
          <w:rFonts w:hint="eastAsia" w:ascii="仿宋_GB2312" w:hAnsi="仿宋_GB2312" w:eastAsia="仿宋_GB2312" w:cs="仿宋_GB2312"/>
          <w:bCs/>
          <w:color w:val="auto"/>
          <w:sz w:val="32"/>
          <w:szCs w:val="32"/>
          <w:highlight w:val="none"/>
          <w:lang w:eastAsia="zh-CN"/>
        </w:rPr>
        <w:t>其他广播电视支出</w:t>
      </w:r>
      <w:r>
        <w:rPr>
          <w:rStyle w:val="17"/>
          <w:rFonts w:hint="eastAsia" w:ascii="仿宋_GB2312" w:hAnsi="仿宋_GB2312" w:eastAsia="仿宋_GB2312" w:cs="仿宋_GB2312"/>
          <w:bCs/>
          <w:color w:val="auto"/>
          <w:sz w:val="32"/>
          <w:szCs w:val="32"/>
          <w:highlight w:val="none"/>
        </w:rPr>
        <w:t>（项）</w:t>
      </w:r>
      <w:r>
        <w:rPr>
          <w:rStyle w:val="17"/>
          <w:rFonts w:hint="eastAsia" w:ascii="仿宋_GB2312" w:hAnsi="仿宋_GB2312" w:eastAsia="仿宋_GB2312" w:cs="仿宋_GB2312"/>
          <w:bCs/>
          <w:color w:val="auto"/>
          <w:sz w:val="32"/>
          <w:szCs w:val="32"/>
          <w:highlight w:val="none"/>
          <w:lang w:eastAsia="zh-CN"/>
        </w:rPr>
        <w:t>：</w:t>
      </w:r>
      <w:r>
        <w:rPr>
          <w:rStyle w:val="17"/>
          <w:rFonts w:hint="eastAsia" w:ascii="仿宋_GB2312" w:hAnsi="仿宋_GB2312" w:eastAsia="仿宋_GB2312" w:cs="仿宋_GB2312"/>
          <w:b w:val="0"/>
          <w:bCs/>
          <w:color w:val="auto"/>
          <w:sz w:val="32"/>
          <w:szCs w:val="32"/>
          <w:highlight w:val="none"/>
        </w:rPr>
        <w:t xml:space="preserve"> 支出决算为</w:t>
      </w:r>
      <w:r>
        <w:rPr>
          <w:rStyle w:val="17"/>
          <w:rFonts w:hint="eastAsia" w:ascii="仿宋_GB2312" w:hAnsi="仿宋_GB2312" w:eastAsia="仿宋_GB2312" w:cs="仿宋_GB2312"/>
          <w:b w:val="0"/>
          <w:bCs/>
          <w:color w:val="auto"/>
          <w:sz w:val="32"/>
          <w:szCs w:val="32"/>
          <w:highlight w:val="none"/>
          <w:lang w:val="en-US" w:eastAsia="zh-CN"/>
        </w:rPr>
        <w:t>286.06</w:t>
      </w:r>
      <w:r>
        <w:rPr>
          <w:rStyle w:val="17"/>
          <w:rFonts w:hint="eastAsia" w:ascii="仿宋_GB2312" w:hAnsi="仿宋_GB2312" w:eastAsia="仿宋_GB2312" w:cs="仿宋_GB2312"/>
          <w:b w:val="0"/>
          <w:bCs/>
          <w:color w:val="auto"/>
          <w:sz w:val="32"/>
          <w:szCs w:val="32"/>
          <w:highlight w:val="none"/>
        </w:rPr>
        <w:t>万元，完成预算</w:t>
      </w:r>
      <w:r>
        <w:rPr>
          <w:rStyle w:val="17"/>
          <w:rFonts w:hint="eastAsia" w:ascii="仿宋_GB2312" w:hAnsi="仿宋_GB2312" w:eastAsia="仿宋_GB2312" w:cs="仿宋_GB2312"/>
          <w:b w:val="0"/>
          <w:bCs/>
          <w:color w:val="auto"/>
          <w:sz w:val="32"/>
          <w:szCs w:val="32"/>
          <w:highlight w:val="none"/>
          <w:lang w:val="en-US" w:eastAsia="zh-CN"/>
        </w:rPr>
        <w:t>100</w:t>
      </w:r>
      <w:r>
        <w:rPr>
          <w:rStyle w:val="17"/>
          <w:rFonts w:hint="eastAsia" w:ascii="仿宋_GB2312" w:hAnsi="仿宋_GB2312" w:eastAsia="仿宋_GB2312" w:cs="仿宋_GB2312"/>
          <w:b w:val="0"/>
          <w:bCs/>
          <w:color w:val="auto"/>
          <w:sz w:val="32"/>
          <w:szCs w:val="32"/>
          <w:highlight w:val="none"/>
        </w:rPr>
        <w:t>%，决算数等于预算数。</w:t>
      </w:r>
    </w:p>
    <w:p w14:paraId="6513BF27">
      <w:pPr>
        <w:spacing w:line="600" w:lineRule="exact"/>
        <w:ind w:firstLine="643" w:firstLineChars="200"/>
        <w:rPr>
          <w:rStyle w:val="17"/>
          <w:rFonts w:hint="eastAsia" w:ascii="仿宋_GB2312" w:hAnsi="仿宋_GB2312" w:eastAsia="仿宋_GB2312" w:cs="仿宋_GB2312"/>
          <w:b w:val="0"/>
          <w:bCs/>
          <w:color w:val="auto"/>
          <w:sz w:val="32"/>
          <w:szCs w:val="32"/>
          <w:highlight w:val="none"/>
        </w:rPr>
      </w:pPr>
      <w:r>
        <w:rPr>
          <w:rStyle w:val="17"/>
          <w:rFonts w:hint="eastAsia" w:ascii="仿宋_GB2312" w:hAnsi="仿宋_GB2312" w:eastAsia="仿宋_GB2312" w:cs="仿宋_GB2312"/>
          <w:bCs/>
          <w:color w:val="auto"/>
          <w:sz w:val="32"/>
          <w:szCs w:val="32"/>
          <w:highlight w:val="none"/>
          <w:lang w:val="en-US" w:eastAsia="zh-CN"/>
        </w:rPr>
        <w:t>3</w:t>
      </w:r>
      <w:r>
        <w:rPr>
          <w:rStyle w:val="17"/>
          <w:rFonts w:hint="eastAsia" w:ascii="仿宋_GB2312" w:hAnsi="仿宋_GB2312" w:eastAsia="仿宋_GB2312" w:cs="仿宋_GB2312"/>
          <w:bCs/>
          <w:color w:val="auto"/>
          <w:sz w:val="32"/>
          <w:szCs w:val="32"/>
          <w:highlight w:val="none"/>
        </w:rPr>
        <w:t>.社会保障和就业（类）</w:t>
      </w:r>
      <w:r>
        <w:rPr>
          <w:rStyle w:val="17"/>
          <w:rFonts w:hint="eastAsia" w:ascii="仿宋_GB2312" w:hAnsi="仿宋_GB2312" w:eastAsia="仿宋_GB2312" w:cs="仿宋_GB2312"/>
          <w:bCs/>
          <w:color w:val="auto"/>
          <w:sz w:val="32"/>
          <w:szCs w:val="32"/>
          <w:highlight w:val="none"/>
          <w:lang w:eastAsia="zh-CN"/>
        </w:rPr>
        <w:t>行政事业单位养老支出</w:t>
      </w:r>
      <w:r>
        <w:rPr>
          <w:rStyle w:val="17"/>
          <w:rFonts w:hint="eastAsia" w:ascii="仿宋_GB2312" w:hAnsi="仿宋_GB2312" w:eastAsia="仿宋_GB2312" w:cs="仿宋_GB2312"/>
          <w:bCs/>
          <w:color w:val="auto"/>
          <w:sz w:val="32"/>
          <w:szCs w:val="32"/>
          <w:highlight w:val="none"/>
        </w:rPr>
        <w:t>（款）</w:t>
      </w:r>
      <w:r>
        <w:rPr>
          <w:rStyle w:val="17"/>
          <w:rFonts w:hint="eastAsia" w:ascii="仿宋_GB2312" w:hAnsi="仿宋_GB2312" w:eastAsia="仿宋_GB2312" w:cs="仿宋_GB2312"/>
          <w:bCs/>
          <w:color w:val="auto"/>
          <w:sz w:val="32"/>
          <w:szCs w:val="32"/>
          <w:highlight w:val="none"/>
          <w:lang w:eastAsia="zh-CN"/>
        </w:rPr>
        <w:t>机关事业单位养老保险缴费支出</w:t>
      </w:r>
      <w:r>
        <w:rPr>
          <w:rStyle w:val="17"/>
          <w:rFonts w:hint="eastAsia" w:ascii="仿宋_GB2312" w:hAnsi="仿宋_GB2312" w:eastAsia="仿宋_GB2312" w:cs="仿宋_GB2312"/>
          <w:bCs/>
          <w:color w:val="auto"/>
          <w:sz w:val="32"/>
          <w:szCs w:val="32"/>
          <w:highlight w:val="none"/>
        </w:rPr>
        <w:t>（项）</w:t>
      </w:r>
      <w:r>
        <w:rPr>
          <w:rStyle w:val="17"/>
          <w:rFonts w:hint="eastAsia" w:ascii="仿宋_GB2312" w:hAnsi="仿宋_GB2312" w:eastAsia="仿宋_GB2312" w:cs="仿宋_GB2312"/>
          <w:bCs/>
          <w:color w:val="auto"/>
          <w:sz w:val="32"/>
          <w:szCs w:val="32"/>
          <w:highlight w:val="none"/>
          <w:lang w:eastAsia="zh-CN"/>
        </w:rPr>
        <w:t>：</w:t>
      </w:r>
      <w:r>
        <w:rPr>
          <w:rStyle w:val="17"/>
          <w:rFonts w:hint="eastAsia" w:ascii="仿宋_GB2312" w:hAnsi="仿宋_GB2312" w:eastAsia="仿宋_GB2312" w:cs="仿宋_GB2312"/>
          <w:b w:val="0"/>
          <w:bCs/>
          <w:color w:val="auto"/>
          <w:sz w:val="32"/>
          <w:szCs w:val="32"/>
          <w:highlight w:val="none"/>
        </w:rPr>
        <w:t xml:space="preserve"> 支出决算为</w:t>
      </w:r>
      <w:r>
        <w:rPr>
          <w:rStyle w:val="17"/>
          <w:rFonts w:hint="eastAsia" w:ascii="仿宋_GB2312" w:hAnsi="仿宋_GB2312" w:eastAsia="仿宋_GB2312" w:cs="仿宋_GB2312"/>
          <w:b w:val="0"/>
          <w:bCs/>
          <w:color w:val="auto"/>
          <w:sz w:val="32"/>
          <w:szCs w:val="32"/>
          <w:highlight w:val="none"/>
          <w:lang w:val="en-US" w:eastAsia="zh-CN"/>
        </w:rPr>
        <w:t>35.21</w:t>
      </w:r>
      <w:r>
        <w:rPr>
          <w:rStyle w:val="17"/>
          <w:rFonts w:hint="eastAsia" w:ascii="仿宋_GB2312" w:hAnsi="仿宋_GB2312" w:eastAsia="仿宋_GB2312" w:cs="仿宋_GB2312"/>
          <w:b w:val="0"/>
          <w:bCs/>
          <w:color w:val="auto"/>
          <w:sz w:val="32"/>
          <w:szCs w:val="32"/>
          <w:highlight w:val="none"/>
        </w:rPr>
        <w:t>万元，完成预算</w:t>
      </w:r>
      <w:r>
        <w:rPr>
          <w:rStyle w:val="17"/>
          <w:rFonts w:hint="eastAsia" w:ascii="仿宋_GB2312" w:hAnsi="仿宋_GB2312" w:eastAsia="仿宋_GB2312" w:cs="仿宋_GB2312"/>
          <w:b w:val="0"/>
          <w:bCs/>
          <w:color w:val="auto"/>
          <w:sz w:val="32"/>
          <w:szCs w:val="32"/>
          <w:highlight w:val="none"/>
          <w:lang w:val="en-US" w:eastAsia="zh-CN"/>
        </w:rPr>
        <w:t>100</w:t>
      </w:r>
      <w:r>
        <w:rPr>
          <w:rStyle w:val="17"/>
          <w:rFonts w:hint="eastAsia" w:ascii="仿宋_GB2312" w:hAnsi="仿宋_GB2312" w:eastAsia="仿宋_GB2312" w:cs="仿宋_GB2312"/>
          <w:b w:val="0"/>
          <w:bCs/>
          <w:color w:val="auto"/>
          <w:sz w:val="32"/>
          <w:szCs w:val="32"/>
          <w:highlight w:val="none"/>
        </w:rPr>
        <w:t>%，决算数等于预算数。</w:t>
      </w:r>
    </w:p>
    <w:p w14:paraId="7E0E9FD4">
      <w:pPr>
        <w:pStyle w:val="5"/>
        <w:ind w:firstLine="643" w:firstLineChars="200"/>
        <w:rPr>
          <w:rStyle w:val="17"/>
          <w:rFonts w:hint="eastAsia" w:ascii="仿宋_GB2312" w:hAnsi="仿宋_GB2312" w:eastAsia="仿宋_GB2312" w:cs="仿宋_GB2312"/>
          <w:b w:val="0"/>
          <w:bCs/>
          <w:color w:val="auto"/>
          <w:sz w:val="32"/>
          <w:szCs w:val="32"/>
          <w:highlight w:val="none"/>
        </w:rPr>
      </w:pPr>
      <w:r>
        <w:rPr>
          <w:rStyle w:val="17"/>
          <w:rFonts w:hint="eastAsia" w:ascii="仿宋_GB2312" w:hAnsi="仿宋_GB2312" w:eastAsia="仿宋_GB2312" w:cs="仿宋_GB2312"/>
          <w:b/>
          <w:bCs/>
          <w:color w:val="auto"/>
          <w:sz w:val="32"/>
          <w:szCs w:val="32"/>
          <w:highlight w:val="none"/>
          <w:lang w:val="en-US" w:eastAsia="zh-CN"/>
        </w:rPr>
        <w:t>4</w:t>
      </w:r>
      <w:r>
        <w:rPr>
          <w:rStyle w:val="17"/>
          <w:rFonts w:hint="eastAsia" w:ascii="仿宋_GB2312" w:hAnsi="仿宋_GB2312" w:eastAsia="仿宋_GB2312" w:cs="仿宋_GB2312"/>
          <w:b/>
          <w:bCs/>
          <w:color w:val="auto"/>
          <w:sz w:val="32"/>
          <w:szCs w:val="32"/>
          <w:highlight w:val="none"/>
        </w:rPr>
        <w:t>.社会保障和就业（类）</w:t>
      </w:r>
      <w:r>
        <w:rPr>
          <w:rStyle w:val="17"/>
          <w:rFonts w:hint="eastAsia" w:ascii="仿宋_GB2312" w:hAnsi="仿宋_GB2312" w:eastAsia="仿宋_GB2312" w:cs="仿宋_GB2312"/>
          <w:b/>
          <w:bCs/>
          <w:color w:val="auto"/>
          <w:sz w:val="32"/>
          <w:szCs w:val="32"/>
          <w:highlight w:val="none"/>
          <w:lang w:eastAsia="zh-CN"/>
        </w:rPr>
        <w:t>行政事业单位养老支出</w:t>
      </w:r>
      <w:r>
        <w:rPr>
          <w:rStyle w:val="17"/>
          <w:rFonts w:hint="eastAsia" w:ascii="仿宋_GB2312" w:hAnsi="仿宋_GB2312" w:eastAsia="仿宋_GB2312" w:cs="仿宋_GB2312"/>
          <w:b/>
          <w:bCs/>
          <w:color w:val="auto"/>
          <w:sz w:val="32"/>
          <w:szCs w:val="32"/>
          <w:highlight w:val="none"/>
        </w:rPr>
        <w:t>（款）</w:t>
      </w:r>
      <w:r>
        <w:rPr>
          <w:rStyle w:val="17"/>
          <w:rFonts w:hint="eastAsia" w:ascii="仿宋_GB2312" w:hAnsi="仿宋_GB2312" w:eastAsia="仿宋_GB2312" w:cs="仿宋_GB2312"/>
          <w:b/>
          <w:bCs/>
          <w:color w:val="auto"/>
          <w:sz w:val="32"/>
          <w:szCs w:val="32"/>
          <w:highlight w:val="none"/>
          <w:lang w:eastAsia="zh-CN"/>
        </w:rPr>
        <w:t>机关事业单位职业年金缴费支出</w:t>
      </w:r>
      <w:r>
        <w:rPr>
          <w:rStyle w:val="17"/>
          <w:rFonts w:hint="eastAsia" w:ascii="仿宋_GB2312" w:hAnsi="仿宋_GB2312" w:eastAsia="仿宋_GB2312" w:cs="仿宋_GB2312"/>
          <w:b/>
          <w:bCs/>
          <w:color w:val="auto"/>
          <w:sz w:val="32"/>
          <w:szCs w:val="32"/>
          <w:highlight w:val="none"/>
        </w:rPr>
        <w:t>（项）</w:t>
      </w:r>
      <w:r>
        <w:rPr>
          <w:rStyle w:val="17"/>
          <w:rFonts w:hint="eastAsia" w:ascii="仿宋_GB2312" w:hAnsi="仿宋_GB2312" w:eastAsia="仿宋_GB2312" w:cs="仿宋_GB2312"/>
          <w:b/>
          <w:bCs/>
          <w:color w:val="auto"/>
          <w:sz w:val="32"/>
          <w:szCs w:val="32"/>
          <w:highlight w:val="none"/>
          <w:lang w:eastAsia="zh-CN"/>
        </w:rPr>
        <w:t>：</w:t>
      </w:r>
      <w:r>
        <w:rPr>
          <w:rStyle w:val="17"/>
          <w:rFonts w:hint="eastAsia" w:ascii="仿宋_GB2312" w:hAnsi="仿宋_GB2312" w:eastAsia="仿宋_GB2312" w:cs="仿宋_GB2312"/>
          <w:b w:val="0"/>
          <w:bCs/>
          <w:color w:val="auto"/>
          <w:sz w:val="32"/>
          <w:szCs w:val="32"/>
          <w:highlight w:val="none"/>
        </w:rPr>
        <w:t xml:space="preserve"> 支出决算为</w:t>
      </w:r>
      <w:r>
        <w:rPr>
          <w:rStyle w:val="17"/>
          <w:rFonts w:hint="eastAsia" w:ascii="仿宋_GB2312" w:hAnsi="仿宋_GB2312" w:eastAsia="仿宋_GB2312" w:cs="仿宋_GB2312"/>
          <w:b w:val="0"/>
          <w:bCs/>
          <w:color w:val="auto"/>
          <w:sz w:val="32"/>
          <w:szCs w:val="32"/>
          <w:highlight w:val="none"/>
          <w:lang w:val="en-US" w:eastAsia="zh-CN"/>
        </w:rPr>
        <w:t>17.62</w:t>
      </w:r>
      <w:r>
        <w:rPr>
          <w:rStyle w:val="17"/>
          <w:rFonts w:hint="eastAsia" w:ascii="仿宋_GB2312" w:hAnsi="仿宋_GB2312" w:eastAsia="仿宋_GB2312" w:cs="仿宋_GB2312"/>
          <w:b w:val="0"/>
          <w:bCs/>
          <w:color w:val="auto"/>
          <w:sz w:val="32"/>
          <w:szCs w:val="32"/>
          <w:highlight w:val="none"/>
        </w:rPr>
        <w:t>万元，完成预算</w:t>
      </w:r>
      <w:r>
        <w:rPr>
          <w:rStyle w:val="17"/>
          <w:rFonts w:hint="eastAsia" w:ascii="仿宋_GB2312" w:hAnsi="仿宋_GB2312" w:eastAsia="仿宋_GB2312" w:cs="仿宋_GB2312"/>
          <w:b w:val="0"/>
          <w:bCs/>
          <w:color w:val="auto"/>
          <w:sz w:val="32"/>
          <w:szCs w:val="32"/>
          <w:highlight w:val="none"/>
          <w:lang w:val="en-US" w:eastAsia="zh-CN"/>
        </w:rPr>
        <w:t>100</w:t>
      </w:r>
      <w:r>
        <w:rPr>
          <w:rStyle w:val="17"/>
          <w:rFonts w:hint="eastAsia" w:ascii="仿宋_GB2312" w:hAnsi="仿宋_GB2312" w:eastAsia="仿宋_GB2312" w:cs="仿宋_GB2312"/>
          <w:b w:val="0"/>
          <w:bCs/>
          <w:color w:val="auto"/>
          <w:sz w:val="32"/>
          <w:szCs w:val="32"/>
          <w:highlight w:val="none"/>
        </w:rPr>
        <w:t>%，决算数等于预算数。</w:t>
      </w:r>
    </w:p>
    <w:p w14:paraId="0DC48F81">
      <w:pPr>
        <w:ind w:firstLine="643" w:firstLineChars="200"/>
        <w:rPr>
          <w:rFonts w:hint="eastAsia" w:ascii="仿宋_GB2312" w:hAnsi="仿宋_GB2312" w:eastAsia="仿宋_GB2312" w:cs="仿宋_GB2312"/>
          <w:sz w:val="32"/>
          <w:szCs w:val="32"/>
        </w:rPr>
      </w:pPr>
      <w:r>
        <w:rPr>
          <w:rStyle w:val="17"/>
          <w:rFonts w:hint="eastAsia" w:ascii="仿宋_GB2312" w:hAnsi="仿宋_GB2312" w:eastAsia="仿宋_GB2312" w:cs="仿宋_GB2312"/>
          <w:bCs/>
          <w:color w:val="auto"/>
          <w:sz w:val="32"/>
          <w:szCs w:val="32"/>
          <w:highlight w:val="none"/>
          <w:lang w:val="en-US" w:eastAsia="zh-CN"/>
        </w:rPr>
        <w:t>5</w:t>
      </w:r>
      <w:r>
        <w:rPr>
          <w:rStyle w:val="17"/>
          <w:rFonts w:hint="eastAsia" w:ascii="仿宋_GB2312" w:hAnsi="仿宋_GB2312" w:eastAsia="仿宋_GB2312" w:cs="仿宋_GB2312"/>
          <w:bCs/>
          <w:color w:val="auto"/>
          <w:sz w:val="32"/>
          <w:szCs w:val="32"/>
          <w:highlight w:val="none"/>
        </w:rPr>
        <w:t>.</w:t>
      </w:r>
      <w:r>
        <w:rPr>
          <w:rStyle w:val="17"/>
          <w:rFonts w:hint="eastAsia" w:ascii="仿宋_GB2312" w:hAnsi="仿宋_GB2312" w:eastAsia="仿宋_GB2312" w:cs="仿宋_GB2312"/>
          <w:bCs/>
          <w:color w:val="auto"/>
          <w:sz w:val="32"/>
          <w:szCs w:val="32"/>
          <w:highlight w:val="none"/>
          <w:lang w:eastAsia="zh-CN"/>
        </w:rPr>
        <w:t>其他</w:t>
      </w:r>
      <w:r>
        <w:rPr>
          <w:rStyle w:val="17"/>
          <w:rFonts w:hint="eastAsia" w:ascii="仿宋_GB2312" w:hAnsi="仿宋_GB2312" w:eastAsia="仿宋_GB2312" w:cs="仿宋_GB2312"/>
          <w:bCs/>
          <w:color w:val="auto"/>
          <w:sz w:val="32"/>
          <w:szCs w:val="32"/>
          <w:highlight w:val="none"/>
        </w:rPr>
        <w:t>社会保障和就业（类）（款）</w:t>
      </w:r>
      <w:r>
        <w:rPr>
          <w:rStyle w:val="17"/>
          <w:rFonts w:hint="eastAsia" w:ascii="仿宋_GB2312" w:hAnsi="仿宋_GB2312" w:eastAsia="仿宋_GB2312" w:cs="仿宋_GB2312"/>
          <w:bCs/>
          <w:color w:val="auto"/>
          <w:sz w:val="32"/>
          <w:szCs w:val="32"/>
          <w:highlight w:val="none"/>
          <w:lang w:eastAsia="zh-CN"/>
        </w:rPr>
        <w:t>其他</w:t>
      </w:r>
      <w:r>
        <w:rPr>
          <w:rStyle w:val="17"/>
          <w:rFonts w:hint="eastAsia" w:ascii="仿宋_GB2312" w:hAnsi="仿宋_GB2312" w:eastAsia="仿宋_GB2312" w:cs="仿宋_GB2312"/>
          <w:bCs/>
          <w:color w:val="auto"/>
          <w:sz w:val="32"/>
          <w:szCs w:val="32"/>
          <w:highlight w:val="none"/>
        </w:rPr>
        <w:t>社会保障和就业</w:t>
      </w:r>
      <w:r>
        <w:rPr>
          <w:rStyle w:val="17"/>
          <w:rFonts w:hint="eastAsia" w:ascii="仿宋_GB2312" w:hAnsi="仿宋_GB2312" w:eastAsia="仿宋_GB2312" w:cs="仿宋_GB2312"/>
          <w:bCs/>
          <w:color w:val="auto"/>
          <w:sz w:val="32"/>
          <w:szCs w:val="32"/>
          <w:highlight w:val="none"/>
          <w:lang w:eastAsia="zh-CN"/>
        </w:rPr>
        <w:t>支出</w:t>
      </w:r>
      <w:r>
        <w:rPr>
          <w:rStyle w:val="17"/>
          <w:rFonts w:hint="eastAsia" w:ascii="仿宋_GB2312" w:hAnsi="仿宋_GB2312" w:eastAsia="仿宋_GB2312" w:cs="仿宋_GB2312"/>
          <w:bCs/>
          <w:color w:val="auto"/>
          <w:sz w:val="32"/>
          <w:szCs w:val="32"/>
          <w:highlight w:val="none"/>
        </w:rPr>
        <w:t>（项）</w:t>
      </w:r>
      <w:r>
        <w:rPr>
          <w:rStyle w:val="17"/>
          <w:rFonts w:hint="eastAsia" w:ascii="仿宋_GB2312" w:hAnsi="仿宋_GB2312" w:eastAsia="仿宋_GB2312" w:cs="仿宋_GB2312"/>
          <w:bCs/>
          <w:color w:val="auto"/>
          <w:sz w:val="32"/>
          <w:szCs w:val="32"/>
          <w:highlight w:val="none"/>
          <w:lang w:eastAsia="zh-CN"/>
        </w:rPr>
        <w:t>：</w:t>
      </w:r>
      <w:r>
        <w:rPr>
          <w:rStyle w:val="17"/>
          <w:rFonts w:hint="eastAsia" w:ascii="仿宋_GB2312" w:hAnsi="仿宋_GB2312" w:eastAsia="仿宋_GB2312" w:cs="仿宋_GB2312"/>
          <w:b w:val="0"/>
          <w:bCs/>
          <w:color w:val="auto"/>
          <w:sz w:val="32"/>
          <w:szCs w:val="32"/>
          <w:highlight w:val="none"/>
        </w:rPr>
        <w:t xml:space="preserve"> 支出决算为</w:t>
      </w:r>
      <w:r>
        <w:rPr>
          <w:rStyle w:val="17"/>
          <w:rFonts w:hint="eastAsia" w:ascii="仿宋_GB2312" w:hAnsi="仿宋_GB2312" w:eastAsia="仿宋_GB2312" w:cs="仿宋_GB2312"/>
          <w:b w:val="0"/>
          <w:bCs/>
          <w:color w:val="auto"/>
          <w:sz w:val="32"/>
          <w:szCs w:val="32"/>
          <w:highlight w:val="none"/>
          <w:lang w:val="en-US" w:eastAsia="zh-CN"/>
        </w:rPr>
        <w:t>4.58</w:t>
      </w:r>
      <w:r>
        <w:rPr>
          <w:rStyle w:val="17"/>
          <w:rFonts w:hint="eastAsia" w:ascii="仿宋_GB2312" w:hAnsi="仿宋_GB2312" w:eastAsia="仿宋_GB2312" w:cs="仿宋_GB2312"/>
          <w:b w:val="0"/>
          <w:bCs/>
          <w:color w:val="auto"/>
          <w:sz w:val="32"/>
          <w:szCs w:val="32"/>
          <w:highlight w:val="none"/>
        </w:rPr>
        <w:t>万元，完成预算</w:t>
      </w:r>
      <w:r>
        <w:rPr>
          <w:rStyle w:val="17"/>
          <w:rFonts w:hint="eastAsia" w:ascii="仿宋_GB2312" w:hAnsi="仿宋_GB2312" w:eastAsia="仿宋_GB2312" w:cs="仿宋_GB2312"/>
          <w:b w:val="0"/>
          <w:bCs/>
          <w:color w:val="auto"/>
          <w:sz w:val="32"/>
          <w:szCs w:val="32"/>
          <w:highlight w:val="none"/>
          <w:lang w:val="en-US" w:eastAsia="zh-CN"/>
        </w:rPr>
        <w:t>100</w:t>
      </w:r>
      <w:r>
        <w:rPr>
          <w:rStyle w:val="17"/>
          <w:rFonts w:hint="eastAsia" w:ascii="仿宋_GB2312" w:hAnsi="仿宋_GB2312" w:eastAsia="仿宋_GB2312" w:cs="仿宋_GB2312"/>
          <w:b w:val="0"/>
          <w:bCs/>
          <w:color w:val="auto"/>
          <w:sz w:val="32"/>
          <w:szCs w:val="32"/>
          <w:highlight w:val="none"/>
        </w:rPr>
        <w:t>%，决算数等于预算数。</w:t>
      </w:r>
    </w:p>
    <w:p w14:paraId="3BD628FD">
      <w:pPr>
        <w:spacing w:line="600" w:lineRule="exact"/>
        <w:ind w:firstLine="643" w:firstLineChars="200"/>
        <w:rPr>
          <w:rFonts w:hint="eastAsia" w:ascii="仿宋_GB2312" w:hAnsi="仿宋_GB2312" w:eastAsia="仿宋_GB2312" w:cs="仿宋_GB2312"/>
          <w:b/>
          <w:color w:val="auto"/>
          <w:sz w:val="32"/>
          <w:szCs w:val="32"/>
          <w:highlight w:val="none"/>
        </w:rPr>
      </w:pPr>
      <w:r>
        <w:rPr>
          <w:rStyle w:val="17"/>
          <w:rFonts w:hint="eastAsia" w:ascii="仿宋_GB2312" w:hAnsi="仿宋_GB2312" w:eastAsia="仿宋_GB2312" w:cs="仿宋_GB2312"/>
          <w:bCs/>
          <w:color w:val="auto"/>
          <w:sz w:val="32"/>
          <w:szCs w:val="32"/>
          <w:highlight w:val="none"/>
          <w:lang w:val="en-US" w:eastAsia="zh-CN"/>
        </w:rPr>
        <w:t>6</w:t>
      </w:r>
      <w:r>
        <w:rPr>
          <w:rStyle w:val="17"/>
          <w:rFonts w:hint="eastAsia" w:ascii="仿宋_GB2312" w:hAnsi="仿宋_GB2312" w:eastAsia="仿宋_GB2312" w:cs="仿宋_GB2312"/>
          <w:bCs/>
          <w:color w:val="auto"/>
          <w:sz w:val="32"/>
          <w:szCs w:val="32"/>
          <w:highlight w:val="none"/>
        </w:rPr>
        <w:t>.</w:t>
      </w:r>
      <w:r>
        <w:rPr>
          <w:rFonts w:hint="eastAsia" w:ascii="仿宋_GB2312" w:hAnsi="仿宋_GB2312" w:eastAsia="仿宋_GB2312" w:cs="仿宋_GB2312"/>
          <w:b/>
          <w:bCs/>
          <w:color w:val="auto"/>
          <w:sz w:val="32"/>
          <w:szCs w:val="32"/>
          <w:highlight w:val="none"/>
        </w:rPr>
        <w:t>卫生健康</w:t>
      </w:r>
      <w:r>
        <w:rPr>
          <w:rStyle w:val="17"/>
          <w:rFonts w:hint="eastAsia" w:ascii="仿宋_GB2312" w:hAnsi="仿宋_GB2312" w:eastAsia="仿宋_GB2312" w:cs="仿宋_GB2312"/>
          <w:bCs/>
          <w:color w:val="auto"/>
          <w:sz w:val="32"/>
          <w:szCs w:val="32"/>
          <w:highlight w:val="none"/>
        </w:rPr>
        <w:t>（类）</w:t>
      </w:r>
      <w:r>
        <w:rPr>
          <w:rStyle w:val="17"/>
          <w:rFonts w:hint="eastAsia" w:ascii="仿宋_GB2312" w:hAnsi="仿宋_GB2312" w:eastAsia="仿宋_GB2312" w:cs="仿宋_GB2312"/>
          <w:bCs/>
          <w:color w:val="auto"/>
          <w:sz w:val="32"/>
          <w:szCs w:val="32"/>
          <w:highlight w:val="none"/>
          <w:lang w:eastAsia="zh-CN"/>
        </w:rPr>
        <w:t>行政事业单位医疗</w:t>
      </w:r>
      <w:r>
        <w:rPr>
          <w:rStyle w:val="17"/>
          <w:rFonts w:hint="eastAsia" w:ascii="仿宋_GB2312" w:hAnsi="仿宋_GB2312" w:eastAsia="仿宋_GB2312" w:cs="仿宋_GB2312"/>
          <w:bCs/>
          <w:color w:val="auto"/>
          <w:sz w:val="32"/>
          <w:szCs w:val="32"/>
          <w:highlight w:val="none"/>
        </w:rPr>
        <w:t>（款）</w:t>
      </w:r>
      <w:r>
        <w:rPr>
          <w:rStyle w:val="17"/>
          <w:rFonts w:hint="eastAsia" w:ascii="仿宋_GB2312" w:hAnsi="仿宋_GB2312" w:eastAsia="仿宋_GB2312" w:cs="仿宋_GB2312"/>
          <w:bCs/>
          <w:color w:val="auto"/>
          <w:sz w:val="32"/>
          <w:szCs w:val="32"/>
          <w:highlight w:val="none"/>
          <w:lang w:eastAsia="zh-CN"/>
        </w:rPr>
        <w:t>行政事业单位医疗</w:t>
      </w:r>
      <w:r>
        <w:rPr>
          <w:rStyle w:val="17"/>
          <w:rFonts w:hint="eastAsia" w:ascii="仿宋_GB2312" w:hAnsi="仿宋_GB2312" w:eastAsia="仿宋_GB2312" w:cs="仿宋_GB2312"/>
          <w:bCs/>
          <w:color w:val="auto"/>
          <w:sz w:val="32"/>
          <w:szCs w:val="32"/>
          <w:highlight w:val="none"/>
        </w:rPr>
        <w:t>（项）</w:t>
      </w:r>
      <w:r>
        <w:rPr>
          <w:rStyle w:val="17"/>
          <w:rFonts w:hint="eastAsia" w:ascii="仿宋_GB2312" w:hAnsi="仿宋_GB2312" w:eastAsia="仿宋_GB2312" w:cs="仿宋_GB2312"/>
          <w:bCs/>
          <w:color w:val="auto"/>
          <w:sz w:val="32"/>
          <w:szCs w:val="32"/>
          <w:highlight w:val="none"/>
          <w:lang w:eastAsia="zh-CN"/>
        </w:rPr>
        <w:t>：</w:t>
      </w:r>
      <w:r>
        <w:rPr>
          <w:rStyle w:val="17"/>
          <w:rFonts w:hint="eastAsia" w:ascii="仿宋_GB2312" w:hAnsi="仿宋_GB2312" w:eastAsia="仿宋_GB2312" w:cs="仿宋_GB2312"/>
          <w:b w:val="0"/>
          <w:bCs/>
          <w:color w:val="auto"/>
          <w:sz w:val="32"/>
          <w:szCs w:val="32"/>
          <w:highlight w:val="none"/>
        </w:rPr>
        <w:t>支出决算为</w:t>
      </w:r>
      <w:r>
        <w:rPr>
          <w:rStyle w:val="17"/>
          <w:rFonts w:hint="eastAsia" w:ascii="仿宋_GB2312" w:hAnsi="仿宋_GB2312" w:eastAsia="仿宋_GB2312" w:cs="仿宋_GB2312"/>
          <w:b w:val="0"/>
          <w:bCs/>
          <w:color w:val="auto"/>
          <w:sz w:val="32"/>
          <w:szCs w:val="32"/>
          <w:highlight w:val="none"/>
          <w:lang w:val="en-US" w:eastAsia="zh-CN"/>
        </w:rPr>
        <w:t>11.62</w:t>
      </w:r>
      <w:r>
        <w:rPr>
          <w:rStyle w:val="17"/>
          <w:rFonts w:hint="eastAsia" w:ascii="仿宋_GB2312" w:hAnsi="仿宋_GB2312" w:eastAsia="仿宋_GB2312" w:cs="仿宋_GB2312"/>
          <w:b w:val="0"/>
          <w:bCs/>
          <w:color w:val="auto"/>
          <w:sz w:val="32"/>
          <w:szCs w:val="32"/>
          <w:highlight w:val="none"/>
        </w:rPr>
        <w:t>万元，完成预算</w:t>
      </w:r>
      <w:r>
        <w:rPr>
          <w:rStyle w:val="17"/>
          <w:rFonts w:hint="eastAsia" w:ascii="仿宋_GB2312" w:hAnsi="仿宋_GB2312" w:eastAsia="仿宋_GB2312" w:cs="仿宋_GB2312"/>
          <w:b w:val="0"/>
          <w:bCs/>
          <w:color w:val="auto"/>
          <w:sz w:val="32"/>
          <w:szCs w:val="32"/>
          <w:highlight w:val="none"/>
          <w:lang w:val="en-US" w:eastAsia="zh-CN"/>
        </w:rPr>
        <w:t>100</w:t>
      </w:r>
      <w:r>
        <w:rPr>
          <w:rStyle w:val="17"/>
          <w:rFonts w:hint="eastAsia" w:ascii="仿宋_GB2312" w:hAnsi="仿宋_GB2312" w:eastAsia="仿宋_GB2312" w:cs="仿宋_GB2312"/>
          <w:b w:val="0"/>
          <w:bCs/>
          <w:color w:val="auto"/>
          <w:sz w:val="32"/>
          <w:szCs w:val="32"/>
          <w:highlight w:val="none"/>
        </w:rPr>
        <w:t>%，决算数等于预算数。</w:t>
      </w:r>
    </w:p>
    <w:p w14:paraId="2BDF318C">
      <w:pPr>
        <w:spacing w:line="600" w:lineRule="exact"/>
        <w:ind w:firstLine="643" w:firstLineChars="200"/>
        <w:rPr>
          <w:rStyle w:val="17"/>
          <w:rFonts w:hint="eastAsia" w:ascii="仿宋_GB2312" w:hAnsi="仿宋_GB2312" w:eastAsia="仿宋_GB2312" w:cs="仿宋_GB2312"/>
          <w:b w:val="0"/>
          <w:bCs/>
          <w:color w:val="auto"/>
          <w:sz w:val="32"/>
          <w:szCs w:val="32"/>
          <w:highlight w:val="none"/>
        </w:rPr>
      </w:pPr>
      <w:r>
        <w:rPr>
          <w:rStyle w:val="17"/>
          <w:rFonts w:hint="eastAsia" w:ascii="仿宋_GB2312" w:hAnsi="仿宋_GB2312" w:eastAsia="仿宋_GB2312" w:cs="仿宋_GB2312"/>
          <w:bCs/>
          <w:color w:val="auto"/>
          <w:sz w:val="32"/>
          <w:szCs w:val="32"/>
          <w:highlight w:val="none"/>
          <w:lang w:val="en-US" w:eastAsia="zh-CN"/>
        </w:rPr>
        <w:t>7</w:t>
      </w:r>
      <w:r>
        <w:rPr>
          <w:rStyle w:val="17"/>
          <w:rFonts w:hint="eastAsia" w:ascii="仿宋_GB2312" w:hAnsi="仿宋_GB2312" w:eastAsia="仿宋_GB2312" w:cs="仿宋_GB2312"/>
          <w:bCs/>
          <w:color w:val="auto"/>
          <w:sz w:val="32"/>
          <w:szCs w:val="32"/>
          <w:highlight w:val="none"/>
        </w:rPr>
        <w:t>.</w:t>
      </w:r>
      <w:r>
        <w:rPr>
          <w:rFonts w:hint="eastAsia" w:ascii="仿宋_GB2312" w:hAnsi="仿宋_GB2312" w:eastAsia="仿宋_GB2312" w:cs="仿宋_GB2312"/>
          <w:b/>
          <w:bCs/>
          <w:color w:val="auto"/>
          <w:sz w:val="32"/>
          <w:szCs w:val="32"/>
          <w:highlight w:val="none"/>
        </w:rPr>
        <w:t>卫生健康</w:t>
      </w:r>
      <w:r>
        <w:rPr>
          <w:rStyle w:val="17"/>
          <w:rFonts w:hint="eastAsia" w:ascii="仿宋_GB2312" w:hAnsi="仿宋_GB2312" w:eastAsia="仿宋_GB2312" w:cs="仿宋_GB2312"/>
          <w:bCs/>
          <w:color w:val="auto"/>
          <w:sz w:val="32"/>
          <w:szCs w:val="32"/>
          <w:highlight w:val="none"/>
        </w:rPr>
        <w:t>（类）</w:t>
      </w:r>
      <w:r>
        <w:rPr>
          <w:rStyle w:val="17"/>
          <w:rFonts w:hint="eastAsia" w:ascii="仿宋_GB2312" w:hAnsi="仿宋_GB2312" w:eastAsia="仿宋_GB2312" w:cs="仿宋_GB2312"/>
          <w:bCs/>
          <w:color w:val="auto"/>
          <w:sz w:val="32"/>
          <w:szCs w:val="32"/>
          <w:highlight w:val="none"/>
          <w:lang w:eastAsia="zh-CN"/>
        </w:rPr>
        <w:t>行政事业单位医疗</w:t>
      </w:r>
      <w:r>
        <w:rPr>
          <w:rStyle w:val="17"/>
          <w:rFonts w:hint="eastAsia" w:ascii="仿宋_GB2312" w:hAnsi="仿宋_GB2312" w:eastAsia="仿宋_GB2312" w:cs="仿宋_GB2312"/>
          <w:bCs/>
          <w:color w:val="auto"/>
          <w:sz w:val="32"/>
          <w:szCs w:val="32"/>
          <w:highlight w:val="none"/>
        </w:rPr>
        <w:t>（款）</w:t>
      </w:r>
      <w:r>
        <w:rPr>
          <w:rStyle w:val="17"/>
          <w:rFonts w:hint="eastAsia" w:ascii="仿宋_GB2312" w:hAnsi="仿宋_GB2312" w:eastAsia="仿宋_GB2312" w:cs="仿宋_GB2312"/>
          <w:bCs/>
          <w:color w:val="auto"/>
          <w:sz w:val="32"/>
          <w:szCs w:val="32"/>
          <w:highlight w:val="none"/>
          <w:lang w:eastAsia="zh-CN"/>
        </w:rPr>
        <w:t>公务员医疗补助</w:t>
      </w:r>
      <w:r>
        <w:rPr>
          <w:rStyle w:val="17"/>
          <w:rFonts w:hint="eastAsia" w:ascii="仿宋_GB2312" w:hAnsi="仿宋_GB2312" w:eastAsia="仿宋_GB2312" w:cs="仿宋_GB2312"/>
          <w:bCs/>
          <w:color w:val="auto"/>
          <w:sz w:val="32"/>
          <w:szCs w:val="32"/>
          <w:highlight w:val="none"/>
        </w:rPr>
        <w:t>（项）</w:t>
      </w:r>
      <w:r>
        <w:rPr>
          <w:rStyle w:val="17"/>
          <w:rFonts w:hint="eastAsia" w:ascii="仿宋_GB2312" w:hAnsi="仿宋_GB2312" w:eastAsia="仿宋_GB2312" w:cs="仿宋_GB2312"/>
          <w:bCs/>
          <w:color w:val="auto"/>
          <w:sz w:val="32"/>
          <w:szCs w:val="32"/>
          <w:highlight w:val="none"/>
          <w:lang w:eastAsia="zh-CN"/>
        </w:rPr>
        <w:t>：</w:t>
      </w:r>
      <w:r>
        <w:rPr>
          <w:rStyle w:val="17"/>
          <w:rFonts w:hint="eastAsia" w:ascii="仿宋_GB2312" w:hAnsi="仿宋_GB2312" w:eastAsia="仿宋_GB2312" w:cs="仿宋_GB2312"/>
          <w:b w:val="0"/>
          <w:bCs/>
          <w:color w:val="auto"/>
          <w:sz w:val="32"/>
          <w:szCs w:val="32"/>
          <w:highlight w:val="none"/>
        </w:rPr>
        <w:t>支出决算为</w:t>
      </w:r>
      <w:r>
        <w:rPr>
          <w:rStyle w:val="17"/>
          <w:rFonts w:hint="eastAsia" w:ascii="仿宋_GB2312" w:hAnsi="仿宋_GB2312" w:eastAsia="仿宋_GB2312" w:cs="仿宋_GB2312"/>
          <w:b w:val="0"/>
          <w:bCs/>
          <w:color w:val="auto"/>
          <w:sz w:val="32"/>
          <w:szCs w:val="32"/>
          <w:highlight w:val="none"/>
          <w:lang w:val="en-US" w:eastAsia="zh-CN"/>
        </w:rPr>
        <w:t>1.14</w:t>
      </w:r>
      <w:r>
        <w:rPr>
          <w:rStyle w:val="17"/>
          <w:rFonts w:hint="eastAsia" w:ascii="仿宋_GB2312" w:hAnsi="仿宋_GB2312" w:eastAsia="仿宋_GB2312" w:cs="仿宋_GB2312"/>
          <w:b w:val="0"/>
          <w:bCs/>
          <w:color w:val="auto"/>
          <w:sz w:val="32"/>
          <w:szCs w:val="32"/>
          <w:highlight w:val="none"/>
        </w:rPr>
        <w:t>万元，完成预算</w:t>
      </w:r>
      <w:r>
        <w:rPr>
          <w:rStyle w:val="17"/>
          <w:rFonts w:hint="eastAsia" w:ascii="仿宋_GB2312" w:hAnsi="仿宋_GB2312" w:eastAsia="仿宋_GB2312" w:cs="仿宋_GB2312"/>
          <w:b w:val="0"/>
          <w:bCs/>
          <w:color w:val="auto"/>
          <w:sz w:val="32"/>
          <w:szCs w:val="32"/>
          <w:highlight w:val="none"/>
          <w:lang w:val="en-US" w:eastAsia="zh-CN"/>
        </w:rPr>
        <w:t>100</w:t>
      </w:r>
      <w:r>
        <w:rPr>
          <w:rStyle w:val="17"/>
          <w:rFonts w:hint="eastAsia" w:ascii="仿宋_GB2312" w:hAnsi="仿宋_GB2312" w:eastAsia="仿宋_GB2312" w:cs="仿宋_GB2312"/>
          <w:b w:val="0"/>
          <w:bCs/>
          <w:color w:val="auto"/>
          <w:sz w:val="32"/>
          <w:szCs w:val="32"/>
          <w:highlight w:val="none"/>
        </w:rPr>
        <w:t>%，决算数等于预算数。</w:t>
      </w:r>
    </w:p>
    <w:p w14:paraId="156014B6">
      <w:pPr>
        <w:spacing w:line="600" w:lineRule="exact"/>
        <w:ind w:firstLine="643"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bCs/>
          <w:sz w:val="32"/>
          <w:szCs w:val="32"/>
          <w:lang w:val="en-US" w:eastAsia="zh-CN"/>
        </w:rPr>
        <w:t>8.</w:t>
      </w:r>
      <w:r>
        <w:rPr>
          <w:rFonts w:hint="eastAsia" w:ascii="仿宋_GB2312" w:hAnsi="仿宋_GB2312" w:eastAsia="仿宋_GB2312" w:cs="仿宋_GB2312"/>
          <w:b/>
          <w:bCs/>
          <w:sz w:val="32"/>
          <w:szCs w:val="32"/>
        </w:rPr>
        <w:t>住房保障支出（类）住房改革支出（款）  住房公积金（项）：</w:t>
      </w:r>
      <w:r>
        <w:rPr>
          <w:rFonts w:hint="eastAsia" w:ascii="仿宋_GB2312" w:hAnsi="仿宋_GB2312" w:eastAsia="仿宋_GB2312" w:cs="仿宋_GB2312"/>
          <w:b w:val="0"/>
          <w:bCs w:val="0"/>
          <w:sz w:val="32"/>
          <w:szCs w:val="32"/>
        </w:rPr>
        <w:t>支出决算为</w:t>
      </w:r>
      <w:r>
        <w:rPr>
          <w:rFonts w:hint="eastAsia" w:ascii="仿宋_GB2312" w:hAnsi="仿宋_GB2312" w:eastAsia="仿宋_GB2312" w:cs="仿宋_GB2312"/>
          <w:b w:val="0"/>
          <w:bCs w:val="0"/>
          <w:sz w:val="32"/>
          <w:szCs w:val="32"/>
          <w:lang w:val="en-US" w:eastAsia="zh-CN"/>
        </w:rPr>
        <w:t>25.7</w:t>
      </w:r>
      <w:r>
        <w:rPr>
          <w:rFonts w:hint="eastAsia" w:ascii="仿宋_GB2312" w:hAnsi="仿宋_GB2312" w:eastAsia="仿宋_GB2312" w:cs="仿宋_GB2312"/>
          <w:b w:val="0"/>
          <w:bCs w:val="0"/>
          <w:sz w:val="32"/>
          <w:szCs w:val="32"/>
        </w:rPr>
        <w:t>万元，完成预算100%，决算数等于预算数。</w:t>
      </w:r>
      <w:bookmarkStart w:id="41" w:name="_Toc15396608"/>
      <w:bookmarkStart w:id="42" w:name="_Toc15377214"/>
    </w:p>
    <w:p w14:paraId="1888C73A">
      <w:pPr>
        <w:spacing w:line="600" w:lineRule="exact"/>
        <w:rPr>
          <w:rStyle w:val="20"/>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六、一</w:t>
      </w:r>
      <w:r>
        <w:rPr>
          <w:rStyle w:val="20"/>
          <w:rFonts w:hint="eastAsia" w:ascii="仿宋_GB2312" w:hAnsi="仿宋_GB2312" w:eastAsia="仿宋_GB2312" w:cs="仿宋_GB2312"/>
          <w:b/>
          <w:bCs/>
          <w:color w:val="auto"/>
          <w:sz w:val="32"/>
          <w:szCs w:val="32"/>
          <w:highlight w:val="none"/>
        </w:rPr>
        <w:t>般公共预算财政拨款基本支出决算情况说明</w:t>
      </w:r>
      <w:bookmarkEnd w:id="41"/>
      <w:bookmarkEnd w:id="42"/>
    </w:p>
    <w:p w14:paraId="565B9C0A">
      <w:pPr>
        <w:spacing w:line="600" w:lineRule="exact"/>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20</w:t>
      </w:r>
      <w:r>
        <w:rPr>
          <w:rFonts w:hint="eastAsia" w:ascii="仿宋_GB2312" w:hAnsi="仿宋_GB2312" w:eastAsia="仿宋_GB2312" w:cs="仿宋_GB2312"/>
          <w:b w:val="0"/>
          <w:bCs w:val="0"/>
          <w:color w:val="auto"/>
          <w:sz w:val="32"/>
          <w:szCs w:val="32"/>
          <w:highlight w:val="none"/>
          <w:lang w:val="en-US" w:eastAsia="zh-CN"/>
        </w:rPr>
        <w:t>23</w:t>
      </w:r>
      <w:r>
        <w:rPr>
          <w:rFonts w:hint="eastAsia" w:ascii="仿宋_GB2312" w:hAnsi="仿宋_GB2312" w:eastAsia="仿宋_GB2312" w:cs="仿宋_GB2312"/>
          <w:b w:val="0"/>
          <w:bCs w:val="0"/>
          <w:color w:val="auto"/>
          <w:sz w:val="32"/>
          <w:szCs w:val="32"/>
          <w:highlight w:val="none"/>
        </w:rPr>
        <w:t>年一般公共预算财政拨款基本支出</w:t>
      </w:r>
      <w:r>
        <w:rPr>
          <w:rFonts w:hint="eastAsia" w:ascii="仿宋_GB2312" w:hAnsi="仿宋_GB2312" w:eastAsia="仿宋_GB2312" w:cs="仿宋_GB2312"/>
          <w:b w:val="0"/>
          <w:bCs w:val="0"/>
          <w:color w:val="auto"/>
          <w:sz w:val="32"/>
          <w:szCs w:val="32"/>
          <w:highlight w:val="none"/>
          <w:lang w:val="en-US" w:eastAsia="zh-CN"/>
        </w:rPr>
        <w:t>381.94</w:t>
      </w:r>
      <w:r>
        <w:rPr>
          <w:rFonts w:hint="eastAsia" w:ascii="仿宋_GB2312" w:hAnsi="仿宋_GB2312" w:eastAsia="仿宋_GB2312" w:cs="仿宋_GB2312"/>
          <w:b w:val="0"/>
          <w:bCs w:val="0"/>
          <w:color w:val="auto"/>
          <w:sz w:val="32"/>
          <w:szCs w:val="32"/>
          <w:highlight w:val="none"/>
        </w:rPr>
        <w:t>万元，其中：人员经费</w:t>
      </w:r>
      <w:r>
        <w:rPr>
          <w:rFonts w:hint="eastAsia" w:ascii="仿宋_GB2312" w:hAnsi="仿宋_GB2312" w:eastAsia="仿宋_GB2312" w:cs="仿宋_GB2312"/>
          <w:b w:val="0"/>
          <w:bCs w:val="0"/>
          <w:color w:val="auto"/>
          <w:sz w:val="32"/>
          <w:szCs w:val="32"/>
          <w:highlight w:val="none"/>
          <w:lang w:val="en-US" w:eastAsia="zh-CN"/>
        </w:rPr>
        <w:t>337.56</w:t>
      </w:r>
      <w:r>
        <w:rPr>
          <w:rFonts w:hint="eastAsia" w:ascii="仿宋_GB2312" w:hAnsi="仿宋_GB2312" w:eastAsia="仿宋_GB2312" w:cs="仿宋_GB2312"/>
          <w:b w:val="0"/>
          <w:bCs w:val="0"/>
          <w:color w:val="auto"/>
          <w:sz w:val="32"/>
          <w:szCs w:val="32"/>
          <w:highlight w:val="none"/>
        </w:rPr>
        <w:t>万元，主要包括：基本工资、津贴补贴、伙食补助费、绩效工资、机关事业单位基本养老保险缴费、职业年金缴费、其他社会保障缴费、其他工资福利支出、住房公积金等。</w:t>
      </w:r>
    </w:p>
    <w:p w14:paraId="50F02E99">
      <w:pPr>
        <w:pStyle w:val="5"/>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公用经费</w:t>
      </w:r>
      <w:r>
        <w:rPr>
          <w:rFonts w:hint="eastAsia" w:ascii="仿宋_GB2312" w:hAnsi="仿宋_GB2312" w:eastAsia="仿宋_GB2312" w:cs="仿宋_GB2312"/>
          <w:b w:val="0"/>
          <w:bCs w:val="0"/>
          <w:color w:val="auto"/>
          <w:sz w:val="32"/>
          <w:szCs w:val="32"/>
          <w:highlight w:val="none"/>
          <w:lang w:val="en-US" w:eastAsia="zh-CN"/>
        </w:rPr>
        <w:t>44.38</w:t>
      </w:r>
      <w:r>
        <w:rPr>
          <w:rFonts w:hint="eastAsia" w:ascii="仿宋_GB2312" w:hAnsi="仿宋_GB2312" w:eastAsia="仿宋_GB2312" w:cs="仿宋_GB2312"/>
          <w:b w:val="0"/>
          <w:bCs w:val="0"/>
          <w:color w:val="auto"/>
          <w:sz w:val="32"/>
          <w:szCs w:val="32"/>
          <w:highlight w:val="none"/>
        </w:rPr>
        <w:t>万元，主要包括：办公费、印刷费、水费、电费、邮电费、差旅费、维修（护）费、培训费、劳务费、工会经费、福利费</w:t>
      </w:r>
      <w:r>
        <w:rPr>
          <w:rFonts w:hint="eastAsia" w:ascii="仿宋_GB2312" w:hAnsi="仿宋_GB2312" w:eastAsia="仿宋_GB2312" w:cs="仿宋_GB2312"/>
          <w:b w:val="0"/>
          <w:bCs w:val="0"/>
          <w:color w:val="auto"/>
          <w:sz w:val="32"/>
          <w:szCs w:val="32"/>
          <w:highlight w:val="none"/>
          <w:lang w:eastAsia="zh-CN"/>
        </w:rPr>
        <w:t>、其他商品服务支出</w:t>
      </w:r>
      <w:r>
        <w:rPr>
          <w:rFonts w:hint="eastAsia" w:ascii="仿宋_GB2312" w:hAnsi="仿宋_GB2312" w:eastAsia="仿宋_GB2312" w:cs="仿宋_GB2312"/>
          <w:b w:val="0"/>
          <w:bCs w:val="0"/>
          <w:color w:val="auto"/>
          <w:sz w:val="32"/>
          <w:szCs w:val="32"/>
          <w:highlight w:val="none"/>
        </w:rPr>
        <w:t>等。</w:t>
      </w:r>
    </w:p>
    <w:p w14:paraId="45D828D9">
      <w:pPr>
        <w:spacing w:line="600" w:lineRule="exact"/>
        <w:outlineLvl w:val="1"/>
        <w:rPr>
          <w:rStyle w:val="20"/>
          <w:rFonts w:ascii="黑体" w:hAnsi="黑体" w:eastAsia="黑体"/>
          <w:b w:val="0"/>
          <w:color w:val="auto"/>
          <w:highlight w:val="none"/>
        </w:rPr>
      </w:pPr>
      <w:bookmarkStart w:id="43" w:name="_Toc15377215"/>
      <w:bookmarkStart w:id="44" w:name="_Toc15396609"/>
      <w:r>
        <w:rPr>
          <w:rFonts w:hint="eastAsia" w:ascii="黑体" w:eastAsia="黑体"/>
          <w:color w:val="auto"/>
          <w:sz w:val="32"/>
          <w:szCs w:val="32"/>
          <w:highlight w:val="none"/>
        </w:rPr>
        <w:t>七、</w:t>
      </w:r>
      <w:r>
        <w:rPr>
          <w:rStyle w:val="20"/>
          <w:rFonts w:hint="eastAsia" w:ascii="黑体" w:hAnsi="黑体" w:eastAsia="黑体"/>
          <w:b w:val="0"/>
          <w:color w:val="auto"/>
          <w:highlight w:val="none"/>
        </w:rPr>
        <w:t>财政拨款</w:t>
      </w:r>
      <w:r>
        <w:rPr>
          <w:rStyle w:val="20"/>
          <w:rFonts w:hint="eastAsia" w:ascii="黑体" w:hAnsi="黑体" w:eastAsia="黑体"/>
          <w:color w:val="auto"/>
          <w:highlight w:val="none"/>
        </w:rPr>
        <w:t>“</w:t>
      </w:r>
      <w:r>
        <w:rPr>
          <w:rStyle w:val="20"/>
          <w:rFonts w:hint="eastAsia" w:ascii="黑体" w:hAnsi="黑体" w:eastAsia="黑体"/>
          <w:b w:val="0"/>
          <w:color w:val="auto"/>
          <w:highlight w:val="none"/>
        </w:rPr>
        <w:t>三公”经费支出决算情况说明</w:t>
      </w:r>
      <w:bookmarkEnd w:id="43"/>
      <w:bookmarkEnd w:id="44"/>
    </w:p>
    <w:p w14:paraId="0FAE479B">
      <w:pPr>
        <w:spacing w:line="600" w:lineRule="exact"/>
        <w:ind w:firstLine="602" w:firstLineChars="200"/>
        <w:outlineLvl w:val="2"/>
        <w:rPr>
          <w:rFonts w:hint="eastAsia" w:ascii="仿宋_GB2312" w:hAnsi="仿宋_GB2312" w:eastAsia="仿宋_GB2312" w:cs="仿宋_GB2312"/>
          <w:b/>
          <w:bCs w:val="0"/>
          <w:color w:val="auto"/>
          <w:sz w:val="30"/>
          <w:szCs w:val="30"/>
          <w:highlight w:val="none"/>
        </w:rPr>
      </w:pPr>
      <w:bookmarkStart w:id="45" w:name="_Toc15377216"/>
      <w:r>
        <w:rPr>
          <w:rFonts w:hint="eastAsia" w:ascii="仿宋_GB2312" w:hAnsi="仿宋_GB2312" w:eastAsia="仿宋_GB2312" w:cs="仿宋_GB2312"/>
          <w:b/>
          <w:bCs w:val="0"/>
          <w:color w:val="auto"/>
          <w:sz w:val="30"/>
          <w:szCs w:val="30"/>
          <w:highlight w:val="none"/>
        </w:rPr>
        <w:t>（一）“三公”经费财政拨款支出决算总体情况说明</w:t>
      </w:r>
      <w:bookmarkEnd w:id="45"/>
    </w:p>
    <w:p w14:paraId="0BE0EC70">
      <w:pPr>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年“三公”经费财政拨款支出决算为</w:t>
      </w:r>
      <w:r>
        <w:rPr>
          <w:rFonts w:hint="eastAsia" w:ascii="仿宋_GB2312" w:hAnsi="仿宋_GB2312" w:eastAsia="仿宋_GB2312" w:cs="仿宋_GB2312"/>
          <w:color w:val="auto"/>
          <w:sz w:val="32"/>
          <w:szCs w:val="32"/>
          <w:highlight w:val="none"/>
          <w:lang w:val="en-US" w:eastAsia="zh-CN"/>
        </w:rPr>
        <w:t>0.06</w:t>
      </w:r>
      <w:r>
        <w:rPr>
          <w:rFonts w:hint="eastAsia" w:ascii="仿宋_GB2312" w:hAnsi="仿宋_GB2312" w:eastAsia="仿宋_GB2312" w:cs="仿宋_GB2312"/>
          <w:color w:val="auto"/>
          <w:sz w:val="32"/>
          <w:szCs w:val="32"/>
          <w:highlight w:val="none"/>
        </w:rPr>
        <w:t>万元，完成预算</w:t>
      </w:r>
      <w:r>
        <w:rPr>
          <w:rFonts w:hint="eastAsia" w:ascii="仿宋_GB2312"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较上年增加</w:t>
      </w:r>
      <w:r>
        <w:rPr>
          <w:rFonts w:hint="eastAsia" w:ascii="仿宋_GB2312" w:hAnsi="仿宋_GB2312" w:eastAsia="仿宋_GB2312" w:cs="仿宋_GB2312"/>
          <w:color w:val="auto"/>
          <w:sz w:val="32"/>
          <w:szCs w:val="32"/>
          <w:highlight w:val="none"/>
          <w:lang w:val="en-US" w:eastAsia="zh-CN"/>
        </w:rPr>
        <w:t>0.06万元，增长100%。</w:t>
      </w:r>
      <w:r>
        <w:rPr>
          <w:rFonts w:hint="eastAsia" w:ascii="仿宋_GB2312" w:hAnsi="仿宋_GB2312" w:eastAsia="仿宋_GB2312" w:cs="仿宋_GB2312"/>
          <w:color w:val="auto"/>
          <w:sz w:val="32"/>
          <w:szCs w:val="32"/>
          <w:highlight w:val="none"/>
        </w:rPr>
        <w:t>决算数与预算数持平。</w:t>
      </w:r>
    </w:p>
    <w:p w14:paraId="138E5224">
      <w:pPr>
        <w:spacing w:line="600" w:lineRule="exact"/>
        <w:ind w:firstLine="640"/>
        <w:outlineLvl w:val="2"/>
        <w:rPr>
          <w:rFonts w:hint="eastAsia" w:ascii="仿宋_GB2312" w:hAnsi="仿宋_GB2312" w:eastAsia="仿宋_GB2312" w:cs="仿宋_GB2312"/>
          <w:b/>
          <w:color w:val="auto"/>
          <w:sz w:val="32"/>
          <w:szCs w:val="32"/>
          <w:highlight w:val="none"/>
        </w:rPr>
      </w:pPr>
      <w:bookmarkStart w:id="46" w:name="_Toc15377217"/>
      <w:r>
        <w:rPr>
          <w:rFonts w:hint="eastAsia" w:ascii="仿宋_GB2312" w:hAnsi="仿宋_GB2312" w:eastAsia="仿宋_GB2312" w:cs="仿宋_GB2312"/>
          <w:b/>
          <w:color w:val="auto"/>
          <w:sz w:val="30"/>
          <w:szCs w:val="30"/>
          <w:highlight w:val="none"/>
        </w:rPr>
        <w:t>（二）“三公”经费财政拨款支出决算具体情况说明</w:t>
      </w:r>
      <w:bookmarkEnd w:id="46"/>
    </w:p>
    <w:p w14:paraId="641404C6">
      <w:pPr>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年“三公”经费财政拨款支出决算中，因公出国（境）费支出决算</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%；公务用车购置及运行维护费支出决算</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%；公务接待费支出决算</w:t>
      </w:r>
      <w:r>
        <w:rPr>
          <w:rFonts w:hint="eastAsia" w:ascii="仿宋_GB2312" w:hAnsi="仿宋_GB2312" w:eastAsia="仿宋_GB2312" w:cs="仿宋_GB2312"/>
          <w:color w:val="auto"/>
          <w:sz w:val="32"/>
          <w:szCs w:val="32"/>
          <w:highlight w:val="none"/>
          <w:lang w:val="en-US" w:eastAsia="zh-CN"/>
        </w:rPr>
        <w:t>0.06</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0.01</w:t>
      </w:r>
      <w:r>
        <w:rPr>
          <w:rFonts w:hint="eastAsia" w:ascii="仿宋_GB2312" w:hAnsi="仿宋_GB2312" w:eastAsia="仿宋_GB2312" w:cs="仿宋_GB2312"/>
          <w:color w:val="auto"/>
          <w:sz w:val="32"/>
          <w:szCs w:val="32"/>
          <w:highlight w:val="none"/>
        </w:rPr>
        <w:t>%。具体情况如下：</w:t>
      </w:r>
    </w:p>
    <w:p w14:paraId="11FD7284">
      <w:pPr>
        <w:pStyle w:val="5"/>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080000" cy="3810000"/>
            <wp:effectExtent l="4445" t="4445" r="20955" b="14605"/>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6BA061D">
      <w:pPr>
        <w:numPr>
          <w:ilvl w:val="0"/>
          <w:numId w:val="5"/>
        </w:numPr>
        <w:spacing w:line="600" w:lineRule="exact"/>
        <w:ind w:firstLine="64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因公出国（境）经费支出</w:t>
      </w:r>
      <w:r>
        <w:rPr>
          <w:rFonts w:hint="eastAsia" w:ascii="仿宋_GB2312" w:hAnsi="仿宋_GB2312" w:eastAsia="仿宋_GB2312" w:cs="仿宋_GB2312"/>
          <w:b/>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w:t>
      </w:r>
      <w:r>
        <w:rPr>
          <w:rStyle w:val="17"/>
          <w:rFonts w:hint="eastAsia" w:ascii="仿宋_GB2312" w:hAnsi="仿宋_GB2312" w:eastAsia="仿宋_GB2312" w:cs="仿宋_GB2312"/>
          <w:b w:val="0"/>
          <w:bCs/>
          <w:color w:val="auto"/>
          <w:sz w:val="32"/>
          <w:szCs w:val="32"/>
          <w:highlight w:val="none"/>
        </w:rPr>
        <w:t>完成预算</w:t>
      </w:r>
      <w:r>
        <w:rPr>
          <w:rStyle w:val="17"/>
          <w:rFonts w:hint="eastAsia" w:ascii="仿宋_GB2312" w:hAnsi="仿宋_GB2312" w:eastAsia="仿宋_GB2312" w:cs="仿宋_GB2312"/>
          <w:b w:val="0"/>
          <w:bCs/>
          <w:color w:val="auto"/>
          <w:sz w:val="32"/>
          <w:szCs w:val="32"/>
          <w:highlight w:val="none"/>
          <w:lang w:val="en-US" w:eastAsia="zh-CN"/>
        </w:rPr>
        <w:t>0</w:t>
      </w:r>
      <w:r>
        <w:rPr>
          <w:rStyle w:val="17"/>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color w:val="auto"/>
          <w:sz w:val="32"/>
          <w:szCs w:val="32"/>
          <w:highlight w:val="none"/>
        </w:rPr>
        <w:t>全年安排因公出国（境）团组</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次，出国（境）</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人。因公出国（境）支出决算比20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年减少</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万元，下降</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w:t>
      </w:r>
    </w:p>
    <w:p w14:paraId="16986B1F">
      <w:pPr>
        <w:numPr>
          <w:ilvl w:val="0"/>
          <w:numId w:val="0"/>
        </w:numPr>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开支内容包括：</w:t>
      </w:r>
      <w:r>
        <w:rPr>
          <w:rFonts w:hint="eastAsia" w:ascii="仿宋_GB2312" w:hAnsi="仿宋_GB2312" w:eastAsia="仿宋_GB2312" w:cs="仿宋_GB2312"/>
          <w:color w:val="auto"/>
          <w:sz w:val="32"/>
          <w:szCs w:val="32"/>
          <w:highlight w:val="none"/>
          <w:lang w:eastAsia="zh-CN"/>
        </w:rPr>
        <w:t>无</w:t>
      </w:r>
      <w:r>
        <w:rPr>
          <w:rFonts w:hint="eastAsia" w:ascii="仿宋_GB2312" w:hAnsi="仿宋_GB2312" w:eastAsia="仿宋_GB2312" w:cs="仿宋_GB2312"/>
          <w:color w:val="auto"/>
          <w:sz w:val="32"/>
          <w:szCs w:val="32"/>
          <w:highlight w:val="none"/>
        </w:rPr>
        <w:t>（团组名称、出访地点、取得成效）等。</w:t>
      </w:r>
    </w:p>
    <w:p w14:paraId="493381D3">
      <w:pPr>
        <w:spacing w:line="600" w:lineRule="exact"/>
        <w:ind w:firstLine="64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2.公务用车购置及运行维护费支出</w:t>
      </w:r>
      <w:r>
        <w:rPr>
          <w:rFonts w:hint="eastAsia" w:ascii="仿宋_GB2312" w:hAnsi="仿宋_GB2312" w:eastAsia="仿宋_GB2312" w:cs="仿宋_GB2312"/>
          <w:b/>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eastAsia="zh-CN"/>
        </w:rPr>
        <w:t>，</w:t>
      </w:r>
      <w:r>
        <w:rPr>
          <w:rStyle w:val="17"/>
          <w:rFonts w:hint="eastAsia" w:ascii="仿宋_GB2312" w:hAnsi="仿宋_GB2312" w:eastAsia="仿宋_GB2312" w:cs="仿宋_GB2312"/>
          <w:b w:val="0"/>
          <w:bCs/>
          <w:color w:val="auto"/>
          <w:sz w:val="32"/>
          <w:szCs w:val="32"/>
          <w:highlight w:val="none"/>
        </w:rPr>
        <w:t>完成预算</w:t>
      </w:r>
      <w:r>
        <w:rPr>
          <w:rStyle w:val="17"/>
          <w:rFonts w:hint="eastAsia" w:ascii="仿宋_GB2312" w:hAnsi="仿宋_GB2312" w:eastAsia="仿宋_GB2312" w:cs="仿宋_GB2312"/>
          <w:b w:val="0"/>
          <w:bCs/>
          <w:color w:val="auto"/>
          <w:sz w:val="32"/>
          <w:szCs w:val="32"/>
          <w:highlight w:val="none"/>
          <w:lang w:val="en-US" w:eastAsia="zh-CN"/>
        </w:rPr>
        <w:t>0</w:t>
      </w:r>
      <w:r>
        <w:rPr>
          <w:rStyle w:val="17"/>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color w:val="auto"/>
          <w:sz w:val="32"/>
          <w:szCs w:val="32"/>
          <w:highlight w:val="none"/>
        </w:rPr>
        <w:t>公务用车购置及运行维护费支出决算比20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年增加</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万元，增长</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w:t>
      </w:r>
    </w:p>
    <w:p w14:paraId="183A693F">
      <w:pPr>
        <w:spacing w:line="600" w:lineRule="exact"/>
        <w:ind w:firstLine="640"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32"/>
          <w:szCs w:val="32"/>
          <w:highlight w:val="none"/>
        </w:rPr>
        <w:t>其中：</w:t>
      </w:r>
      <w:r>
        <w:rPr>
          <w:rFonts w:hint="eastAsia" w:ascii="仿宋_GB2312" w:hAnsi="仿宋_GB2312" w:eastAsia="仿宋_GB2312" w:cs="仿宋_GB2312"/>
          <w:b/>
          <w:color w:val="auto"/>
          <w:sz w:val="32"/>
          <w:szCs w:val="32"/>
          <w:highlight w:val="none"/>
        </w:rPr>
        <w:t>公务用车购置支出</w:t>
      </w:r>
      <w:r>
        <w:rPr>
          <w:rFonts w:hint="eastAsia" w:ascii="仿宋_GB2312" w:hAnsi="仿宋_GB2312" w:eastAsia="仿宋_GB2312" w:cs="仿宋_GB2312"/>
          <w:b/>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万元。全年按规定更新购置公务用车</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辆，其中：轿车</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辆、金额</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万元，越野车</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辆、金额</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万元，载客汽车</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辆、金额</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万元。截至20</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年12月底，单位共有公务用车</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辆，其中：轿车</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辆、越野车</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辆、载客汽车</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w:t>
      </w:r>
    </w:p>
    <w:p w14:paraId="5818701D">
      <w:pPr>
        <w:spacing w:line="600" w:lineRule="exact"/>
        <w:ind w:firstLine="64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公务用车运行维护费支出</w:t>
      </w:r>
      <w:r>
        <w:rPr>
          <w:rFonts w:hint="eastAsia" w:ascii="仿宋_GB2312" w:hAnsi="仿宋_GB2312" w:eastAsia="仿宋_GB2312" w:cs="仿宋_GB2312"/>
          <w:b/>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eastAsia="zh-CN"/>
        </w:rPr>
        <w:t>无</w:t>
      </w:r>
      <w:r>
        <w:rPr>
          <w:rFonts w:hint="eastAsia" w:ascii="仿宋_GB2312" w:hAnsi="仿宋_GB2312" w:eastAsia="仿宋_GB2312" w:cs="仿宋_GB2312"/>
          <w:color w:val="auto"/>
          <w:sz w:val="32"/>
          <w:szCs w:val="32"/>
          <w:highlight w:val="none"/>
        </w:rPr>
        <w:t>所需的公务用车燃料费、维修费、过路过桥费、保险费等支出。</w:t>
      </w:r>
    </w:p>
    <w:p w14:paraId="4330698B">
      <w:pPr>
        <w:numPr>
          <w:ilvl w:val="0"/>
          <w:numId w:val="5"/>
        </w:numPr>
        <w:spacing w:line="600" w:lineRule="exact"/>
        <w:ind w:left="0" w:leftChars="0" w:firstLine="640" w:firstLineChars="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公务接待费支出</w:t>
      </w:r>
      <w:r>
        <w:rPr>
          <w:rFonts w:hint="eastAsia" w:ascii="仿宋_GB2312" w:hAnsi="仿宋_GB2312" w:eastAsia="仿宋_GB2312" w:cs="仿宋_GB2312"/>
          <w:b/>
          <w:color w:val="auto"/>
          <w:sz w:val="32"/>
          <w:szCs w:val="32"/>
          <w:highlight w:val="none"/>
          <w:lang w:val="en-US" w:eastAsia="zh-CN"/>
        </w:rPr>
        <w:t>0.06</w:t>
      </w:r>
      <w:r>
        <w:rPr>
          <w:rFonts w:hint="eastAsia" w:ascii="仿宋_GB2312" w:hAnsi="仿宋_GB2312" w:eastAsia="仿宋_GB2312" w:cs="仿宋_GB2312"/>
          <w:color w:val="auto"/>
          <w:sz w:val="32"/>
          <w:szCs w:val="32"/>
          <w:highlight w:val="none"/>
        </w:rPr>
        <w:t>万元，</w:t>
      </w:r>
      <w:r>
        <w:rPr>
          <w:rStyle w:val="17"/>
          <w:rFonts w:hint="eastAsia" w:ascii="仿宋_GB2312" w:hAnsi="仿宋_GB2312" w:eastAsia="仿宋_GB2312" w:cs="仿宋_GB2312"/>
          <w:b w:val="0"/>
          <w:bCs/>
          <w:color w:val="auto"/>
          <w:sz w:val="32"/>
          <w:szCs w:val="32"/>
          <w:highlight w:val="none"/>
        </w:rPr>
        <w:t>完成预算</w:t>
      </w:r>
      <w:r>
        <w:rPr>
          <w:rStyle w:val="17"/>
          <w:rFonts w:hint="eastAsia" w:ascii="仿宋_GB2312" w:hAnsi="仿宋_GB2312" w:eastAsia="仿宋_GB2312" w:cs="仿宋_GB2312"/>
          <w:b w:val="0"/>
          <w:bCs/>
          <w:color w:val="auto"/>
          <w:sz w:val="32"/>
          <w:szCs w:val="32"/>
          <w:highlight w:val="none"/>
          <w:lang w:val="en-US" w:eastAsia="zh-CN"/>
        </w:rPr>
        <w:t>100</w:t>
      </w:r>
      <w:r>
        <w:rPr>
          <w:rStyle w:val="17"/>
          <w:rFonts w:hint="eastAsia" w:ascii="仿宋_GB2312" w:hAnsi="仿宋_GB2312" w:eastAsia="仿宋_GB2312" w:cs="仿宋_GB2312"/>
          <w:b w:val="0"/>
          <w:bCs/>
          <w:color w:val="auto"/>
          <w:sz w:val="32"/>
          <w:szCs w:val="32"/>
          <w:highlight w:val="none"/>
        </w:rPr>
        <w:t>%。</w:t>
      </w:r>
      <w:r>
        <w:rPr>
          <w:rFonts w:hint="eastAsia" w:ascii="仿宋_GB2312" w:hAnsi="仿宋_GB2312" w:eastAsia="仿宋_GB2312" w:cs="仿宋_GB2312"/>
          <w:color w:val="auto"/>
          <w:sz w:val="32"/>
          <w:szCs w:val="32"/>
          <w:highlight w:val="none"/>
        </w:rPr>
        <w:t>公务接待费支出决算比20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年增加</w:t>
      </w:r>
      <w:r>
        <w:rPr>
          <w:rFonts w:hint="eastAsia" w:ascii="仿宋_GB2312" w:hAnsi="仿宋_GB2312" w:eastAsia="仿宋_GB2312" w:cs="仿宋_GB2312"/>
          <w:color w:val="auto"/>
          <w:sz w:val="32"/>
          <w:szCs w:val="32"/>
          <w:highlight w:val="none"/>
          <w:lang w:val="en-US" w:eastAsia="zh-CN"/>
        </w:rPr>
        <w:t>0.06</w:t>
      </w:r>
      <w:r>
        <w:rPr>
          <w:rFonts w:hint="eastAsia" w:ascii="仿宋_GB2312" w:hAnsi="仿宋_GB2312" w:eastAsia="仿宋_GB2312" w:cs="仿宋_GB2312"/>
          <w:color w:val="auto"/>
          <w:sz w:val="32"/>
          <w:szCs w:val="32"/>
          <w:highlight w:val="none"/>
        </w:rPr>
        <w:t>万元，增长</w:t>
      </w:r>
      <w:r>
        <w:rPr>
          <w:rFonts w:hint="eastAsia" w:ascii="仿宋_GB2312"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rPr>
        <w:t>%。其中：</w:t>
      </w:r>
    </w:p>
    <w:p w14:paraId="72C81767">
      <w:pPr>
        <w:spacing w:line="600" w:lineRule="exact"/>
        <w:ind w:firstLine="64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国内公务接待支出</w:t>
      </w:r>
      <w:r>
        <w:rPr>
          <w:rFonts w:hint="eastAsia" w:ascii="仿宋_GB2312" w:hAnsi="仿宋_GB2312" w:eastAsia="仿宋_GB2312" w:cs="仿宋_GB2312"/>
          <w:b/>
          <w:color w:val="auto"/>
          <w:sz w:val="32"/>
          <w:szCs w:val="32"/>
          <w:highlight w:val="none"/>
          <w:lang w:val="en-US" w:eastAsia="zh-CN"/>
        </w:rPr>
        <w:t>0.06</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eastAsia="zh-CN"/>
        </w:rPr>
        <w:t>无</w:t>
      </w:r>
      <w:r>
        <w:rPr>
          <w:rFonts w:hint="eastAsia" w:ascii="仿宋_GB2312" w:hAnsi="仿宋_GB2312" w:eastAsia="仿宋_GB2312" w:cs="仿宋_GB2312"/>
          <w:color w:val="auto"/>
          <w:sz w:val="32"/>
          <w:szCs w:val="32"/>
          <w:highlight w:val="none"/>
        </w:rPr>
        <w:t>执行公务、开展业务活动开支的交通费、住宿费、用餐费等。国内公务接待</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批次，</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人次（不包括陪同人员），共计支出</w:t>
      </w:r>
      <w:r>
        <w:rPr>
          <w:rFonts w:hint="eastAsia" w:ascii="仿宋_GB2312" w:hAnsi="仿宋_GB2312" w:eastAsia="仿宋_GB2312" w:cs="仿宋_GB2312"/>
          <w:color w:val="auto"/>
          <w:sz w:val="32"/>
          <w:szCs w:val="32"/>
          <w:highlight w:val="none"/>
          <w:lang w:val="en-US" w:eastAsia="zh-CN"/>
        </w:rPr>
        <w:t>0.06</w:t>
      </w:r>
      <w:r>
        <w:rPr>
          <w:rFonts w:hint="eastAsia" w:ascii="仿宋_GB2312" w:hAnsi="仿宋_GB2312" w:eastAsia="仿宋_GB2312" w:cs="仿宋_GB2312"/>
          <w:color w:val="auto"/>
          <w:sz w:val="32"/>
          <w:szCs w:val="32"/>
          <w:highlight w:val="none"/>
        </w:rPr>
        <w:t>万元。</w:t>
      </w:r>
    </w:p>
    <w:p w14:paraId="179CF92F">
      <w:pPr>
        <w:spacing w:line="600" w:lineRule="exact"/>
        <w:ind w:firstLine="643"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外事接待支出</w:t>
      </w:r>
      <w:r>
        <w:rPr>
          <w:rFonts w:hint="eastAsia" w:ascii="仿宋_GB2312" w:hAnsi="仿宋_GB2312" w:eastAsia="仿宋_GB2312" w:cs="仿宋_GB2312"/>
          <w:b/>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万元，外事接待</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批次，</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人</w:t>
      </w:r>
      <w:r>
        <w:rPr>
          <w:rFonts w:hint="eastAsia" w:ascii="仿宋_GB2312" w:hAnsi="仿宋_GB2312" w:eastAsia="仿宋_GB2312" w:cs="仿宋_GB2312"/>
          <w:color w:val="auto"/>
          <w:sz w:val="32"/>
          <w:szCs w:val="32"/>
          <w:highlight w:val="none"/>
          <w:lang w:eastAsia="zh-CN"/>
        </w:rPr>
        <w:t>次（不包括陪同人员）</w:t>
      </w:r>
      <w:r>
        <w:rPr>
          <w:rFonts w:hint="eastAsia" w:ascii="仿宋_GB2312" w:hAnsi="仿宋_GB2312" w:eastAsia="仿宋_GB2312" w:cs="仿宋_GB2312"/>
          <w:color w:val="auto"/>
          <w:sz w:val="32"/>
          <w:szCs w:val="32"/>
          <w:highlight w:val="none"/>
        </w:rPr>
        <w:t>，共计支出</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w:t>
      </w:r>
    </w:p>
    <w:p w14:paraId="138097A3">
      <w:pPr>
        <w:spacing w:line="600" w:lineRule="exact"/>
        <w:outlineLvl w:val="1"/>
        <w:rPr>
          <w:rStyle w:val="20"/>
          <w:rFonts w:hint="eastAsia" w:ascii="仿宋_GB2312" w:hAnsi="仿宋_GB2312" w:eastAsia="仿宋_GB2312" w:cs="仿宋_GB2312"/>
          <w:b/>
          <w:bCs/>
          <w:color w:val="auto"/>
          <w:sz w:val="32"/>
          <w:szCs w:val="32"/>
          <w:highlight w:val="none"/>
        </w:rPr>
      </w:pPr>
      <w:bookmarkStart w:id="47" w:name="_Toc15396610"/>
      <w:bookmarkStart w:id="48" w:name="_Toc15377218"/>
      <w:r>
        <w:rPr>
          <w:rFonts w:hint="eastAsia" w:ascii="仿宋_GB2312" w:hAnsi="仿宋_GB2312" w:eastAsia="仿宋_GB2312" w:cs="仿宋_GB2312"/>
          <w:b/>
          <w:bCs/>
          <w:color w:val="auto"/>
          <w:sz w:val="32"/>
          <w:szCs w:val="32"/>
          <w:highlight w:val="none"/>
        </w:rPr>
        <w:t>八、</w:t>
      </w:r>
      <w:r>
        <w:rPr>
          <w:rStyle w:val="20"/>
          <w:rFonts w:hint="eastAsia" w:ascii="仿宋_GB2312" w:hAnsi="仿宋_GB2312" w:eastAsia="仿宋_GB2312" w:cs="仿宋_GB2312"/>
          <w:b/>
          <w:bCs/>
          <w:color w:val="auto"/>
          <w:sz w:val="32"/>
          <w:szCs w:val="32"/>
          <w:highlight w:val="none"/>
        </w:rPr>
        <w:t>政府性基金预算支出决算情况说明</w:t>
      </w:r>
      <w:bookmarkEnd w:id="47"/>
      <w:bookmarkEnd w:id="48"/>
    </w:p>
    <w:p w14:paraId="772DD416">
      <w:pPr>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年政府性基金预算</w:t>
      </w:r>
      <w:r>
        <w:rPr>
          <w:rFonts w:hint="eastAsia" w:ascii="仿宋_GB2312" w:hAnsi="仿宋_GB2312" w:eastAsia="仿宋_GB2312" w:cs="仿宋_GB2312"/>
          <w:color w:val="auto"/>
          <w:sz w:val="32"/>
          <w:szCs w:val="32"/>
          <w:highlight w:val="none"/>
          <w:lang w:eastAsia="zh-CN"/>
        </w:rPr>
        <w:t>财政</w:t>
      </w:r>
      <w:r>
        <w:rPr>
          <w:rFonts w:hint="eastAsia" w:ascii="仿宋_GB2312" w:hAnsi="仿宋_GB2312" w:eastAsia="仿宋_GB2312" w:cs="仿宋_GB2312"/>
          <w:color w:val="auto"/>
          <w:sz w:val="32"/>
          <w:szCs w:val="32"/>
          <w:highlight w:val="none"/>
        </w:rPr>
        <w:t>拨款支出</w:t>
      </w:r>
      <w:r>
        <w:rPr>
          <w:rFonts w:hint="eastAsia" w:ascii="仿宋_GB2312" w:hAnsi="仿宋_GB2312" w:eastAsia="仿宋_GB2312" w:cs="仿宋_GB2312"/>
          <w:color w:val="auto"/>
          <w:sz w:val="32"/>
          <w:szCs w:val="32"/>
          <w:highlight w:val="none"/>
          <w:lang w:val="en-US" w:eastAsia="zh-CN"/>
        </w:rPr>
        <w:t>54.16</w:t>
      </w:r>
      <w:r>
        <w:rPr>
          <w:rFonts w:hint="eastAsia" w:ascii="仿宋_GB2312" w:hAnsi="仿宋_GB2312" w:eastAsia="仿宋_GB2312" w:cs="仿宋_GB2312"/>
          <w:color w:val="auto"/>
          <w:sz w:val="32"/>
          <w:szCs w:val="32"/>
          <w:highlight w:val="none"/>
        </w:rPr>
        <w:t>万元。</w:t>
      </w:r>
    </w:p>
    <w:p w14:paraId="38E60C08">
      <w:pPr>
        <w:numPr>
          <w:ilvl w:val="0"/>
          <w:numId w:val="0"/>
        </w:numPr>
        <w:spacing w:line="600" w:lineRule="exact"/>
        <w:outlineLvl w:val="1"/>
        <w:rPr>
          <w:rStyle w:val="20"/>
          <w:rFonts w:hint="eastAsia" w:ascii="仿宋_GB2312" w:hAnsi="仿宋_GB2312" w:eastAsia="仿宋_GB2312" w:cs="仿宋_GB2312"/>
          <w:b/>
          <w:bCs w:val="0"/>
          <w:color w:val="auto"/>
          <w:sz w:val="32"/>
          <w:szCs w:val="32"/>
          <w:highlight w:val="none"/>
        </w:rPr>
      </w:pPr>
      <w:bookmarkStart w:id="49" w:name="_Toc15396611"/>
      <w:bookmarkStart w:id="50" w:name="_Toc15377219"/>
      <w:r>
        <w:rPr>
          <w:rStyle w:val="20"/>
          <w:rFonts w:hint="eastAsia" w:ascii="仿宋_GB2312" w:hAnsi="仿宋_GB2312" w:eastAsia="仿宋_GB2312" w:cs="仿宋_GB2312"/>
          <w:b/>
          <w:bCs w:val="0"/>
          <w:color w:val="auto"/>
          <w:sz w:val="32"/>
          <w:szCs w:val="32"/>
          <w:highlight w:val="none"/>
          <w:lang w:eastAsia="zh-CN"/>
        </w:rPr>
        <w:t>九、</w:t>
      </w:r>
      <w:r>
        <w:rPr>
          <w:rStyle w:val="20"/>
          <w:rFonts w:hint="eastAsia" w:ascii="仿宋_GB2312" w:hAnsi="仿宋_GB2312" w:eastAsia="仿宋_GB2312" w:cs="仿宋_GB2312"/>
          <w:b/>
          <w:bCs w:val="0"/>
          <w:color w:val="auto"/>
          <w:sz w:val="32"/>
          <w:szCs w:val="32"/>
          <w:highlight w:val="none"/>
        </w:rPr>
        <w:t>国有资本经营预算支出决算情况说明</w:t>
      </w:r>
      <w:bookmarkEnd w:id="49"/>
      <w:bookmarkEnd w:id="50"/>
    </w:p>
    <w:p w14:paraId="3A7D271C">
      <w:pPr>
        <w:spacing w:line="600" w:lineRule="exact"/>
        <w:ind w:firstLine="64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年国有资本经营预算</w:t>
      </w:r>
      <w:r>
        <w:rPr>
          <w:rFonts w:hint="eastAsia" w:ascii="仿宋_GB2312" w:hAnsi="仿宋_GB2312" w:eastAsia="仿宋_GB2312" w:cs="仿宋_GB2312"/>
          <w:color w:val="auto"/>
          <w:sz w:val="32"/>
          <w:szCs w:val="32"/>
          <w:highlight w:val="none"/>
          <w:lang w:eastAsia="zh-CN"/>
        </w:rPr>
        <w:t>财政</w:t>
      </w:r>
      <w:r>
        <w:rPr>
          <w:rFonts w:hint="eastAsia" w:ascii="仿宋_GB2312" w:hAnsi="仿宋_GB2312" w:eastAsia="仿宋_GB2312" w:cs="仿宋_GB2312"/>
          <w:color w:val="auto"/>
          <w:sz w:val="32"/>
          <w:szCs w:val="32"/>
          <w:highlight w:val="none"/>
        </w:rPr>
        <w:t>拨款支出</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w:t>
      </w:r>
    </w:p>
    <w:p w14:paraId="4D566F76">
      <w:pPr>
        <w:numPr>
          <w:ilvl w:val="0"/>
          <w:numId w:val="0"/>
        </w:numPr>
        <w:spacing w:line="600" w:lineRule="exact"/>
        <w:outlineLvl w:val="1"/>
        <w:rPr>
          <w:rStyle w:val="20"/>
          <w:rFonts w:hint="eastAsia" w:ascii="仿宋_GB2312" w:hAnsi="仿宋_GB2312" w:eastAsia="仿宋_GB2312" w:cs="仿宋_GB2312"/>
          <w:b/>
          <w:bCs w:val="0"/>
          <w:color w:val="auto"/>
          <w:sz w:val="32"/>
          <w:szCs w:val="32"/>
          <w:highlight w:val="none"/>
        </w:rPr>
      </w:pPr>
      <w:bookmarkStart w:id="51" w:name="_Toc15377221"/>
      <w:bookmarkStart w:id="52" w:name="_Toc15396612"/>
      <w:r>
        <w:rPr>
          <w:rStyle w:val="20"/>
          <w:rFonts w:hint="eastAsia" w:ascii="仿宋_GB2312" w:hAnsi="仿宋_GB2312" w:eastAsia="仿宋_GB2312" w:cs="仿宋_GB2312"/>
          <w:b/>
          <w:bCs w:val="0"/>
          <w:color w:val="auto"/>
          <w:sz w:val="32"/>
          <w:szCs w:val="32"/>
          <w:highlight w:val="none"/>
          <w:lang w:eastAsia="zh-CN"/>
        </w:rPr>
        <w:t>十、</w:t>
      </w:r>
      <w:r>
        <w:rPr>
          <w:rStyle w:val="20"/>
          <w:rFonts w:hint="eastAsia" w:ascii="仿宋_GB2312" w:hAnsi="仿宋_GB2312" w:eastAsia="仿宋_GB2312" w:cs="仿宋_GB2312"/>
          <w:b/>
          <w:bCs w:val="0"/>
          <w:color w:val="auto"/>
          <w:sz w:val="32"/>
          <w:szCs w:val="32"/>
          <w:highlight w:val="none"/>
        </w:rPr>
        <w:t>其他重要事项的情况说明</w:t>
      </w:r>
      <w:bookmarkEnd w:id="51"/>
      <w:bookmarkEnd w:id="52"/>
    </w:p>
    <w:p w14:paraId="7A772F4B">
      <w:pPr>
        <w:spacing w:line="600" w:lineRule="exact"/>
        <w:outlineLvl w:val="2"/>
        <w:rPr>
          <w:rFonts w:hint="eastAsia" w:ascii="仿宋_GB2312" w:hAnsi="仿宋_GB2312" w:eastAsia="仿宋_GB2312" w:cs="仿宋_GB2312"/>
          <w:color w:val="auto"/>
          <w:sz w:val="32"/>
          <w:szCs w:val="32"/>
          <w:highlight w:val="none"/>
        </w:rPr>
      </w:pPr>
      <w:bookmarkStart w:id="53" w:name="_Toc15377222"/>
      <w:r>
        <w:rPr>
          <w:rFonts w:hint="eastAsia" w:ascii="仿宋_GB2312" w:hAnsi="仿宋_GB2312" w:eastAsia="仿宋_GB2312" w:cs="仿宋_GB2312"/>
          <w:b/>
          <w:color w:val="auto"/>
          <w:sz w:val="32"/>
          <w:szCs w:val="32"/>
          <w:highlight w:val="none"/>
        </w:rPr>
        <w:t>（一）机关运行经费支出情况</w:t>
      </w:r>
      <w:bookmarkEnd w:id="53"/>
    </w:p>
    <w:p w14:paraId="1964202D">
      <w:pPr>
        <w:spacing w:line="60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eastAsia="zh-CN"/>
        </w:rPr>
        <w:t>峨边彝族自治县融媒体中心</w:t>
      </w:r>
      <w:r>
        <w:rPr>
          <w:rFonts w:hint="eastAsia" w:ascii="仿宋_GB2312" w:hAnsi="仿宋_GB2312" w:eastAsia="仿宋_GB2312" w:cs="仿宋_GB2312"/>
          <w:color w:val="auto"/>
          <w:sz w:val="32"/>
          <w:szCs w:val="32"/>
          <w:highlight w:val="none"/>
        </w:rPr>
        <w:t>机关运行经费支出</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万元，比20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年增加</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万元，增长</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与20</w:t>
      </w:r>
      <w:r>
        <w:rPr>
          <w:rFonts w:hint="eastAsia" w:ascii="仿宋_GB2312" w:hAnsi="仿宋_GB2312" w:eastAsia="仿宋_GB2312" w:cs="仿宋_GB2312"/>
          <w:color w:val="auto"/>
          <w:sz w:val="32"/>
          <w:szCs w:val="32"/>
          <w:highlight w:val="none"/>
          <w:lang w:val="en-US" w:eastAsia="zh-CN"/>
        </w:rPr>
        <w:t>22</w:t>
      </w:r>
      <w:r>
        <w:rPr>
          <w:rFonts w:hint="eastAsia" w:ascii="仿宋_GB2312" w:hAnsi="仿宋_GB2312" w:eastAsia="仿宋_GB2312" w:cs="仿宋_GB2312"/>
          <w:color w:val="auto"/>
          <w:sz w:val="32"/>
          <w:szCs w:val="32"/>
          <w:highlight w:val="none"/>
        </w:rPr>
        <w:t>年决算数持平</w:t>
      </w:r>
      <w:r>
        <w:rPr>
          <w:rFonts w:hint="eastAsia" w:ascii="仿宋_GB2312" w:hAnsi="仿宋_GB2312" w:eastAsia="仿宋_GB2312" w:cs="仿宋_GB2312"/>
          <w:color w:val="auto"/>
          <w:sz w:val="32"/>
          <w:szCs w:val="32"/>
          <w:highlight w:val="none"/>
          <w:lang w:eastAsia="zh-CN"/>
        </w:rPr>
        <w:t>。</w:t>
      </w:r>
    </w:p>
    <w:p w14:paraId="5D7F8A0F">
      <w:pPr>
        <w:autoSpaceDE w:val="0"/>
        <w:autoSpaceDN w:val="0"/>
        <w:adjustRightInd w:val="0"/>
        <w:spacing w:line="600" w:lineRule="exact"/>
        <w:jc w:val="left"/>
        <w:outlineLvl w:val="2"/>
        <w:rPr>
          <w:rFonts w:hint="eastAsia" w:ascii="仿宋_GB2312" w:hAnsi="仿宋_GB2312" w:eastAsia="仿宋_GB2312" w:cs="仿宋_GB2312"/>
          <w:b/>
          <w:color w:val="auto"/>
          <w:sz w:val="32"/>
          <w:szCs w:val="32"/>
          <w:highlight w:val="none"/>
        </w:rPr>
      </w:pPr>
      <w:bookmarkStart w:id="54" w:name="_Toc15377223"/>
      <w:r>
        <w:rPr>
          <w:rFonts w:hint="eastAsia" w:ascii="仿宋_GB2312" w:hAnsi="仿宋_GB2312" w:eastAsia="仿宋_GB2312" w:cs="仿宋_GB2312"/>
          <w:b/>
          <w:color w:val="auto"/>
          <w:sz w:val="32"/>
          <w:szCs w:val="32"/>
          <w:highlight w:val="none"/>
        </w:rPr>
        <w:t>（二）政府采购支出情况</w:t>
      </w:r>
      <w:bookmarkEnd w:id="54"/>
    </w:p>
    <w:p w14:paraId="09BF1A11">
      <w:pPr>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政府采购支出总额</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万元，其中：政府采购货物支出</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万元、政府采购工程支出</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万元、政府采购服务支出</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万元。授予中小企业合同金额</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万元，占政府采购支出总额的</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%，其中：授予小微企业合同金额</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万元，占政府采购支出总额的</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w:t>
      </w:r>
    </w:p>
    <w:p w14:paraId="78D021DB">
      <w:pPr>
        <w:autoSpaceDE w:val="0"/>
        <w:autoSpaceDN w:val="0"/>
        <w:adjustRightInd w:val="0"/>
        <w:spacing w:line="600" w:lineRule="exact"/>
        <w:jc w:val="left"/>
        <w:outlineLvl w:val="2"/>
        <w:rPr>
          <w:rFonts w:hint="eastAsia" w:ascii="仿宋_GB2312" w:hAnsi="仿宋_GB2312" w:eastAsia="仿宋_GB2312" w:cs="仿宋_GB2312"/>
          <w:b/>
          <w:color w:val="auto"/>
          <w:sz w:val="32"/>
          <w:szCs w:val="32"/>
          <w:highlight w:val="none"/>
        </w:rPr>
      </w:pPr>
      <w:bookmarkStart w:id="55" w:name="_Toc15377224"/>
      <w:r>
        <w:rPr>
          <w:rFonts w:hint="eastAsia" w:ascii="仿宋_GB2312" w:hAnsi="仿宋_GB2312" w:eastAsia="仿宋_GB2312" w:cs="仿宋_GB2312"/>
          <w:b/>
          <w:color w:val="auto"/>
          <w:sz w:val="32"/>
          <w:szCs w:val="32"/>
          <w:highlight w:val="none"/>
        </w:rPr>
        <w:t>（三）国有资产占有使用情况</w:t>
      </w:r>
      <w:bookmarkEnd w:id="55"/>
    </w:p>
    <w:p w14:paraId="4C36DA54">
      <w:pPr>
        <w:autoSpaceDE w:val="0"/>
        <w:autoSpaceDN w:val="0"/>
        <w:adjustRightInd w:val="0"/>
        <w:spacing w:line="600" w:lineRule="exact"/>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截至20</w:t>
      </w:r>
      <w:r>
        <w:rPr>
          <w:rFonts w:hint="eastAsia" w:ascii="仿宋_GB2312" w:hAnsi="仿宋_GB2312" w:eastAsia="仿宋_GB2312" w:cs="仿宋_GB2312"/>
          <w:color w:val="auto"/>
          <w:sz w:val="32"/>
          <w:szCs w:val="32"/>
          <w:highlight w:val="none"/>
          <w:lang w:val="en-US" w:eastAsia="zh-CN"/>
        </w:rPr>
        <w:t>23</w:t>
      </w:r>
      <w:r>
        <w:rPr>
          <w:rFonts w:hint="eastAsia" w:ascii="仿宋_GB2312" w:hAnsi="仿宋_GB2312" w:eastAsia="仿宋_GB2312" w:cs="仿宋_GB2312"/>
          <w:color w:val="auto"/>
          <w:sz w:val="32"/>
          <w:szCs w:val="32"/>
          <w:highlight w:val="none"/>
        </w:rPr>
        <w:t>年12月31日，</w:t>
      </w:r>
      <w:r>
        <w:rPr>
          <w:rFonts w:hint="eastAsia" w:ascii="仿宋_GB2312" w:hAnsi="仿宋_GB2312" w:eastAsia="仿宋_GB2312" w:cs="仿宋_GB2312"/>
          <w:color w:val="auto"/>
          <w:sz w:val="32"/>
          <w:szCs w:val="32"/>
          <w:highlight w:val="none"/>
          <w:lang w:eastAsia="zh-CN"/>
        </w:rPr>
        <w:t>峨边彝族自治县融媒体中心</w:t>
      </w:r>
      <w:r>
        <w:rPr>
          <w:rFonts w:hint="eastAsia" w:ascii="仿宋_GB2312" w:hAnsi="仿宋_GB2312" w:eastAsia="仿宋_GB2312" w:cs="仿宋_GB2312"/>
          <w:color w:val="auto"/>
          <w:sz w:val="32"/>
          <w:szCs w:val="32"/>
          <w:highlight w:val="none"/>
        </w:rPr>
        <w:t>共有车辆</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辆，其中：主要领导干部用车</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辆、机要通信用车</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辆、应急保障用车</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辆、其他用车</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辆</w:t>
      </w:r>
      <w:r>
        <w:rPr>
          <w:rFonts w:hint="eastAsia" w:ascii="仿宋_GB2312" w:hAnsi="仿宋_GB2312" w:eastAsia="仿宋_GB2312" w:cs="仿宋_GB2312"/>
          <w:color w:val="auto"/>
          <w:sz w:val="32"/>
          <w:szCs w:val="32"/>
          <w:highlight w:val="none"/>
          <w:lang w:eastAsia="zh-CN"/>
        </w:rPr>
        <w:t>，其他用车主要是用于</w:t>
      </w:r>
      <w:r>
        <w:rPr>
          <w:rFonts w:hint="eastAsia" w:ascii="仿宋_GB2312" w:hAnsi="仿宋_GB2312" w:eastAsia="仿宋_GB2312" w:cs="仿宋_GB2312"/>
          <w:color w:val="auto"/>
          <w:sz w:val="32"/>
          <w:szCs w:val="32"/>
          <w:highlight w:val="none"/>
        </w:rPr>
        <w:t>单价100万元以上专用设备</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台（套）。</w:t>
      </w:r>
    </w:p>
    <w:p w14:paraId="62485295">
      <w:pPr>
        <w:autoSpaceDE w:val="0"/>
        <w:autoSpaceDN w:val="0"/>
        <w:adjustRightInd w:val="0"/>
        <w:spacing w:line="600" w:lineRule="exact"/>
        <w:jc w:val="left"/>
        <w:outlineLvl w:val="2"/>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（四）预算绩效管理情况</w:t>
      </w:r>
    </w:p>
    <w:p w14:paraId="7796F807">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根据预算绩效管理要求，本部门在202</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年度预算编制阶段，组织对</w:t>
      </w:r>
      <w:r>
        <w:rPr>
          <w:rFonts w:hint="eastAsia" w:ascii="仿宋_GB2312" w:hAnsi="仿宋_GB2312" w:eastAsia="仿宋_GB2312" w:cs="仿宋_GB2312"/>
          <w:color w:val="000000"/>
          <w:kern w:val="0"/>
          <w:sz w:val="32"/>
          <w:szCs w:val="32"/>
          <w:shd w:val="clear" w:color="auto" w:fill="FFFFFF"/>
          <w:lang w:val="en-US" w:eastAsia="zh-CN"/>
        </w:rPr>
        <w:t>爱峨边APP运营维护项目、安全播出保障项目、峨边广播电台FM88.0项目、对外宣传栏目项目、峨边在线项目</w:t>
      </w:r>
      <w:r>
        <w:rPr>
          <w:rFonts w:hint="eastAsia" w:ascii="仿宋_GB2312" w:hAnsi="仿宋_GB2312" w:eastAsia="仿宋_GB2312" w:cs="仿宋_GB2312"/>
          <w:color w:val="auto"/>
          <w:sz w:val="32"/>
          <w:szCs w:val="32"/>
          <w:highlight w:val="none"/>
        </w:rPr>
        <w:t>开展了预算事前绩效评估，对</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个项目编制了绩效目标，预算执行过程中，选取</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个项目开展绩效监控。</w:t>
      </w:r>
    </w:p>
    <w:p w14:paraId="0219D887">
      <w:pPr>
        <w:widowControl/>
        <w:ind w:firstLine="640" w:firstLineChars="200"/>
        <w:jc w:val="left"/>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组织对202</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年度一般公共预算、政府性基金预算、国有资本经营预算、社会保险基金预算以及资本资产、债券资金等全面开展绩效自评，形成</w:t>
      </w:r>
      <w:r>
        <w:rPr>
          <w:rFonts w:hint="eastAsia" w:ascii="仿宋_GB2312" w:hAnsi="仿宋_GB2312" w:eastAsia="仿宋_GB2312" w:cs="仿宋_GB2312"/>
          <w:color w:val="auto"/>
          <w:sz w:val="32"/>
          <w:szCs w:val="32"/>
          <w:highlight w:val="none"/>
          <w:lang w:eastAsia="zh-CN"/>
        </w:rPr>
        <w:t>融媒体中心</w:t>
      </w:r>
      <w:r>
        <w:rPr>
          <w:rFonts w:hint="eastAsia" w:ascii="仿宋_GB2312" w:hAnsi="仿宋_GB2312" w:eastAsia="仿宋_GB2312" w:cs="仿宋_GB2312"/>
          <w:color w:val="auto"/>
          <w:sz w:val="32"/>
          <w:szCs w:val="32"/>
          <w:highlight w:val="none"/>
        </w:rPr>
        <w:t>部门整体（含部门预算项目）绩效自评报告、</w:t>
      </w:r>
      <w:r>
        <w:rPr>
          <w:rFonts w:hint="eastAsia" w:ascii="仿宋_GB2312" w:hAnsi="仿宋_GB2312" w:eastAsia="仿宋_GB2312" w:cs="仿宋_GB2312"/>
          <w:color w:val="auto"/>
          <w:sz w:val="32"/>
          <w:szCs w:val="32"/>
          <w:highlight w:val="none"/>
          <w:lang w:eastAsia="zh-CN"/>
        </w:rPr>
        <w:t>峨边在线项目</w:t>
      </w:r>
      <w:r>
        <w:rPr>
          <w:rFonts w:hint="eastAsia" w:ascii="仿宋_GB2312" w:hAnsi="仿宋_GB2312" w:eastAsia="仿宋_GB2312" w:cs="仿宋_GB2312"/>
          <w:color w:val="auto"/>
          <w:sz w:val="32"/>
          <w:szCs w:val="32"/>
          <w:highlight w:val="none"/>
        </w:rPr>
        <w:t>等专项预算项目绩效自评报告，其中，</w:t>
      </w:r>
      <w:r>
        <w:rPr>
          <w:rFonts w:hint="eastAsia" w:ascii="仿宋_GB2312" w:hAnsi="仿宋_GB2312" w:eastAsia="仿宋_GB2312" w:cs="仿宋_GB2312"/>
          <w:color w:val="auto"/>
          <w:sz w:val="32"/>
          <w:szCs w:val="32"/>
          <w:highlight w:val="none"/>
          <w:lang w:eastAsia="zh-CN"/>
        </w:rPr>
        <w:t>融媒体中心</w:t>
      </w:r>
      <w:r>
        <w:rPr>
          <w:rFonts w:hint="eastAsia" w:ascii="仿宋_GB2312" w:hAnsi="仿宋_GB2312" w:eastAsia="仿宋_GB2312" w:cs="仿宋_GB2312"/>
          <w:color w:val="auto"/>
          <w:sz w:val="32"/>
          <w:szCs w:val="32"/>
          <w:highlight w:val="none"/>
        </w:rPr>
        <w:t>部门整体（含部门预算项目）绩效自评得分为</w:t>
      </w:r>
      <w:r>
        <w:rPr>
          <w:rFonts w:hint="eastAsia" w:ascii="仿宋_GB2312" w:hAnsi="仿宋_GB2312" w:eastAsia="仿宋_GB2312" w:cs="仿宋_GB2312"/>
          <w:color w:val="auto"/>
          <w:sz w:val="32"/>
          <w:szCs w:val="32"/>
          <w:highlight w:val="none"/>
          <w:lang w:val="en-US" w:eastAsia="zh-CN"/>
        </w:rPr>
        <w:t>97</w:t>
      </w:r>
      <w:r>
        <w:rPr>
          <w:rFonts w:hint="eastAsia" w:ascii="仿宋_GB2312" w:hAnsi="仿宋_GB2312" w:eastAsia="仿宋_GB2312" w:cs="仿宋_GB2312"/>
          <w:color w:val="auto"/>
          <w:sz w:val="32"/>
          <w:szCs w:val="32"/>
          <w:highlight w:val="none"/>
        </w:rPr>
        <w:t>分</w:t>
      </w:r>
      <w:r>
        <w:rPr>
          <w:rFonts w:hint="eastAsia" w:ascii="仿宋_GB2312" w:hAnsi="仿宋_GB2312" w:eastAsia="仿宋_GB2312" w:cs="仿宋_GB2312"/>
          <w:color w:val="auto"/>
          <w:sz w:val="32"/>
          <w:szCs w:val="32"/>
          <w:highlight w:val="none"/>
          <w:lang w:eastAsia="zh-CN"/>
        </w:rPr>
        <w:t>。</w:t>
      </w:r>
    </w:p>
    <w:p w14:paraId="57FD428A">
      <w:pPr>
        <w:numPr>
          <w:ilvl w:val="0"/>
          <w:numId w:val="0"/>
        </w:numPr>
        <w:spacing w:line="600" w:lineRule="exact"/>
        <w:ind w:firstLine="2200" w:firstLineChars="500"/>
        <w:jc w:val="both"/>
        <w:outlineLvl w:val="0"/>
        <w:rPr>
          <w:rFonts w:hint="eastAsia" w:ascii="黑体" w:hAnsi="黑体" w:eastAsia="黑体"/>
          <w:b w:val="0"/>
          <w:bCs w:val="0"/>
          <w:color w:val="auto"/>
          <w:sz w:val="44"/>
          <w:szCs w:val="44"/>
          <w:highlight w:val="none"/>
          <w:lang w:eastAsia="zh-CN"/>
        </w:rPr>
      </w:pPr>
      <w:bookmarkStart w:id="56" w:name="_Toc15377225"/>
      <w:bookmarkStart w:id="57" w:name="_Toc15396613"/>
    </w:p>
    <w:p w14:paraId="393540E2">
      <w:pPr>
        <w:numPr>
          <w:ilvl w:val="0"/>
          <w:numId w:val="0"/>
        </w:numPr>
        <w:spacing w:line="600" w:lineRule="exact"/>
        <w:ind w:firstLine="2200" w:firstLineChars="500"/>
        <w:jc w:val="both"/>
        <w:outlineLvl w:val="0"/>
        <w:rPr>
          <w:rFonts w:hint="eastAsia" w:ascii="黑体" w:hAnsi="黑体" w:eastAsia="黑体"/>
          <w:b w:val="0"/>
          <w:bCs w:val="0"/>
          <w:color w:val="auto"/>
          <w:sz w:val="44"/>
          <w:szCs w:val="44"/>
          <w:highlight w:val="none"/>
          <w:lang w:eastAsia="zh-CN"/>
        </w:rPr>
      </w:pPr>
    </w:p>
    <w:p w14:paraId="31BA4EED">
      <w:pPr>
        <w:numPr>
          <w:ilvl w:val="0"/>
          <w:numId w:val="0"/>
        </w:numPr>
        <w:spacing w:line="600" w:lineRule="exact"/>
        <w:ind w:firstLine="2200" w:firstLineChars="500"/>
        <w:jc w:val="both"/>
        <w:outlineLvl w:val="0"/>
        <w:rPr>
          <w:rFonts w:hint="eastAsia" w:ascii="黑体" w:hAnsi="黑体" w:eastAsia="黑体"/>
          <w:b w:val="0"/>
          <w:bCs w:val="0"/>
          <w:color w:val="auto"/>
          <w:sz w:val="44"/>
          <w:szCs w:val="44"/>
          <w:highlight w:val="none"/>
          <w:lang w:eastAsia="zh-CN"/>
        </w:rPr>
      </w:pPr>
    </w:p>
    <w:p w14:paraId="4364AE4D">
      <w:pPr>
        <w:numPr>
          <w:ilvl w:val="0"/>
          <w:numId w:val="0"/>
        </w:numPr>
        <w:spacing w:line="600" w:lineRule="exact"/>
        <w:ind w:firstLine="2200" w:firstLineChars="500"/>
        <w:jc w:val="both"/>
        <w:outlineLvl w:val="0"/>
        <w:rPr>
          <w:rStyle w:val="19"/>
          <w:rFonts w:ascii="黑体" w:hAnsi="黑体" w:eastAsia="黑体"/>
          <w:b w:val="0"/>
          <w:color w:val="auto"/>
          <w:highlight w:val="none"/>
        </w:rPr>
      </w:pPr>
      <w:r>
        <w:rPr>
          <w:rFonts w:hint="eastAsia" w:ascii="黑体" w:hAnsi="黑体" w:eastAsia="黑体"/>
          <w:b w:val="0"/>
          <w:bCs w:val="0"/>
          <w:color w:val="auto"/>
          <w:sz w:val="44"/>
          <w:szCs w:val="44"/>
          <w:highlight w:val="none"/>
          <w:lang w:eastAsia="zh-CN"/>
        </w:rPr>
        <w:t>第三部分</w:t>
      </w:r>
      <w:r>
        <w:rPr>
          <w:rFonts w:hint="eastAsia" w:ascii="黑体" w:hAnsi="黑体" w:eastAsia="黑体"/>
          <w:b w:val="0"/>
          <w:bCs w:val="0"/>
          <w:color w:val="auto"/>
          <w:sz w:val="44"/>
          <w:szCs w:val="44"/>
          <w:highlight w:val="none"/>
          <w:lang w:val="en-US" w:eastAsia="zh-CN"/>
        </w:rPr>
        <w:t xml:space="preserve"> </w:t>
      </w:r>
      <w:r>
        <w:rPr>
          <w:rFonts w:hint="eastAsia" w:ascii="黑体" w:hAnsi="黑体" w:eastAsia="黑体"/>
          <w:b w:val="0"/>
          <w:bCs w:val="0"/>
          <w:color w:val="auto"/>
          <w:sz w:val="44"/>
          <w:szCs w:val="44"/>
          <w:highlight w:val="none"/>
        </w:rPr>
        <w:t>名</w:t>
      </w:r>
      <w:r>
        <w:rPr>
          <w:rStyle w:val="19"/>
          <w:rFonts w:hint="eastAsia" w:ascii="黑体" w:hAnsi="黑体" w:eastAsia="黑体"/>
          <w:b w:val="0"/>
          <w:bCs w:val="0"/>
          <w:color w:val="auto"/>
          <w:highlight w:val="none"/>
        </w:rPr>
        <w:t>词解释</w:t>
      </w:r>
      <w:bookmarkEnd w:id="56"/>
      <w:bookmarkEnd w:id="57"/>
    </w:p>
    <w:p w14:paraId="6BE68DC3">
      <w:pPr>
        <w:spacing w:line="600" w:lineRule="exact"/>
        <w:jc w:val="left"/>
        <w:rPr>
          <w:rFonts w:ascii="宋体"/>
          <w:b/>
          <w:color w:val="auto"/>
          <w:sz w:val="44"/>
          <w:szCs w:val="44"/>
          <w:highlight w:val="none"/>
        </w:rPr>
      </w:pPr>
    </w:p>
    <w:p w14:paraId="4A831EB4">
      <w:pPr>
        <w:pStyle w:val="22"/>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1.财政拨款收入：指单位从同级财政部门取得的财政预算资金。</w:t>
      </w:r>
    </w:p>
    <w:p w14:paraId="2FFD60F5">
      <w:pPr>
        <w:pStyle w:val="22"/>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2.事业收入：指事业单位开展专业业务活动及辅助活动取得的收入。如…（二级预算单位事业收入情况）等。</w:t>
      </w:r>
    </w:p>
    <w:p w14:paraId="50ADE08E">
      <w:pPr>
        <w:pStyle w:val="22"/>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3.经营收入：指事业单位在专业业务活动及其辅助活动之外开展非独立核算经营活动取得的收入。如…（二级预算单位经营收入情况）等。</w:t>
      </w:r>
    </w:p>
    <w:p w14:paraId="32A360CA">
      <w:pPr>
        <w:pStyle w:val="22"/>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4.其他收入：指单位取得的除上述收入以外的各项收入。主要是…（收入类型）等。 </w:t>
      </w:r>
    </w:p>
    <w:p w14:paraId="22B51711">
      <w:pPr>
        <w:pStyle w:val="22"/>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lang w:eastAsia="zh-CN"/>
        </w:rPr>
        <w:t>使用非财政拨款结余</w:t>
      </w:r>
      <w:r>
        <w:rPr>
          <w:rFonts w:hint="eastAsia" w:ascii="仿宋_GB2312" w:hAnsi="仿宋_GB2312" w:eastAsia="仿宋_GB2312" w:cs="仿宋_GB2312"/>
          <w:color w:val="auto"/>
          <w:sz w:val="32"/>
          <w:szCs w:val="32"/>
          <w:highlight w:val="none"/>
        </w:rPr>
        <w:t>：指事业单位</w:t>
      </w:r>
      <w:r>
        <w:rPr>
          <w:rFonts w:hint="eastAsia" w:ascii="仿宋_GB2312" w:hAnsi="仿宋_GB2312" w:eastAsia="仿宋_GB2312" w:cs="仿宋_GB2312"/>
          <w:color w:val="auto"/>
          <w:sz w:val="32"/>
          <w:szCs w:val="32"/>
          <w:highlight w:val="none"/>
          <w:lang w:eastAsia="zh-CN"/>
        </w:rPr>
        <w:t>使用以前年度积累的非财政拨款结余弥补当年收支差额的金额。</w:t>
      </w:r>
      <w:r>
        <w:rPr>
          <w:rFonts w:hint="eastAsia" w:ascii="仿宋_GB2312" w:hAnsi="仿宋_GB2312" w:eastAsia="仿宋_GB2312" w:cs="仿宋_GB2312"/>
          <w:color w:val="auto"/>
          <w:sz w:val="32"/>
          <w:szCs w:val="32"/>
          <w:highlight w:val="none"/>
        </w:rPr>
        <w:t xml:space="preserve"> </w:t>
      </w:r>
    </w:p>
    <w:p w14:paraId="312AA054">
      <w:pPr>
        <w:pStyle w:val="22"/>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6.年初结转和结余：指以前年度尚未完成、结转到本年按有关规定继续使用的资金。 </w:t>
      </w:r>
    </w:p>
    <w:p w14:paraId="4B2D9B08">
      <w:pPr>
        <w:pStyle w:val="22"/>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7.结余分配：指事业单位按照会计制度规定</w:t>
      </w:r>
      <w:r>
        <w:rPr>
          <w:rFonts w:hint="eastAsia" w:ascii="仿宋_GB2312" w:hAnsi="仿宋_GB2312" w:eastAsia="仿宋_GB2312" w:cs="仿宋_GB2312"/>
          <w:color w:val="auto"/>
          <w:sz w:val="32"/>
          <w:szCs w:val="32"/>
          <w:highlight w:val="none"/>
          <w:lang w:eastAsia="zh-CN"/>
        </w:rPr>
        <w:t>缴纳的所得税、提取的专用结余以及转入非财政拨款结余的金额</w:t>
      </w:r>
      <w:r>
        <w:rPr>
          <w:rFonts w:hint="eastAsia" w:ascii="仿宋_GB2312" w:hAnsi="仿宋_GB2312" w:eastAsia="仿宋_GB2312" w:cs="仿宋_GB2312"/>
          <w:color w:val="auto"/>
          <w:sz w:val="32"/>
          <w:szCs w:val="32"/>
          <w:highlight w:val="none"/>
        </w:rPr>
        <w:t>等。</w:t>
      </w:r>
    </w:p>
    <w:p w14:paraId="6D38CB96">
      <w:pPr>
        <w:pStyle w:val="22"/>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年末结转和结余：指单位按有关规定结转到下年或以后年度继续使用的资金。</w:t>
      </w:r>
    </w:p>
    <w:p w14:paraId="6E43B6DF">
      <w:pPr>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一般公共服务（类）政府办公厅（室）及相关机构事务（款）事业运行（项）：指事业单位的基本支出，不包括行政单位（包括实行公务员管理的事业单位）后勤服务中心、编辑室等附属事业单位。基本支出主要包括：基本工资、津补贴等工资福利支出，日常运转所需办公费、印刷费、水费、电费、邮电费等商品和服务支出等。</w:t>
      </w:r>
    </w:p>
    <w:p w14:paraId="4E2A60C9">
      <w:pPr>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.文化旅游体育与传媒支出（类）广播电视（款）电视（项）：指反映电视台、电视发射台、电视转播台支出</w:t>
      </w:r>
    </w:p>
    <w:p w14:paraId="5531A783">
      <w:pPr>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.社会保障和就业支出（类）行政事业单位养老支出（款）机关事业单位基本养老保险缴费支出（项）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指机关事业单位实施养老保险制度由单位缴纳的基本养老保险费支出。</w:t>
      </w:r>
    </w:p>
    <w:p w14:paraId="0395F821">
      <w:pPr>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卫生健康（类）行政事业单位医疗（款）事业单位医疗（项）：反映财政部门集中安排的事业单位基本医疗保险缴费经费，未参加医疗保险的事业单位的公费医疗经费，按国家规定享受离休人员待遇人员的医疗经费。</w:t>
      </w:r>
    </w:p>
    <w:p w14:paraId="1EA89971">
      <w:pPr>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.卫生健康（类）行政事业单位医疗（款）公务员医疗补助（项）：指用于公务员医疗保险缴费方面支出</w:t>
      </w:r>
    </w:p>
    <w:p w14:paraId="3DD0BB09">
      <w:pPr>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.城乡社区（类）</w:t>
      </w:r>
      <w:r>
        <w:rPr>
          <w:rFonts w:hint="eastAsia" w:ascii="仿宋_GB2312" w:hAnsi="仿宋_GB2312" w:eastAsia="仿宋_GB2312" w:cs="仿宋_GB2312"/>
          <w:color w:val="auto"/>
          <w:sz w:val="32"/>
          <w:szCs w:val="32"/>
          <w:highlight w:val="none"/>
          <w:lang w:eastAsia="zh-CN"/>
        </w:rPr>
        <w:t>国有土地使用权出让收入安排的支出</w:t>
      </w:r>
      <w:r>
        <w:rPr>
          <w:rFonts w:hint="eastAsia" w:ascii="仿宋_GB2312" w:hAnsi="仿宋_GB2312" w:eastAsia="仿宋_GB2312" w:cs="仿宋_GB2312"/>
          <w:color w:val="auto"/>
          <w:sz w:val="32"/>
          <w:szCs w:val="32"/>
          <w:highlight w:val="none"/>
        </w:rPr>
        <w:t>（款）</w:t>
      </w:r>
      <w:r>
        <w:rPr>
          <w:rFonts w:hint="eastAsia" w:ascii="仿宋_GB2312" w:hAnsi="仿宋_GB2312" w:eastAsia="仿宋_GB2312" w:cs="仿宋_GB2312"/>
          <w:color w:val="auto"/>
          <w:sz w:val="32"/>
          <w:szCs w:val="32"/>
          <w:highlight w:val="none"/>
          <w:lang w:eastAsia="zh-CN"/>
        </w:rPr>
        <w:t>其他</w:t>
      </w:r>
      <w:r>
        <w:rPr>
          <w:rFonts w:hint="eastAsia" w:ascii="仿宋_GB2312" w:hAnsi="仿宋_GB2312" w:eastAsia="仿宋_GB2312" w:cs="仿宋_GB2312"/>
          <w:color w:val="auto"/>
          <w:sz w:val="32"/>
          <w:szCs w:val="32"/>
          <w:highlight w:val="none"/>
        </w:rPr>
        <w:t>国有土地使用权出让收入安排的支出（项）：指</w:t>
      </w:r>
      <w:r>
        <w:rPr>
          <w:rFonts w:hint="eastAsia" w:ascii="仿宋_GB2312" w:hAnsi="仿宋_GB2312" w:eastAsia="仿宋_GB2312" w:cs="仿宋_GB2312"/>
          <w:color w:val="auto"/>
          <w:sz w:val="32"/>
          <w:szCs w:val="32"/>
          <w:highlight w:val="none"/>
          <w:lang w:eastAsia="zh-CN"/>
        </w:rPr>
        <w:t>用于宣传事务方面的支出</w:t>
      </w:r>
      <w:r>
        <w:rPr>
          <w:rFonts w:hint="eastAsia" w:ascii="仿宋_GB2312" w:hAnsi="仿宋_GB2312" w:eastAsia="仿宋_GB2312" w:cs="仿宋_GB2312"/>
          <w:color w:val="auto"/>
          <w:sz w:val="32"/>
          <w:szCs w:val="32"/>
          <w:highlight w:val="none"/>
        </w:rPr>
        <w:t>。</w:t>
      </w:r>
    </w:p>
    <w:p w14:paraId="077765D6">
      <w:pPr>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15</w:t>
      </w:r>
      <w:r>
        <w:rPr>
          <w:rFonts w:hint="eastAsia" w:ascii="仿宋_GB2312" w:hAnsi="仿宋_GB2312" w:eastAsia="仿宋_GB2312" w:cs="仿宋_GB2312"/>
          <w:color w:val="auto"/>
          <w:sz w:val="32"/>
          <w:szCs w:val="32"/>
          <w:highlight w:val="none"/>
        </w:rPr>
        <w:t>.住房保障支出（类）住房改革支出（款）住房公积金（项）：指行政事业单位按人力资源和社会保障部、财政部规定的基本工资和津补贴以及规定比例为职工缴纳的住房公积金。</w:t>
      </w:r>
    </w:p>
    <w:p w14:paraId="06CD2672">
      <w:pPr>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16</w:t>
      </w:r>
      <w:r>
        <w:rPr>
          <w:rFonts w:hint="eastAsia" w:ascii="仿宋_GB2312" w:hAnsi="仿宋_GB2312" w:eastAsia="仿宋_GB2312" w:cs="仿宋_GB2312"/>
          <w:color w:val="auto"/>
          <w:sz w:val="32"/>
          <w:szCs w:val="32"/>
          <w:highlight w:val="none"/>
        </w:rPr>
        <w:t>.基本支出：指为保障机构正常运转、完成日常工作任务而发生的人员支出和公用支出。</w:t>
      </w:r>
    </w:p>
    <w:p w14:paraId="192A7269">
      <w:pPr>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17</w:t>
      </w:r>
      <w:r>
        <w:rPr>
          <w:rFonts w:hint="eastAsia" w:ascii="仿宋_GB2312" w:hAnsi="仿宋_GB2312" w:eastAsia="仿宋_GB2312" w:cs="仿宋_GB2312"/>
          <w:color w:val="auto"/>
          <w:sz w:val="32"/>
          <w:szCs w:val="32"/>
          <w:highlight w:val="none"/>
        </w:rPr>
        <w:t xml:space="preserve">.项目支出：指在基本支出之外为完成特定行政任务和事业发展目标所发生的支出。 </w:t>
      </w:r>
    </w:p>
    <w:p w14:paraId="772E74BA">
      <w:pPr>
        <w:pStyle w:val="22"/>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18</w:t>
      </w:r>
      <w:r>
        <w:rPr>
          <w:rFonts w:hint="eastAsia" w:ascii="仿宋_GB2312" w:hAnsi="仿宋_GB2312" w:eastAsia="仿宋_GB2312" w:cs="仿宋_GB2312"/>
          <w:color w:val="auto"/>
          <w:sz w:val="32"/>
          <w:szCs w:val="32"/>
          <w:highlight w:val="none"/>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6F100D81">
      <w:pPr>
        <w:pStyle w:val="22"/>
        <w:keepNext w:val="0"/>
        <w:keepLines w:val="0"/>
        <w:pageBreakBefore w:val="0"/>
        <w:widowControl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19</w:t>
      </w:r>
      <w:r>
        <w:rPr>
          <w:rFonts w:hint="eastAsia" w:ascii="仿宋_GB2312" w:hAnsi="仿宋_GB2312" w:eastAsia="仿宋_GB2312" w:cs="仿宋_GB2312"/>
          <w:color w:val="auto"/>
          <w:sz w:val="32"/>
          <w:szCs w:val="32"/>
          <w:highlight w:val="none"/>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3177EB5E">
      <w:pPr>
        <w:pStyle w:val="22"/>
        <w:spacing w:line="560" w:lineRule="exact"/>
        <w:ind w:firstLine="640" w:firstLineChars="200"/>
        <w:rPr>
          <w:rFonts w:hint="eastAsia" w:ascii="仿宋_GB2312" w:hAnsi="仿宋_GB2312" w:eastAsia="仿宋_GB2312" w:cs="仿宋_GB2312"/>
          <w:color w:val="auto"/>
          <w:sz w:val="32"/>
          <w:szCs w:val="32"/>
          <w:highlight w:val="none"/>
        </w:rPr>
      </w:pPr>
    </w:p>
    <w:p w14:paraId="22DFC06C">
      <w:pPr>
        <w:spacing w:line="600" w:lineRule="exact"/>
        <w:jc w:val="center"/>
        <w:outlineLvl w:val="0"/>
        <w:rPr>
          <w:rStyle w:val="19"/>
          <w:rFonts w:hint="eastAsia" w:ascii="黑体" w:hAnsi="黑体" w:eastAsia="黑体"/>
          <w:b/>
          <w:bCs/>
          <w:color w:val="auto"/>
          <w:highlight w:val="none"/>
          <w:lang w:eastAsia="zh-CN"/>
        </w:rPr>
      </w:pPr>
      <w:bookmarkStart w:id="58" w:name="_Toc15377226"/>
      <w:r>
        <w:rPr>
          <w:rFonts w:ascii="宋体"/>
          <w:b/>
          <w:color w:val="auto"/>
          <w:sz w:val="44"/>
          <w:szCs w:val="44"/>
          <w:highlight w:val="none"/>
        </w:rPr>
        <w:br w:type="page"/>
      </w:r>
      <w:bookmarkStart w:id="59" w:name="_Toc15396614"/>
      <w:r>
        <w:rPr>
          <w:rFonts w:hint="eastAsia" w:ascii="黑体" w:hAnsi="黑体" w:eastAsia="黑体"/>
          <w:b/>
          <w:bCs/>
          <w:color w:val="auto"/>
          <w:sz w:val="44"/>
          <w:szCs w:val="44"/>
          <w:highlight w:val="none"/>
        </w:rPr>
        <w:t>第</w:t>
      </w:r>
      <w:r>
        <w:rPr>
          <w:rStyle w:val="19"/>
          <w:rFonts w:hint="eastAsia" w:ascii="黑体" w:hAnsi="黑体" w:eastAsia="黑体"/>
          <w:b/>
          <w:bCs/>
          <w:color w:val="auto"/>
          <w:highlight w:val="none"/>
        </w:rPr>
        <w:t>四部分 附件</w:t>
      </w:r>
      <w:bookmarkEnd w:id="59"/>
    </w:p>
    <w:p w14:paraId="5393A814">
      <w:pPr>
        <w:keepNext w:val="0"/>
        <w:keepLines w:val="0"/>
        <w:pageBreakBefore w:val="0"/>
        <w:kinsoku/>
        <w:wordWrap/>
        <w:overflowPunct/>
        <w:topLinePunct w:val="0"/>
        <w:autoSpaceDE/>
        <w:autoSpaceDN/>
        <w:bidi w:val="0"/>
        <w:spacing w:line="572" w:lineRule="exact"/>
        <w:jc w:val="left"/>
        <w:textAlignment w:val="auto"/>
        <w:outlineLvl w:val="0"/>
        <w:rPr>
          <w:rFonts w:ascii="方正小标宋简体" w:hAnsi="方正小标宋简体" w:eastAsia="方正小标宋简体" w:cs="方正小标宋简体"/>
          <w:color w:val="auto"/>
          <w:sz w:val="44"/>
          <w:szCs w:val="44"/>
          <w:highlight w:val="none"/>
        </w:rPr>
      </w:pPr>
      <w:r>
        <w:rPr>
          <w:rFonts w:hint="eastAsia" w:ascii="黑体" w:hAnsi="黑体" w:eastAsia="黑体" w:cs="黑体"/>
          <w:color w:val="auto"/>
          <w:sz w:val="32"/>
          <w:szCs w:val="32"/>
          <w:highlight w:val="none"/>
        </w:rPr>
        <w:t>附件</w:t>
      </w:r>
    </w:p>
    <w:p w14:paraId="2E41D6E6">
      <w:pPr>
        <w:keepNext w:val="0"/>
        <w:keepLines w:val="0"/>
        <w:pageBreakBefore w:val="0"/>
        <w:widowControl/>
        <w:kinsoku/>
        <w:wordWrap/>
        <w:overflowPunct/>
        <w:topLinePunct w:val="0"/>
        <w:autoSpaceDE/>
        <w:autoSpaceDN/>
        <w:bidi w:val="0"/>
        <w:spacing w:line="560" w:lineRule="exact"/>
        <w:contextualSpacing/>
        <w:jc w:val="center"/>
        <w:textAlignment w:val="auto"/>
        <w:rPr>
          <w:rFonts w:ascii="宋体" w:hAnsi="宋体" w:eastAsia="宋体"/>
          <w:b/>
          <w:color w:val="auto"/>
          <w:sz w:val="32"/>
          <w:szCs w:val="32"/>
          <w:highlight w:val="none"/>
          <w:shd w:val="clear" w:color="auto" w:fill="FFFFFF"/>
        </w:rPr>
      </w:pPr>
      <w:r>
        <w:rPr>
          <w:rFonts w:hint="eastAsia" w:ascii="宋体" w:hAnsi="宋体" w:eastAsia="宋体"/>
          <w:b/>
          <w:color w:val="auto"/>
          <w:sz w:val="32"/>
          <w:szCs w:val="32"/>
          <w:highlight w:val="none"/>
          <w:shd w:val="clear" w:color="auto" w:fill="FFFFFF"/>
        </w:rPr>
        <w:t>20</w:t>
      </w:r>
      <w:r>
        <w:rPr>
          <w:rFonts w:hint="eastAsia" w:ascii="宋体" w:hAnsi="宋体" w:eastAsia="宋体"/>
          <w:b/>
          <w:color w:val="auto"/>
          <w:sz w:val="32"/>
          <w:szCs w:val="32"/>
          <w:highlight w:val="none"/>
          <w:shd w:val="clear" w:color="auto" w:fill="FFFFFF"/>
          <w:lang w:val="en-US" w:eastAsia="zh-CN"/>
        </w:rPr>
        <w:t>23</w:t>
      </w:r>
      <w:r>
        <w:rPr>
          <w:rFonts w:hint="eastAsia" w:ascii="宋体" w:hAnsi="宋体" w:eastAsia="宋体"/>
          <w:b/>
          <w:color w:val="auto"/>
          <w:sz w:val="32"/>
          <w:szCs w:val="32"/>
          <w:highlight w:val="none"/>
          <w:shd w:val="clear" w:color="auto" w:fill="FFFFFF"/>
        </w:rPr>
        <w:t>年部门整体绩效评价报告</w:t>
      </w:r>
    </w:p>
    <w:p w14:paraId="231BA348">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3" w:firstLineChars="200"/>
        <w:contextualSpacing/>
        <w:jc w:val="left"/>
        <w:textAlignment w:val="auto"/>
        <w:rPr>
          <w:rFonts w:hint="eastAsia" w:ascii="仿宋_GB2312" w:hAnsi="仿宋_GB2312" w:eastAsia="仿宋_GB2312" w:cs="仿宋_GB2312"/>
          <w:color w:val="auto"/>
          <w:kern w:val="0"/>
          <w:sz w:val="32"/>
          <w:szCs w:val="32"/>
          <w:highlight w:val="none"/>
          <w:shd w:val="clear" w:color="auto" w:fill="FFFFFF"/>
          <w:lang w:val="zh-CN"/>
        </w:rPr>
      </w:pPr>
      <w:r>
        <w:rPr>
          <w:rFonts w:hint="eastAsia" w:ascii="仿宋_GB2312" w:hAnsi="仿宋_GB2312" w:eastAsia="仿宋_GB2312" w:cs="仿宋_GB2312"/>
          <w:b/>
          <w:bCs/>
          <w:color w:val="auto"/>
          <w:kern w:val="0"/>
          <w:sz w:val="32"/>
          <w:szCs w:val="32"/>
          <w:highlight w:val="none"/>
          <w:shd w:val="clear" w:color="auto" w:fill="FFFFFF"/>
          <w:lang w:val="zh-CN"/>
        </w:rPr>
        <w:t>一．部门基本情况</w:t>
      </w:r>
    </w:p>
    <w:p w14:paraId="485AAA03">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3" w:firstLineChars="200"/>
        <w:contextualSpacing/>
        <w:jc w:val="left"/>
        <w:textAlignment w:val="auto"/>
        <w:rPr>
          <w:rFonts w:hint="eastAsia" w:ascii="仿宋_GB2312" w:hAnsi="仿宋_GB2312" w:eastAsia="仿宋_GB2312" w:cs="仿宋_GB2312"/>
          <w:b w:val="0"/>
          <w:bCs w:val="0"/>
          <w:sz w:val="32"/>
          <w:szCs w:val="32"/>
          <w:lang w:val="zh-CN"/>
        </w:rPr>
      </w:pPr>
      <w:r>
        <w:rPr>
          <w:rFonts w:hint="eastAsia" w:ascii="仿宋_GB2312" w:hAnsi="仿宋_GB2312" w:eastAsia="仿宋_GB2312" w:cs="仿宋_GB2312"/>
          <w:b/>
          <w:bCs/>
          <w:color w:val="auto"/>
          <w:kern w:val="0"/>
          <w:sz w:val="32"/>
          <w:szCs w:val="32"/>
          <w:highlight w:val="none"/>
          <w:shd w:val="clear" w:color="auto" w:fill="FFFFFF"/>
          <w:lang w:val="zh-CN"/>
        </w:rPr>
        <w:t>（一）机构组成。</w:t>
      </w:r>
    </w:p>
    <w:p w14:paraId="41EB4A95">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sz w:val="32"/>
          <w:szCs w:val="32"/>
          <w:lang w:val="zh-CN"/>
        </w:rPr>
      </w:pPr>
      <w:r>
        <w:rPr>
          <w:rFonts w:hint="eastAsia" w:ascii="仿宋_GB2312" w:hAnsi="仿宋_GB2312" w:eastAsia="仿宋_GB2312" w:cs="仿宋_GB2312"/>
          <w:b w:val="0"/>
          <w:bCs w:val="0"/>
          <w:sz w:val="32"/>
          <w:szCs w:val="32"/>
          <w:lang w:val="zh-CN"/>
        </w:rPr>
        <w:t>峨边彝族自治县融媒体中心预算单位1个，其中：行政单位0个，事业单位1个。</w:t>
      </w:r>
    </w:p>
    <w:p w14:paraId="62491899">
      <w:pPr>
        <w:keepNext w:val="0"/>
        <w:keepLines w:val="0"/>
        <w:pageBreakBefore w:val="0"/>
        <w:widowControl/>
        <w:numPr>
          <w:numId w:val="0"/>
        </w:numPr>
        <w:kinsoku/>
        <w:wordWrap/>
        <w:overflowPunct/>
        <w:topLinePunct w:val="0"/>
        <w:autoSpaceDE/>
        <w:autoSpaceDN/>
        <w:bidi w:val="0"/>
        <w:adjustRightInd w:val="0"/>
        <w:snapToGrid w:val="0"/>
        <w:spacing w:line="600" w:lineRule="exact"/>
        <w:ind w:firstLine="643" w:firstLineChars="200"/>
        <w:contextualSpacing/>
        <w:jc w:val="left"/>
        <w:textAlignment w:val="auto"/>
        <w:rPr>
          <w:rFonts w:hint="eastAsia" w:ascii="仿宋_GB2312" w:hAnsi="仿宋_GB2312" w:eastAsia="仿宋_GB2312" w:cs="仿宋_GB2312"/>
          <w:b/>
          <w:bCs/>
          <w:color w:val="auto"/>
          <w:kern w:val="0"/>
          <w:sz w:val="32"/>
          <w:szCs w:val="32"/>
          <w:highlight w:val="none"/>
          <w:shd w:val="clear" w:color="auto" w:fill="FFFFFF"/>
          <w:lang w:val="zh-CN"/>
        </w:rPr>
      </w:pPr>
      <w:r>
        <w:rPr>
          <w:rFonts w:hint="eastAsia" w:ascii="仿宋_GB2312" w:hAnsi="仿宋_GB2312" w:eastAsia="仿宋_GB2312" w:cs="仿宋_GB2312"/>
          <w:b/>
          <w:bCs/>
          <w:color w:val="auto"/>
          <w:kern w:val="0"/>
          <w:sz w:val="32"/>
          <w:szCs w:val="32"/>
          <w:highlight w:val="none"/>
          <w:shd w:val="clear" w:color="auto" w:fill="FFFFFF"/>
          <w:lang w:val="zh-CN"/>
        </w:rPr>
        <w:t>（二）机构职能和人员概况。</w:t>
      </w:r>
    </w:p>
    <w:p w14:paraId="18C3A2A8">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both"/>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1）贯彻落实党的理论、路线和各项宣传方针政策，把握新闻宣传基调，坚持正面宣传、团结鼓劲，为全县经济社会发展提供舆论支持；围绕县委、县政府中心工作，积极开展新闻网络内外宣传，落实全县新闻报道计划，完成上级下达的各项内外宣传和创优任务。</w:t>
      </w:r>
    </w:p>
    <w:p w14:paraId="39121193">
      <w:pPr>
        <w:keepNext w:val="0"/>
        <w:keepLines w:val="0"/>
        <w:pageBreakBefore w:val="0"/>
        <w:numPr>
          <w:ilvl w:val="0"/>
          <w:numId w:val="0"/>
        </w:numPr>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（2）负责全县新闻业务管理和对外通联工作，抓好全县新闻网络宣传阵地和人才队伍建设。</w:t>
      </w:r>
    </w:p>
    <w:p w14:paraId="5731F007">
      <w:pPr>
        <w:keepNext w:val="0"/>
        <w:keepLines w:val="0"/>
        <w:pageBreakBefore w:val="0"/>
        <w:numPr>
          <w:ilvl w:val="0"/>
          <w:numId w:val="0"/>
        </w:numPr>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（3）协助配合上级媒体和新闻单位来县采访工作。</w:t>
      </w:r>
    </w:p>
    <w:p w14:paraId="169F32D8">
      <w:pPr>
        <w:keepNext w:val="0"/>
        <w:keepLines w:val="0"/>
        <w:pageBreakBefore w:val="0"/>
        <w:numPr>
          <w:ilvl w:val="0"/>
          <w:numId w:val="0"/>
        </w:numPr>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（4）负责与县内各乡镇各部门之间的沟通协调，负责县内各类具有传播功能的媒介资源管理工作，负责网络对话和舆情收集。</w:t>
      </w:r>
    </w:p>
    <w:p w14:paraId="35B31C7A">
      <w:pPr>
        <w:keepNext w:val="0"/>
        <w:keepLines w:val="0"/>
        <w:pageBreakBefore w:val="0"/>
        <w:numPr>
          <w:ilvl w:val="0"/>
          <w:numId w:val="0"/>
        </w:numPr>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（5）负责政府信息公开相关事宜。</w:t>
      </w:r>
    </w:p>
    <w:p w14:paraId="45784468">
      <w:pPr>
        <w:keepNext w:val="0"/>
        <w:keepLines w:val="0"/>
        <w:pageBreakBefore w:val="0"/>
        <w:numPr>
          <w:ilvl w:val="0"/>
          <w:numId w:val="0"/>
        </w:numPr>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（6）负责上级下发的各项网评、网宣任务。</w:t>
      </w:r>
    </w:p>
    <w:p w14:paraId="4EA24F78">
      <w:pPr>
        <w:keepNext w:val="0"/>
        <w:keepLines w:val="0"/>
        <w:pageBreakBefore w:val="0"/>
        <w:numPr>
          <w:ilvl w:val="0"/>
          <w:numId w:val="0"/>
        </w:numPr>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（7）负责舆情分析研判，提供决策咨询。</w:t>
      </w:r>
    </w:p>
    <w:p w14:paraId="06B930D7">
      <w:pPr>
        <w:pStyle w:val="5"/>
        <w:pageBreakBefore w:val="0"/>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（8）完成县委、县政府交办的其他工作任务。</w:t>
      </w:r>
    </w:p>
    <w:p w14:paraId="7E0B426B">
      <w:pPr>
        <w:pageBreakBefore w:val="0"/>
        <w:kinsoku/>
        <w:wordWrap/>
        <w:overflowPunct/>
        <w:topLinePunct w:val="0"/>
        <w:autoSpaceDE/>
        <w:autoSpaceDN/>
        <w:bidi w:val="0"/>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（9）峨边彝族自治县融媒体中心总编制18名，其中：行政编制0名，事业编制18名。在职人员总数18名，其中：行政0名，事业18名。离休0名。</w:t>
      </w:r>
    </w:p>
    <w:p w14:paraId="1A3626F7">
      <w:pPr>
        <w:pStyle w:val="5"/>
        <w:pageBreakBefore w:val="0"/>
        <w:kinsoku/>
        <w:wordWrap/>
        <w:overflowPunct/>
        <w:topLinePunct w:val="0"/>
        <w:autoSpaceDE/>
        <w:autoSpaceDN/>
        <w:bidi w:val="0"/>
        <w:spacing w:line="600" w:lineRule="exact"/>
        <w:ind w:firstLine="643" w:firstLineChars="200"/>
        <w:textAlignment w:val="auto"/>
        <w:rPr>
          <w:rFonts w:hint="eastAsia" w:ascii="仿宋_GB2312" w:hAnsi="仿宋_GB2312" w:eastAsia="仿宋_GB2312" w:cs="仿宋_GB2312"/>
          <w:b/>
          <w:bCs/>
          <w:color w:val="auto"/>
          <w:kern w:val="0"/>
          <w:sz w:val="32"/>
          <w:szCs w:val="32"/>
          <w:highlight w:val="none"/>
          <w:shd w:val="clear" w:color="auto" w:fill="FFFFFF"/>
          <w:lang w:val="en-US" w:eastAsia="zh-CN"/>
        </w:rPr>
      </w:pP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color w:val="auto"/>
          <w:kern w:val="0"/>
          <w:sz w:val="32"/>
          <w:szCs w:val="32"/>
          <w:highlight w:val="none"/>
          <w:shd w:val="clear" w:color="auto" w:fill="FFFFFF"/>
          <w:lang w:val="zh-CN"/>
        </w:rPr>
        <w:t>年度主要工作任务</w:t>
      </w:r>
    </w:p>
    <w:p w14:paraId="0AF6C153">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960" w:firstLineChars="3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bookmarkStart w:id="74" w:name="_GoBack"/>
      <w:bookmarkEnd w:id="74"/>
      <w:r>
        <w:rPr>
          <w:rFonts w:hint="eastAsia" w:ascii="仿宋_GB2312" w:hAnsi="仿宋_GB2312" w:eastAsia="仿宋_GB2312" w:cs="仿宋_GB2312"/>
          <w:b w:val="0"/>
          <w:bCs w:val="0"/>
          <w:color w:val="auto"/>
          <w:kern w:val="0"/>
          <w:sz w:val="32"/>
          <w:szCs w:val="32"/>
          <w:highlight w:val="none"/>
          <w:shd w:val="clear" w:color="auto" w:fill="FFFFFF"/>
          <w:lang w:val="en-US" w:eastAsia="zh-CN"/>
        </w:rPr>
        <w:t>（一）夯实基石强化党建工作今年以来，中心坚持把意识形态作为党的建设重要内容，列入党建工作要点，与业务工作紧密结合，同部署、同落实。充分利用各种会议，深入学习习近平新时代中国特色社会主义思想，全面系统学习党的十九大及历次全会精神，学习党的二十大暨二十届一次会议精神，认真学习贯彻习近平总书记来川视察重要指示精神，深入学习《习近平法治思想学习纲要》《中国共产党宣传工作条例》《关于加快推进媒体深度融合发展的意见》和《中国共产党宣传工作简史》等，不断增强“四个意识”、坚定“四个自信”、做到“两个维护”，全面提升融媒队伍的政治素质。同时，认真履行全面从严治党主体责任，加强廉政建设，定期召开“三会一课”，落实党员开展“双报到”工作，筑牢“一名党员就是一面旗帜、一个支部就是一座堡垒”意识，强化党建引领。</w:t>
      </w:r>
    </w:p>
    <w:p w14:paraId="4B62B72E">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（二）突出主题加大宣传力度</w:t>
      </w:r>
    </w:p>
    <w:p w14:paraId="3551A94C">
      <w:pPr>
        <w:pStyle w:val="5"/>
        <w:pageBreakBefore w:val="0"/>
        <w:kinsoku/>
        <w:wordWrap/>
        <w:overflowPunct/>
        <w:topLinePunct w:val="0"/>
        <w:autoSpaceDE/>
        <w:autoSpaceDN/>
        <w:bidi w:val="0"/>
        <w:spacing w:line="600" w:lineRule="exac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坚决贯彻落实党中央以及省委、市委、县委重大决策部署，充分利用中心媒体平台，牢牢把握正确的政治方向和舆论导向，有效发挥新闻宣传主阵地作用，提高服务发展、服务群众的能力和水平，为推动县域经济社会高质量发展提供强有力舆论保障。</w:t>
      </w:r>
    </w:p>
    <w:p w14:paraId="58DA4D99">
      <w:pPr>
        <w:pStyle w:val="5"/>
        <w:keepNext/>
        <w:keepLines/>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color w:val="auto"/>
          <w:kern w:val="0"/>
          <w:sz w:val="32"/>
          <w:szCs w:val="32"/>
          <w:highlight w:val="none"/>
          <w:shd w:val="clear" w:color="auto" w:fill="FFFFFF"/>
          <w:lang w:val="zh-CN"/>
        </w:rPr>
        <w:t>（四）部门整体支出绩效目标。</w:t>
      </w:r>
    </w:p>
    <w:p w14:paraId="606E0037">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我单位实行预算管理制度，根据财政局每年下发文件进行相应的预算管理编制和提交。严格预算执行，及时向财政局反映本部门预算执行情况，依法纠正违反预算的行为。将单位预算管理活动与社会和人民的切身利益相结合，根据社会需求和人民需要进行合理预算管理工作，使预算管理计划成为行政事业单位建设社会、服务大众的方针导向。执行预算绩效管理，编制整体支出和项目支出绩效申报，使单位预算管理的最大效用，实现预算管理的目标与效果。</w:t>
      </w:r>
    </w:p>
    <w:p w14:paraId="25038068">
      <w:pPr>
        <w:keepNext w:val="0"/>
        <w:keepLines w:val="0"/>
        <w:pageBreakBefore w:val="0"/>
        <w:widowControl/>
        <w:numPr>
          <w:ilvl w:val="0"/>
          <w:numId w:val="6"/>
        </w:numPr>
        <w:kinsoku/>
        <w:wordWrap/>
        <w:overflowPunct/>
        <w:topLinePunct w:val="0"/>
        <w:autoSpaceDE/>
        <w:autoSpaceDN/>
        <w:bidi w:val="0"/>
        <w:adjustRightInd w:val="0"/>
        <w:snapToGrid w:val="0"/>
        <w:spacing w:line="600" w:lineRule="exact"/>
        <w:ind w:left="0" w:leftChars="0" w:firstLine="640" w:firstLineChars="200"/>
        <w:contextualSpacing/>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color w:val="auto"/>
          <w:kern w:val="0"/>
          <w:sz w:val="32"/>
          <w:szCs w:val="32"/>
          <w:highlight w:val="none"/>
          <w:shd w:val="clear" w:color="auto" w:fill="FFFFFF"/>
          <w:lang w:eastAsia="zh-CN"/>
        </w:rPr>
        <w:t>部门</w:t>
      </w:r>
      <w:r>
        <w:rPr>
          <w:rFonts w:hint="eastAsia" w:ascii="仿宋_GB2312" w:hAnsi="仿宋_GB2312" w:eastAsia="仿宋_GB2312" w:cs="仿宋_GB2312"/>
          <w:color w:val="auto"/>
          <w:kern w:val="0"/>
          <w:sz w:val="32"/>
          <w:szCs w:val="32"/>
          <w:highlight w:val="none"/>
          <w:shd w:val="clear" w:color="auto" w:fill="FFFFFF"/>
        </w:rPr>
        <w:t>资金收支情况</w:t>
      </w:r>
    </w:p>
    <w:p w14:paraId="57265E17">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leftChars="200" w:firstLine="640" w:firstLineChars="200"/>
        <w:contextualSpacing/>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本单位2023年财政拨款收支479.14万元，其中上级资金0万元，县级资金479.14万元。</w:t>
      </w:r>
    </w:p>
    <w:p w14:paraId="46C22C6A">
      <w:pPr>
        <w:keepNext w:val="0"/>
        <w:keepLines w:val="0"/>
        <w:pageBreakBefore w:val="0"/>
        <w:widowControl/>
        <w:kinsoku/>
        <w:wordWrap/>
        <w:overflowPunct/>
        <w:topLinePunct w:val="0"/>
        <w:autoSpaceDE/>
        <w:autoSpaceDN/>
        <w:bidi w:val="0"/>
        <w:adjustRightInd w:val="0"/>
        <w:snapToGrid w:val="0"/>
        <w:spacing w:line="600" w:lineRule="exact"/>
        <w:ind w:firstLine="643" w:firstLineChars="200"/>
        <w:contextualSpacing/>
        <w:jc w:val="left"/>
        <w:textAlignment w:val="auto"/>
        <w:rPr>
          <w:rFonts w:hint="eastAsia" w:ascii="仿宋_GB2312" w:hAnsi="仿宋_GB2312" w:eastAsia="仿宋_GB2312" w:cs="仿宋_GB2312"/>
          <w:b/>
          <w:bCs/>
          <w:color w:val="auto"/>
          <w:kern w:val="0"/>
          <w:sz w:val="32"/>
          <w:szCs w:val="32"/>
          <w:highlight w:val="none"/>
          <w:shd w:val="clear" w:color="auto" w:fill="FFFFFF"/>
          <w:lang w:val="zh-CN"/>
        </w:rPr>
      </w:pPr>
      <w:r>
        <w:rPr>
          <w:rFonts w:hint="eastAsia" w:ascii="仿宋_GB2312" w:hAnsi="仿宋_GB2312" w:eastAsia="仿宋_GB2312" w:cs="仿宋_GB2312"/>
          <w:b/>
          <w:bCs/>
          <w:color w:val="auto"/>
          <w:kern w:val="0"/>
          <w:sz w:val="32"/>
          <w:szCs w:val="32"/>
          <w:highlight w:val="none"/>
          <w:shd w:val="clear" w:color="auto" w:fill="FFFFFF"/>
          <w:lang w:val="zh-CN"/>
        </w:rPr>
        <w:t>（一）部门总体收支情况。</w:t>
      </w:r>
    </w:p>
    <w:p w14:paraId="52B62EBA">
      <w:pPr>
        <w:keepNext w:val="0"/>
        <w:keepLines w:val="0"/>
        <w:pageBreakBefore w:val="0"/>
        <w:widowControl/>
        <w:kinsoku/>
        <w:wordWrap/>
        <w:overflowPunct/>
        <w:topLinePunct w:val="0"/>
        <w:autoSpaceDE/>
        <w:autoSpaceDN/>
        <w:bidi w:val="0"/>
        <w:adjustRightInd w:val="0"/>
        <w:snapToGrid w:val="0"/>
        <w:spacing w:line="600" w:lineRule="exact"/>
        <w:ind w:firstLine="960" w:firstLineChars="3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1.部门总体收入情况</w:t>
      </w:r>
    </w:p>
    <w:p w14:paraId="38FD8258">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本单位2023年财政拨款预算收入479.14万元，其中上级资金0万元，县级资金479.14万元。</w:t>
      </w:r>
    </w:p>
    <w:p w14:paraId="55B82A7A">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left="640" w:leftChars="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2.部门总体支出情况</w:t>
      </w:r>
    </w:p>
    <w:p w14:paraId="0C287D92">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left="640" w:leftChars="0"/>
        <w:contextualSpacing/>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本单位2023年财政拨款支出479.14万元，其中上级资金  0万元，县级资金479.14万元。</w:t>
      </w:r>
    </w:p>
    <w:p w14:paraId="0097A3FE">
      <w:pPr>
        <w:keepNext w:val="0"/>
        <w:keepLines w:val="0"/>
        <w:pageBreakBefore w:val="0"/>
        <w:widowControl/>
        <w:numPr>
          <w:ilvl w:val="0"/>
          <w:numId w:val="5"/>
        </w:numPr>
        <w:kinsoku/>
        <w:wordWrap/>
        <w:overflowPunct/>
        <w:topLinePunct w:val="0"/>
        <w:autoSpaceDE/>
        <w:autoSpaceDN/>
        <w:bidi w:val="0"/>
        <w:adjustRightInd w:val="0"/>
        <w:snapToGrid w:val="0"/>
        <w:spacing w:line="600" w:lineRule="exact"/>
        <w:ind w:left="0" w:leftChars="0" w:firstLine="640" w:firstLineChars="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部门总体结转结余情况</w:t>
      </w:r>
    </w:p>
    <w:p w14:paraId="76824134">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left="640" w:leftChars="0" w:firstLine="640" w:firstLineChars="200"/>
        <w:contextualSpacing/>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本单位2023年财政资金结转0万元，结余资金0万元。</w:t>
      </w:r>
    </w:p>
    <w:p w14:paraId="66BA18D6">
      <w:pPr>
        <w:keepNext w:val="0"/>
        <w:keepLines w:val="0"/>
        <w:pageBreakBefore w:val="0"/>
        <w:widowControl/>
        <w:kinsoku/>
        <w:wordWrap/>
        <w:overflowPunct/>
        <w:topLinePunct w:val="0"/>
        <w:autoSpaceDE/>
        <w:autoSpaceDN/>
        <w:bidi w:val="0"/>
        <w:adjustRightInd w:val="0"/>
        <w:snapToGrid w:val="0"/>
        <w:spacing w:line="600" w:lineRule="exact"/>
        <w:ind w:firstLine="643" w:firstLineChars="200"/>
        <w:contextualSpacing/>
        <w:jc w:val="left"/>
        <w:textAlignment w:val="auto"/>
        <w:rPr>
          <w:rFonts w:hint="eastAsia" w:ascii="仿宋_GB2312" w:hAnsi="仿宋_GB2312" w:eastAsia="仿宋_GB2312" w:cs="仿宋_GB2312"/>
          <w:b/>
          <w:bCs/>
          <w:color w:val="auto"/>
          <w:kern w:val="0"/>
          <w:sz w:val="32"/>
          <w:szCs w:val="32"/>
          <w:highlight w:val="none"/>
          <w:shd w:val="clear" w:color="auto" w:fill="FFFFFF"/>
          <w:lang w:val="zh-CN"/>
        </w:rPr>
      </w:pPr>
      <w:r>
        <w:rPr>
          <w:rFonts w:hint="eastAsia" w:ascii="仿宋_GB2312" w:hAnsi="仿宋_GB2312" w:eastAsia="仿宋_GB2312" w:cs="仿宋_GB2312"/>
          <w:b/>
          <w:bCs/>
          <w:color w:val="auto"/>
          <w:kern w:val="0"/>
          <w:sz w:val="32"/>
          <w:szCs w:val="32"/>
          <w:highlight w:val="none"/>
          <w:shd w:val="clear" w:color="auto" w:fill="FFFFFF"/>
          <w:lang w:val="zh-CN"/>
        </w:rPr>
        <w:t>（二）部门财政拨款收支情况。</w:t>
      </w:r>
    </w:p>
    <w:p w14:paraId="582CC4D6">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1.部门财政拨款收入情况</w:t>
      </w:r>
    </w:p>
    <w:p w14:paraId="7A74317A">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本单位2023年财政拨款预算收入479.14万元，其中上级资金0万元，县级资金479.14万元。</w:t>
      </w:r>
    </w:p>
    <w:p w14:paraId="74217804">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2.部门财政拨款支出情况</w:t>
      </w:r>
    </w:p>
    <w:p w14:paraId="65B824D4">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本单位2023年财政拨款支出479.14万元，其中上级资金0万元，县级资金479.14万元。</w:t>
      </w:r>
    </w:p>
    <w:p w14:paraId="094FA302">
      <w:pPr>
        <w:keepNext w:val="0"/>
        <w:keepLines w:val="0"/>
        <w:pageBreakBefore w:val="0"/>
        <w:widowControl/>
        <w:numPr>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3.部门财政拨款结转结余情况</w:t>
      </w:r>
    </w:p>
    <w:p w14:paraId="58E32F81">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本单位2023年财政资金结转0万元，结余资金0万元。</w:t>
      </w:r>
    </w:p>
    <w:p w14:paraId="0F265073">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黑体" w:hAnsi="黑体" w:eastAsia="黑体" w:cs="黑体"/>
          <w:b w:val="0"/>
          <w:bCs w:val="0"/>
          <w:color w:val="auto"/>
          <w:kern w:val="0"/>
          <w:sz w:val="32"/>
          <w:szCs w:val="32"/>
          <w:highlight w:val="none"/>
          <w:shd w:val="clear" w:color="auto" w:fill="FFFFFF"/>
        </w:rPr>
      </w:pPr>
      <w:r>
        <w:rPr>
          <w:rFonts w:hint="eastAsia" w:ascii="黑体" w:hAnsi="黑体" w:eastAsia="黑体" w:cs="黑体"/>
          <w:b w:val="0"/>
          <w:bCs w:val="0"/>
          <w:color w:val="auto"/>
          <w:kern w:val="0"/>
          <w:sz w:val="32"/>
          <w:szCs w:val="32"/>
          <w:highlight w:val="none"/>
          <w:shd w:val="clear" w:color="auto" w:fill="FFFFFF"/>
        </w:rPr>
        <w:t>三、</w:t>
      </w:r>
      <w:r>
        <w:rPr>
          <w:rFonts w:hint="eastAsia" w:ascii="黑体" w:hAnsi="黑体" w:eastAsia="黑体" w:cs="黑体"/>
          <w:b w:val="0"/>
          <w:bCs w:val="0"/>
          <w:color w:val="auto"/>
          <w:kern w:val="0"/>
          <w:sz w:val="32"/>
          <w:szCs w:val="32"/>
          <w:highlight w:val="none"/>
          <w:u w:val="none"/>
          <w:shd w:val="clear" w:color="auto" w:fill="FFFFFF"/>
        </w:rPr>
        <w:t>部门整体绩效</w:t>
      </w:r>
      <w:r>
        <w:rPr>
          <w:rFonts w:hint="eastAsia" w:ascii="黑体" w:hAnsi="黑体" w:eastAsia="黑体" w:cs="黑体"/>
          <w:b w:val="0"/>
          <w:bCs w:val="0"/>
          <w:color w:val="auto"/>
          <w:kern w:val="0"/>
          <w:sz w:val="32"/>
          <w:szCs w:val="32"/>
          <w:highlight w:val="none"/>
          <w:u w:val="none"/>
          <w:shd w:val="clear" w:color="auto" w:fill="FFFFFF"/>
          <w:lang w:eastAsia="zh-CN"/>
        </w:rPr>
        <w:t>分析</w:t>
      </w:r>
    </w:p>
    <w:p w14:paraId="751671A5">
      <w:pPr>
        <w:keepNext w:val="0"/>
        <w:keepLines w:val="0"/>
        <w:pageBreakBefore w:val="0"/>
        <w:widowControl/>
        <w:kinsoku/>
        <w:wordWrap/>
        <w:overflowPunct/>
        <w:topLinePunct w:val="0"/>
        <w:autoSpaceDE/>
        <w:autoSpaceDN/>
        <w:bidi w:val="0"/>
        <w:adjustRightInd w:val="0"/>
        <w:snapToGrid w:val="0"/>
        <w:spacing w:line="600" w:lineRule="exact"/>
        <w:ind w:firstLine="643"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zh-CN" w:eastAsia="zh-CN"/>
        </w:rPr>
      </w:pPr>
      <w:r>
        <w:rPr>
          <w:rFonts w:hint="eastAsia" w:ascii="仿宋_GB2312" w:hAnsi="仿宋_GB2312" w:eastAsia="仿宋_GB2312" w:cs="仿宋_GB2312"/>
          <w:b/>
          <w:bCs/>
          <w:color w:val="auto"/>
          <w:kern w:val="0"/>
          <w:sz w:val="32"/>
          <w:szCs w:val="32"/>
          <w:highlight w:val="none"/>
          <w:shd w:val="clear" w:color="auto" w:fill="FFFFFF"/>
          <w:lang w:val="zh-CN"/>
        </w:rPr>
        <w:t>（一）部门预算项目绩效分析。</w:t>
      </w:r>
    </w:p>
    <w:p w14:paraId="1C4C2549">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color w:val="000000" w:themeColor="text1"/>
          <w:kern w:val="0"/>
          <w:sz w:val="32"/>
          <w:szCs w:val="32"/>
          <w:highlight w:val="none"/>
          <w:shd w:val="clear" w:color="auto" w:fill="FFFFFF"/>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shd w:val="clear" w:color="auto" w:fill="FFFFFF"/>
          <w:lang w:val="en-US" w:eastAsia="zh-CN"/>
          <w14:textFill>
            <w14:solidFill>
              <w14:schemeClr w14:val="tx1"/>
            </w14:solidFill>
          </w14:textFill>
        </w:rPr>
        <w:t>1.人员类项目绩效分析</w:t>
      </w:r>
    </w:p>
    <w:p w14:paraId="3B34F269">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zh-CN" w:eastAsia="zh-CN"/>
        </w:rPr>
      </w:pPr>
      <w:r>
        <w:rPr>
          <w:rFonts w:hint="eastAsia" w:ascii="仿宋_GB2312" w:hAnsi="仿宋_GB2312" w:eastAsia="仿宋_GB2312" w:cs="仿宋_GB2312"/>
          <w:b w:val="0"/>
          <w:bCs w:val="0"/>
          <w:color w:val="auto"/>
          <w:kern w:val="0"/>
          <w:sz w:val="32"/>
          <w:szCs w:val="32"/>
          <w:highlight w:val="none"/>
          <w:shd w:val="clear" w:color="auto" w:fill="FFFFFF"/>
          <w:lang w:val="zh-CN" w:eastAsia="zh-CN"/>
        </w:rPr>
        <w:t>本单位按照财政要求结合单位实际制定了切实可行的部门绩效目标，绩效目标是建设项目库、编制部门预算、实施绩效监控、开展绩效评价的重要基础和依据。进一步加强预算绩效管理，提高县级预算绩效目标管理的科学性、规范性和有效性，为本单位准确编制年初预算提供了依据。在日常支出中我单位加强专项资金管理，专款专用，不虚列项目支出，不截留、挤占、挪用、浪费、套取、转移专项资金。本单位还建立健全内部控制制度和内部稽核、审批、审查制度，完善内部支出管理，强化内部约束，不断降低本单位运行成本。各项支出符合国家的现行规定，不擅自提高补贴标准，不巧立名目、不变相扩大个人补贴范围；不随意提高差旅费、会议费等报销标准，严格控制支出。年初在制定预算时针对本年度工作开展实际需要以及结合上年度资金使用情况进行了动态调整，使资金充分发挥有效作用更好地为各项工作服务，使预算工作有序、圆满完成，无违规现象。</w:t>
      </w:r>
    </w:p>
    <w:p w14:paraId="0F58734D">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2.运转类项目绩效分析</w:t>
      </w:r>
    </w:p>
    <w:p w14:paraId="1E2D6817">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2023年我单位结合业务工作需要制定了特定目标类项目年初预算，各项目按照计划有序实施，在实施过程中进行了事前、事中及事后自查和监督，确保了所有项目有序、规范开展并严格进行了项目验收工作，按照项目实施进度支付经费，项目实际完成任务量和效果达到规划预期情况。2023年本单位无100万以上项目。</w:t>
      </w:r>
    </w:p>
    <w:p w14:paraId="707826A8">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color w:val="000000" w:themeColor="text1"/>
          <w:kern w:val="0"/>
          <w:sz w:val="32"/>
          <w:szCs w:val="32"/>
          <w:highlight w:val="none"/>
          <w:shd w:val="clear" w:color="auto" w:fill="FFFFFF"/>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shd w:val="clear" w:color="auto" w:fill="FFFFFF"/>
          <w:lang w:val="en-US" w:eastAsia="zh-CN"/>
          <w14:textFill>
            <w14:solidFill>
              <w14:schemeClr w14:val="tx1"/>
            </w14:solidFill>
          </w14:textFill>
        </w:rPr>
        <w:t>3.特定目标类项目绩效分析</w:t>
      </w:r>
    </w:p>
    <w:p w14:paraId="143BDFE5">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2023年我单位结合业务工作需要制定了特定目标类项目年初预算，各项目按照计划有序实施，在实施过程中进行了事前、事中及事后自查和监督，确保了所有项目有序、规范开展并严格进行了项目验收工作，按照项目实施进度支付经费，项目实际完成任务量和效果达到规划预期情况。2023年本单位无100万以上项目。</w:t>
      </w:r>
    </w:p>
    <w:p w14:paraId="7937BB2E">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3" w:firstLineChars="200"/>
        <w:contextualSpacing/>
        <w:jc w:val="left"/>
        <w:textAlignment w:val="auto"/>
        <w:rPr>
          <w:rFonts w:hint="eastAsia" w:ascii="仿宋_GB2312" w:hAnsi="仿宋_GB2312" w:eastAsia="仿宋_GB2312" w:cs="仿宋_GB2312"/>
          <w:b/>
          <w:bCs/>
          <w:color w:val="auto"/>
          <w:kern w:val="0"/>
          <w:sz w:val="32"/>
          <w:szCs w:val="32"/>
          <w:highlight w:val="none"/>
          <w:shd w:val="clear" w:color="auto" w:fill="FFFFFF"/>
          <w:lang w:val="zh-CN"/>
        </w:rPr>
      </w:pPr>
      <w:r>
        <w:rPr>
          <w:rFonts w:hint="eastAsia" w:ascii="仿宋_GB2312" w:hAnsi="仿宋_GB2312" w:eastAsia="仿宋_GB2312" w:cs="仿宋_GB2312"/>
          <w:b/>
          <w:bCs/>
          <w:color w:val="auto"/>
          <w:kern w:val="0"/>
          <w:sz w:val="32"/>
          <w:szCs w:val="32"/>
          <w:highlight w:val="none"/>
          <w:shd w:val="clear" w:color="auto" w:fill="FFFFFF"/>
          <w:lang w:val="zh-CN"/>
        </w:rPr>
        <w:t>（二）部门整体履职绩效分析。</w:t>
      </w:r>
    </w:p>
    <w:p w14:paraId="3A3A2576">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zh-CN" w:eastAsia="zh-CN"/>
        </w:rPr>
      </w:pPr>
      <w:r>
        <w:rPr>
          <w:rFonts w:hint="eastAsia" w:ascii="仿宋_GB2312" w:hAnsi="仿宋_GB2312" w:eastAsia="仿宋_GB2312" w:cs="仿宋_GB2312"/>
          <w:b w:val="0"/>
          <w:bCs w:val="0"/>
          <w:color w:val="auto"/>
          <w:kern w:val="0"/>
          <w:sz w:val="32"/>
          <w:szCs w:val="32"/>
          <w:highlight w:val="none"/>
          <w:shd w:val="clear" w:color="auto" w:fill="FFFFFF"/>
          <w:lang w:val="zh-CN" w:eastAsia="zh-CN"/>
        </w:rPr>
        <w:t>本单位按照财政要求结合单位实际制定了切实可行的部门绩效目标，绩效目标是建设项目库、编制部门预算、实施绩效监控、开展绩效评价的重要基础和依据。进一步加强预算绩效管理，提高县级预算绩效目标管理的科学性、规范性和有效性，为本单位准确编制年初预算提供了依据。在日常支出中我单位加强专项资金管理，专款专用，不虚列项目支出，不截留、挤占、挪用、浪费、套取、转移专项资金。本单位还建立健全内部控制制度和内部稽核、审批、审查制度，完善内部支出管理，强化内部约束，不断降低本单位运行成本。各项支出符合国家的现行规定，不擅自提高补贴标准，不巧立名目、不变相扩大个人补贴范围；不随意提高差旅费、会议费等报销标准，严格控制支出。年初在制定预算时针对本年度工作开展实际需要以及结合上年度资金使用情况进行了动态调整，使资金充分发挥有效作用更好地为各项工作服务，使预算工作有序、圆满完成，无违规现象。</w:t>
      </w:r>
    </w:p>
    <w:p w14:paraId="3B8B2A18">
      <w:pPr>
        <w:keepNext w:val="0"/>
        <w:keepLines w:val="0"/>
        <w:pageBreakBefore w:val="0"/>
        <w:widowControl/>
        <w:kinsoku/>
        <w:wordWrap/>
        <w:overflowPunct/>
        <w:topLinePunct w:val="0"/>
        <w:autoSpaceDE/>
        <w:autoSpaceDN/>
        <w:bidi w:val="0"/>
        <w:adjustRightInd w:val="0"/>
        <w:snapToGrid w:val="0"/>
        <w:spacing w:line="600" w:lineRule="exact"/>
        <w:ind w:firstLine="321" w:firstLineChars="100"/>
        <w:contextualSpacing/>
        <w:jc w:val="left"/>
        <w:textAlignment w:val="auto"/>
        <w:rPr>
          <w:rFonts w:hint="eastAsia" w:ascii="仿宋_GB2312" w:hAnsi="仿宋_GB2312" w:eastAsia="仿宋_GB2312" w:cs="仿宋_GB2312"/>
          <w:b/>
          <w:bCs/>
          <w:color w:val="auto"/>
          <w:kern w:val="0"/>
          <w:sz w:val="32"/>
          <w:szCs w:val="32"/>
          <w:highlight w:val="none"/>
          <w:shd w:val="clear" w:color="auto" w:fill="FFFFFF"/>
          <w:lang w:val="zh-CN"/>
        </w:rPr>
      </w:pPr>
      <w:r>
        <w:rPr>
          <w:rFonts w:hint="eastAsia" w:ascii="仿宋_GB2312" w:hAnsi="仿宋_GB2312" w:eastAsia="仿宋_GB2312" w:cs="仿宋_GB2312"/>
          <w:b/>
          <w:bCs/>
          <w:color w:val="auto"/>
          <w:kern w:val="0"/>
          <w:sz w:val="32"/>
          <w:szCs w:val="32"/>
          <w:highlight w:val="none"/>
          <w:shd w:val="clear" w:color="auto" w:fill="FFFFFF"/>
          <w:lang w:val="zh-CN"/>
        </w:rPr>
        <w:t>（三）结果应用情况。</w:t>
      </w:r>
    </w:p>
    <w:p w14:paraId="3D27E60E">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1280" w:firstLineChars="400"/>
        <w:contextualSpacing/>
        <w:jc w:val="left"/>
        <w:textAlignment w:val="auto"/>
        <w:rPr>
          <w:rFonts w:hint="eastAsia" w:ascii="仿宋_GB2312" w:hAnsi="仿宋_GB2312" w:eastAsia="仿宋_GB2312" w:cs="仿宋_GB2312"/>
          <w:b/>
          <w:bCs/>
          <w:color w:val="auto"/>
          <w:kern w:val="0"/>
          <w:sz w:val="32"/>
          <w:szCs w:val="32"/>
          <w:highlight w:val="none"/>
          <w:shd w:val="clear" w:color="auto" w:fill="FFFFFF"/>
          <w:lang w:val="zh-CN"/>
        </w:rPr>
      </w:pPr>
      <w:r>
        <w:rPr>
          <w:rFonts w:hint="eastAsia" w:ascii="仿宋_GB2312" w:hAnsi="仿宋_GB2312" w:eastAsia="仿宋_GB2312" w:cs="仿宋_GB2312"/>
          <w:b w:val="0"/>
          <w:bCs w:val="0"/>
          <w:color w:val="auto"/>
          <w:kern w:val="0"/>
          <w:sz w:val="32"/>
          <w:szCs w:val="32"/>
          <w:highlight w:val="none"/>
          <w:shd w:val="clear" w:color="auto" w:fill="FFFFFF"/>
          <w:lang w:val="zh-CN" w:eastAsia="zh-CN"/>
        </w:rPr>
        <w:t>本单位按照严格、真实的原则对本部门整体支出绩效情况进行自评，对取得的成效和存在的问题进行仔细分析并提出下一步整改方案，同时按照财政要求在规定的时间点在规定的网站对绩效目标和自评进行公开，并对相关部门反馈的评价结果和应用结果进行及时整改，逐步完善部门整体预算绩效管理工作。</w:t>
      </w:r>
    </w:p>
    <w:p w14:paraId="1A60C576">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321" w:firstLineChars="100"/>
        <w:contextualSpacing/>
        <w:jc w:val="left"/>
        <w:textAlignment w:val="auto"/>
        <w:rPr>
          <w:rFonts w:hint="eastAsia" w:ascii="仿宋_GB2312" w:hAnsi="仿宋_GB2312" w:eastAsia="仿宋_GB2312" w:cs="仿宋_GB2312"/>
          <w:b/>
          <w:bCs/>
          <w:color w:val="auto"/>
          <w:kern w:val="0"/>
          <w:sz w:val="32"/>
          <w:szCs w:val="32"/>
          <w:highlight w:val="none"/>
          <w:shd w:val="clear" w:color="auto" w:fill="FFFFFF"/>
          <w:lang w:val="zh-CN"/>
        </w:rPr>
      </w:pPr>
      <w:r>
        <w:rPr>
          <w:rFonts w:hint="eastAsia" w:ascii="仿宋_GB2312" w:hAnsi="仿宋_GB2312" w:eastAsia="仿宋_GB2312" w:cs="仿宋_GB2312"/>
          <w:b/>
          <w:bCs/>
          <w:color w:val="auto"/>
          <w:kern w:val="0"/>
          <w:sz w:val="32"/>
          <w:szCs w:val="32"/>
          <w:highlight w:val="none"/>
          <w:shd w:val="clear" w:color="auto" w:fill="FFFFFF"/>
          <w:lang w:val="en-US" w:eastAsia="zh-CN"/>
        </w:rPr>
        <w:t>（四）</w:t>
      </w:r>
      <w:r>
        <w:rPr>
          <w:rFonts w:hint="eastAsia" w:ascii="仿宋_GB2312" w:hAnsi="仿宋_GB2312" w:eastAsia="仿宋_GB2312" w:cs="仿宋_GB2312"/>
          <w:b/>
          <w:bCs/>
          <w:color w:val="auto"/>
          <w:kern w:val="0"/>
          <w:sz w:val="32"/>
          <w:szCs w:val="32"/>
          <w:highlight w:val="none"/>
          <w:shd w:val="clear" w:color="auto" w:fill="FFFFFF"/>
          <w:lang w:val="zh-CN"/>
        </w:rPr>
        <w:t>自评质量。</w:t>
      </w:r>
    </w:p>
    <w:p w14:paraId="71AAE419">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根据《峨边彝族自治县财政局 关于开展2023年财政绩效评价工作的通知》文件精神，县融媒体中心认真组织开展了部门整体支出绩效评价工作，绩效评价得分：97分。</w:t>
      </w:r>
    </w:p>
    <w:p w14:paraId="0C49670F">
      <w:pPr>
        <w:keepNext w:val="0"/>
        <w:keepLines w:val="0"/>
        <w:pageBreakBefore w:val="0"/>
        <w:widowControl/>
        <w:kinsoku/>
        <w:wordWrap/>
        <w:overflowPunct/>
        <w:topLinePunct w:val="0"/>
        <w:autoSpaceDE/>
        <w:autoSpaceDN/>
        <w:bidi w:val="0"/>
        <w:adjustRightInd w:val="0"/>
        <w:snapToGrid w:val="0"/>
        <w:spacing w:line="600" w:lineRule="exact"/>
        <w:ind w:firstLine="321" w:firstLineChars="100"/>
        <w:contextualSpacing/>
        <w:jc w:val="left"/>
        <w:textAlignment w:val="auto"/>
        <w:rPr>
          <w:rFonts w:hint="eastAsia" w:ascii="仿宋_GB2312" w:hAnsi="仿宋_GB2312" w:eastAsia="仿宋_GB2312" w:cs="仿宋_GB2312"/>
          <w:b/>
          <w:bCs/>
          <w:color w:val="auto"/>
          <w:kern w:val="0"/>
          <w:sz w:val="32"/>
          <w:szCs w:val="32"/>
          <w:highlight w:val="none"/>
          <w:shd w:val="clear" w:color="auto" w:fill="FFFFFF"/>
        </w:rPr>
      </w:pPr>
      <w:r>
        <w:rPr>
          <w:rFonts w:hint="eastAsia" w:ascii="仿宋_GB2312" w:hAnsi="仿宋_GB2312" w:eastAsia="仿宋_GB2312" w:cs="仿宋_GB2312"/>
          <w:b/>
          <w:bCs/>
          <w:color w:val="auto"/>
          <w:kern w:val="0"/>
          <w:sz w:val="32"/>
          <w:szCs w:val="32"/>
          <w:highlight w:val="none"/>
          <w:shd w:val="clear" w:color="auto" w:fill="FFFFFF"/>
        </w:rPr>
        <w:t>四、评价结论及建议</w:t>
      </w:r>
    </w:p>
    <w:p w14:paraId="07929150">
      <w:pPr>
        <w:keepNext w:val="0"/>
        <w:keepLines w:val="0"/>
        <w:pageBreakBefore w:val="0"/>
        <w:widowControl/>
        <w:kinsoku/>
        <w:wordWrap/>
        <w:overflowPunct/>
        <w:topLinePunct w:val="0"/>
        <w:autoSpaceDE/>
        <w:autoSpaceDN/>
        <w:bidi w:val="0"/>
        <w:adjustRightInd w:val="0"/>
        <w:snapToGrid w:val="0"/>
        <w:spacing w:line="600" w:lineRule="exact"/>
        <w:ind w:firstLine="321" w:firstLineChars="100"/>
        <w:contextualSpacing/>
        <w:jc w:val="left"/>
        <w:textAlignment w:val="auto"/>
        <w:rPr>
          <w:rFonts w:hint="eastAsia" w:ascii="仿宋_GB2312" w:hAnsi="仿宋_GB2312" w:eastAsia="仿宋_GB2312" w:cs="仿宋_GB2312"/>
          <w:b/>
          <w:bCs/>
          <w:color w:val="000000" w:themeColor="text1"/>
          <w:kern w:val="0"/>
          <w:sz w:val="32"/>
          <w:szCs w:val="32"/>
          <w:highlight w:val="none"/>
          <w:shd w:val="clear" w:color="auto" w:fill="FFFFFF"/>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shd w:val="clear" w:color="auto" w:fill="FFFFFF"/>
          <w:lang w:val="zh-CN"/>
          <w14:textFill>
            <w14:solidFill>
              <w14:schemeClr w14:val="tx1"/>
            </w14:solidFill>
          </w14:textFill>
        </w:rPr>
        <w:t>（一）评价结论。</w:t>
      </w:r>
    </w:p>
    <w:p w14:paraId="4FF29014">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bCs w:val="0"/>
          <w:sz w:val="32"/>
          <w:szCs w:val="32"/>
          <w:lang w:val="zh-CN"/>
        </w:rPr>
      </w:pPr>
      <w:r>
        <w:rPr>
          <w:rFonts w:hint="eastAsia" w:ascii="仿宋_GB2312" w:hAnsi="仿宋_GB2312" w:eastAsia="仿宋_GB2312" w:cs="仿宋_GB2312"/>
          <w:b w:val="0"/>
          <w:bCs w:val="0"/>
          <w:sz w:val="32"/>
          <w:szCs w:val="32"/>
          <w:lang w:val="zh-CN"/>
        </w:rPr>
        <w:t>根据《峨边彝族自治县财政局 关于开展202</w:t>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lang w:val="zh-CN"/>
        </w:rPr>
        <w:t>年财政绩效评价工作的通知》文件精神，县融媒体中心认真组织开展了部门整体支出绩效评价工作，绩效评价得分：9</w:t>
      </w: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sz w:val="32"/>
          <w:szCs w:val="32"/>
          <w:lang w:val="zh-CN"/>
        </w:rPr>
        <w:t>分。</w:t>
      </w:r>
    </w:p>
    <w:p w14:paraId="105AC750">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3" w:firstLineChars="200"/>
        <w:contextualSpacing/>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b/>
          <w:bCs/>
          <w:color w:val="auto"/>
          <w:kern w:val="0"/>
          <w:sz w:val="32"/>
          <w:szCs w:val="32"/>
          <w:highlight w:val="none"/>
          <w:shd w:val="clear" w:color="auto" w:fill="FFFFFF"/>
          <w:lang w:val="zh-CN"/>
        </w:rPr>
        <w:t>（二）存在问题。</w:t>
      </w:r>
    </w:p>
    <w:p w14:paraId="416D3AC3">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1280" w:firstLineChars="400"/>
        <w:contextualSpacing/>
        <w:jc w:val="left"/>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b w:val="0"/>
          <w:bCs w:val="0"/>
          <w:sz w:val="32"/>
          <w:szCs w:val="32"/>
          <w:lang w:val="zh-CN"/>
        </w:rPr>
        <w:t>预算不够细化、精准。</w:t>
      </w:r>
    </w:p>
    <w:p w14:paraId="6F9F972D">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leftChars="200" w:firstLine="321" w:firstLineChars="100"/>
        <w:contextualSpacing/>
        <w:jc w:val="left"/>
        <w:textAlignment w:val="auto"/>
        <w:rPr>
          <w:rFonts w:hint="eastAsia" w:ascii="仿宋_GB2312" w:hAnsi="仿宋_GB2312" w:eastAsia="仿宋_GB2312" w:cs="仿宋_GB2312"/>
          <w:b w:val="0"/>
          <w:bCs w:val="0"/>
          <w:sz w:val="32"/>
          <w:szCs w:val="32"/>
          <w:lang w:val="zh-CN"/>
        </w:rPr>
      </w:pPr>
      <w:r>
        <w:rPr>
          <w:rFonts w:hint="eastAsia" w:ascii="仿宋_GB2312" w:hAnsi="仿宋_GB2312" w:eastAsia="仿宋_GB2312" w:cs="仿宋_GB2312"/>
          <w:b/>
          <w:bCs/>
          <w:color w:val="auto"/>
          <w:kern w:val="0"/>
          <w:sz w:val="32"/>
          <w:szCs w:val="32"/>
          <w:highlight w:val="none"/>
          <w:shd w:val="clear" w:color="auto" w:fill="FFFFFF"/>
          <w:lang w:val="zh-CN"/>
        </w:rPr>
        <w:t>（三）改进建议。</w:t>
      </w:r>
    </w:p>
    <w:p w14:paraId="1090D044">
      <w:pPr>
        <w:keepNext w:val="0"/>
        <w:keepLines w:val="0"/>
        <w:pageBreakBefore w:val="0"/>
        <w:widowControl/>
        <w:numPr>
          <w:ilvl w:val="0"/>
          <w:numId w:val="7"/>
        </w:numPr>
        <w:kinsoku/>
        <w:wordWrap/>
        <w:overflowPunct/>
        <w:topLinePunct w:val="0"/>
        <w:autoSpaceDE/>
        <w:autoSpaceDN/>
        <w:bidi w:val="0"/>
        <w:adjustRightInd w:val="0"/>
        <w:snapToGrid w:val="0"/>
        <w:spacing w:line="600" w:lineRule="exact"/>
        <w:ind w:leftChars="200" w:firstLine="640" w:firstLineChars="200"/>
        <w:contextualSpacing/>
        <w:jc w:val="left"/>
        <w:textAlignment w:val="auto"/>
        <w:rPr>
          <w:rFonts w:hint="eastAsia" w:ascii="仿宋_GB2312" w:hAnsi="仿宋_GB2312" w:eastAsia="仿宋_GB2312" w:cs="仿宋_GB2312"/>
          <w:b w:val="0"/>
          <w:bCs w:val="0"/>
          <w:sz w:val="32"/>
          <w:szCs w:val="32"/>
          <w:lang w:val="zh-CN"/>
        </w:rPr>
      </w:pPr>
      <w:r>
        <w:rPr>
          <w:rFonts w:hint="eastAsia" w:ascii="仿宋_GB2312" w:hAnsi="仿宋_GB2312" w:eastAsia="仿宋_GB2312" w:cs="仿宋_GB2312"/>
          <w:b w:val="0"/>
          <w:bCs w:val="0"/>
          <w:sz w:val="32"/>
          <w:szCs w:val="32"/>
          <w:lang w:val="zh-CN"/>
        </w:rPr>
        <w:t>认真做好预算的编制，细化预算编制工作，优先保障民生费用支出项目。</w:t>
      </w:r>
    </w:p>
    <w:p w14:paraId="4DD84AA9">
      <w:pPr>
        <w:keepNext w:val="0"/>
        <w:keepLines w:val="0"/>
        <w:pageBreakBefore w:val="0"/>
        <w:widowControl/>
        <w:numPr>
          <w:ilvl w:val="0"/>
          <w:numId w:val="7"/>
        </w:numPr>
        <w:kinsoku/>
        <w:wordWrap/>
        <w:overflowPunct/>
        <w:topLinePunct w:val="0"/>
        <w:autoSpaceDE/>
        <w:autoSpaceDN/>
        <w:bidi w:val="0"/>
        <w:adjustRightInd w:val="0"/>
        <w:snapToGrid w:val="0"/>
        <w:spacing w:line="600" w:lineRule="exact"/>
        <w:ind w:left="420" w:leftChars="200" w:firstLine="640" w:firstLineChars="200"/>
        <w:contextualSpacing/>
        <w:jc w:val="left"/>
        <w:textAlignment w:val="auto"/>
        <w:rPr>
          <w:rFonts w:hint="eastAsia" w:ascii="仿宋_GB2312" w:hAnsi="仿宋_GB2312" w:eastAsia="仿宋_GB2312" w:cs="仿宋_GB2312"/>
          <w:b w:val="0"/>
          <w:bCs w:val="0"/>
          <w:sz w:val="32"/>
          <w:szCs w:val="32"/>
          <w:lang w:val="zh-CN"/>
        </w:rPr>
      </w:pPr>
      <w:r>
        <w:rPr>
          <w:rFonts w:hint="eastAsia" w:ascii="仿宋_GB2312" w:hAnsi="仿宋_GB2312" w:eastAsia="仿宋_GB2312" w:cs="仿宋_GB2312"/>
          <w:b w:val="0"/>
          <w:bCs w:val="0"/>
          <w:sz w:val="32"/>
          <w:szCs w:val="32"/>
          <w:lang w:val="zh-CN"/>
        </w:rPr>
        <w:t>加强财务管理，严格财务审批，完善内控制度建设，提高资金使用效能。</w:t>
      </w:r>
    </w:p>
    <w:p w14:paraId="73DA1CCE">
      <w:pPr>
        <w:keepNext w:val="0"/>
        <w:keepLines w:val="0"/>
        <w:pageBreakBefore w:val="0"/>
        <w:widowControl/>
        <w:numPr>
          <w:ilvl w:val="0"/>
          <w:numId w:val="7"/>
        </w:numPr>
        <w:kinsoku/>
        <w:wordWrap/>
        <w:overflowPunct/>
        <w:topLinePunct w:val="0"/>
        <w:autoSpaceDE/>
        <w:autoSpaceDN/>
        <w:bidi w:val="0"/>
        <w:adjustRightInd w:val="0"/>
        <w:snapToGrid w:val="0"/>
        <w:spacing w:line="600" w:lineRule="exact"/>
        <w:ind w:left="420" w:leftChars="200" w:firstLine="640" w:firstLineChars="200"/>
        <w:contextualSpacing/>
        <w:jc w:val="left"/>
        <w:textAlignment w:val="auto"/>
        <w:rPr>
          <w:rFonts w:hint="eastAsia" w:ascii="仿宋_GB2312" w:hAnsi="仿宋_GB2312" w:eastAsia="仿宋_GB2312" w:cs="仿宋_GB2312"/>
          <w:b w:val="0"/>
          <w:bCs w:val="0"/>
          <w:sz w:val="32"/>
          <w:szCs w:val="32"/>
          <w:lang w:val="zh-CN"/>
        </w:rPr>
      </w:pPr>
      <w:r>
        <w:rPr>
          <w:rFonts w:hint="eastAsia" w:ascii="仿宋_GB2312" w:hAnsi="仿宋_GB2312" w:eastAsia="仿宋_GB2312" w:cs="仿宋_GB2312"/>
          <w:b w:val="0"/>
          <w:bCs w:val="0"/>
          <w:sz w:val="32"/>
          <w:szCs w:val="32"/>
          <w:lang w:val="zh-CN"/>
        </w:rPr>
        <w:t>完善管理制度，进一步加强资产管理；</w:t>
      </w:r>
    </w:p>
    <w:p w14:paraId="7D74688C">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leftChars="400" w:firstLine="320" w:firstLineChars="100"/>
        <w:contextualSpacing/>
        <w:jc w:val="left"/>
        <w:textAlignment w:val="auto"/>
        <w:rPr>
          <w:rFonts w:hint="eastAsia" w:ascii="仿宋_GB2312" w:hAnsi="仿宋_GB2312" w:eastAsia="仿宋_GB2312" w:cs="仿宋_GB2312"/>
          <w:b w:val="0"/>
          <w:bCs w:val="0"/>
          <w:sz w:val="32"/>
          <w:szCs w:val="32"/>
          <w:lang w:val="zh-CN"/>
        </w:rPr>
      </w:pPr>
      <w:r>
        <w:rPr>
          <w:rFonts w:hint="eastAsia" w:ascii="仿宋_GB2312" w:hAnsi="仿宋_GB2312" w:eastAsia="仿宋_GB2312" w:cs="仿宋_GB2312"/>
          <w:b w:val="0"/>
          <w:bCs w:val="0"/>
          <w:sz w:val="32"/>
          <w:szCs w:val="32"/>
          <w:lang w:val="zh-CN"/>
        </w:rPr>
        <w:t>4、加强财务专业知识学习培训。</w:t>
      </w:r>
    </w:p>
    <w:p w14:paraId="6465347A">
      <w:pPr>
        <w:pStyle w:val="14"/>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zh-CN" w:eastAsia="zh-CN"/>
        </w:rPr>
      </w:pPr>
    </w:p>
    <w:p w14:paraId="72DBC66F">
      <w:pPr>
        <w:pStyle w:val="14"/>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zh-CN" w:eastAsia="zh-CN"/>
        </w:rPr>
      </w:pPr>
    </w:p>
    <w:p w14:paraId="223225C0">
      <w:pPr>
        <w:pStyle w:val="14"/>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zh-CN" w:eastAsia="zh-CN"/>
        </w:rPr>
      </w:pPr>
    </w:p>
    <w:p w14:paraId="32F87F3F">
      <w:pPr>
        <w:pStyle w:val="14"/>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zh-CN" w:eastAsia="zh-CN"/>
        </w:rPr>
      </w:pPr>
      <w:r>
        <w:rPr>
          <w:rFonts w:hint="eastAsia" w:ascii="仿宋_GB2312" w:hAnsi="仿宋_GB2312" w:eastAsia="仿宋_GB2312" w:cs="仿宋_GB2312"/>
          <w:color w:val="auto"/>
          <w:sz w:val="32"/>
          <w:szCs w:val="32"/>
          <w:highlight w:val="none"/>
          <w:lang w:val="zh-CN" w:eastAsia="zh-CN"/>
        </w:rPr>
        <w:t>附表：</w:t>
      </w:r>
      <w:r>
        <w:rPr>
          <w:rFonts w:hint="eastAsia" w:ascii="仿宋_GB2312" w:hAnsi="仿宋_GB2312" w:eastAsia="仿宋_GB2312" w:cs="仿宋_GB2312"/>
          <w:color w:val="auto"/>
          <w:sz w:val="32"/>
          <w:szCs w:val="32"/>
          <w:highlight w:val="none"/>
          <w:lang w:val="en-US" w:eastAsia="zh-CN"/>
        </w:rPr>
        <w:t>部门预算项目支出绩效自评表（202</w:t>
      </w:r>
      <w:r>
        <w:rPr>
          <w:rFonts w:hint="eastAsia"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val="en-US" w:eastAsia="zh-CN"/>
        </w:rPr>
        <w:t>年度）</w:t>
      </w:r>
    </w:p>
    <w:p w14:paraId="0C0C0F39">
      <w:pPr>
        <w:pStyle w:val="14"/>
        <w:keepNext w:val="0"/>
        <w:keepLines w:val="0"/>
        <w:pageBreakBefore w:val="0"/>
        <w:numPr>
          <w:ilvl w:val="0"/>
          <w:numId w:val="0"/>
        </w:numPr>
        <w:kinsoku/>
        <w:wordWrap/>
        <w:overflowPunct/>
        <w:topLinePunct w:val="0"/>
        <w:autoSpaceDE/>
        <w:autoSpaceDN/>
        <w:bidi w:val="0"/>
        <w:spacing w:line="240" w:lineRule="auto"/>
        <w:textAlignment w:val="auto"/>
        <w:rPr>
          <w:rFonts w:hint="eastAsia" w:hAnsi="Times New Roman" w:cs="Times New Roman"/>
          <w:color w:val="auto"/>
          <w:sz w:val="32"/>
          <w:szCs w:val="32"/>
          <w:highlight w:val="none"/>
          <w:lang w:val="zh-CN" w:eastAsia="zh-CN"/>
        </w:rPr>
      </w:pPr>
      <w:r>
        <w:rPr>
          <w:rFonts w:hint="eastAsia" w:hAnsi="Times New Roman" w:cs="Times New Roman"/>
          <w:color w:val="auto"/>
          <w:sz w:val="32"/>
          <w:szCs w:val="32"/>
          <w:highlight w:val="none"/>
          <w:lang w:val="zh-CN" w:eastAsia="zh-CN"/>
        </w:rPr>
        <w:drawing>
          <wp:inline distT="0" distB="0" distL="114300" distR="114300">
            <wp:extent cx="5265420" cy="2821305"/>
            <wp:effectExtent l="0" t="0" r="7620" b="13335"/>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13"/>
                    <a:stretch>
                      <a:fillRect/>
                    </a:stretch>
                  </pic:blipFill>
                  <pic:spPr>
                    <a:xfrm>
                      <a:off x="0" y="0"/>
                      <a:ext cx="5265420" cy="2821305"/>
                    </a:xfrm>
                    <a:prstGeom prst="rect">
                      <a:avLst/>
                    </a:prstGeom>
                  </pic:spPr>
                </pic:pic>
              </a:graphicData>
            </a:graphic>
          </wp:inline>
        </w:drawing>
      </w:r>
    </w:p>
    <w:p w14:paraId="37002F3E">
      <w:pPr>
        <w:pStyle w:val="14"/>
        <w:keepNext w:val="0"/>
        <w:keepLines w:val="0"/>
        <w:pageBreakBefore w:val="0"/>
        <w:numPr>
          <w:ilvl w:val="0"/>
          <w:numId w:val="0"/>
        </w:numPr>
        <w:kinsoku/>
        <w:wordWrap/>
        <w:overflowPunct/>
        <w:topLinePunct w:val="0"/>
        <w:autoSpaceDE/>
        <w:autoSpaceDN/>
        <w:bidi w:val="0"/>
        <w:spacing w:line="240" w:lineRule="auto"/>
        <w:textAlignment w:val="auto"/>
        <w:rPr>
          <w:rFonts w:hint="default" w:hAnsi="Times New Roman" w:cs="Times New Roman"/>
          <w:color w:val="auto"/>
          <w:sz w:val="32"/>
          <w:szCs w:val="32"/>
          <w:highlight w:val="none"/>
          <w:lang w:val="en-US" w:eastAsia="zh-CN"/>
        </w:rPr>
      </w:pPr>
      <w:r>
        <w:rPr>
          <w:rFonts w:hint="default" w:hAnsi="Times New Roman" w:cs="Times New Roman"/>
          <w:color w:val="auto"/>
          <w:sz w:val="32"/>
          <w:szCs w:val="32"/>
          <w:highlight w:val="none"/>
          <w:lang w:val="en-US" w:eastAsia="zh-CN"/>
        </w:rPr>
        <w:drawing>
          <wp:inline distT="0" distB="0" distL="114300" distR="114300">
            <wp:extent cx="5267960" cy="2981325"/>
            <wp:effectExtent l="0" t="0" r="5080" b="5715"/>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14"/>
                    <a:stretch>
                      <a:fillRect/>
                    </a:stretch>
                  </pic:blipFill>
                  <pic:spPr>
                    <a:xfrm>
                      <a:off x="0" y="0"/>
                      <a:ext cx="5267960" cy="2981325"/>
                    </a:xfrm>
                    <a:prstGeom prst="rect">
                      <a:avLst/>
                    </a:prstGeom>
                  </pic:spPr>
                </pic:pic>
              </a:graphicData>
            </a:graphic>
          </wp:inline>
        </w:drawing>
      </w:r>
    </w:p>
    <w:p w14:paraId="16D9CF59">
      <w:pPr>
        <w:pStyle w:val="8"/>
        <w:rPr>
          <w:rFonts w:hint="eastAsia" w:hAnsi="宋体" w:cs="宋体"/>
          <w:color w:val="auto"/>
          <w:kern w:val="0"/>
          <w:sz w:val="32"/>
          <w:szCs w:val="32"/>
          <w:highlight w:val="none"/>
          <w:shd w:val="clear" w:color="auto" w:fill="FFFFFF"/>
          <w:lang w:val="zh-CN"/>
        </w:rPr>
      </w:pPr>
    </w:p>
    <w:p w14:paraId="731E1858">
      <w:pPr>
        <w:pStyle w:val="8"/>
        <w:rPr>
          <w:rFonts w:hint="eastAsia" w:hAnsi="宋体" w:cs="宋体"/>
          <w:color w:val="auto"/>
          <w:kern w:val="0"/>
          <w:sz w:val="32"/>
          <w:szCs w:val="32"/>
          <w:highlight w:val="none"/>
          <w:shd w:val="clear" w:color="auto" w:fill="FFFFFF"/>
          <w:lang w:val="zh-CN"/>
        </w:rPr>
      </w:pPr>
    </w:p>
    <w:p w14:paraId="1F4A3748">
      <w:pPr>
        <w:pStyle w:val="8"/>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drawing>
          <wp:inline distT="0" distB="0" distL="114300" distR="114300">
            <wp:extent cx="5341620" cy="5875020"/>
            <wp:effectExtent l="0" t="0" r="7620" b="7620"/>
            <wp:docPr id="8" name="图片 8" descr="172964784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29647840092"/>
                    <pic:cNvPicPr>
                      <a:picLocks noChangeAspect="1"/>
                    </pic:cNvPicPr>
                  </pic:nvPicPr>
                  <pic:blipFill>
                    <a:blip r:embed="rId15"/>
                    <a:stretch>
                      <a:fillRect/>
                    </a:stretch>
                  </pic:blipFill>
                  <pic:spPr>
                    <a:xfrm>
                      <a:off x="0" y="0"/>
                      <a:ext cx="5341620" cy="5875020"/>
                    </a:xfrm>
                    <a:prstGeom prst="rect">
                      <a:avLst/>
                    </a:prstGeom>
                  </pic:spPr>
                </pic:pic>
              </a:graphicData>
            </a:graphic>
          </wp:inline>
        </w:drawing>
      </w:r>
    </w:p>
    <w:p w14:paraId="1ED3BC69">
      <w:pPr>
        <w:pStyle w:val="8"/>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drawing>
          <wp:inline distT="0" distB="0" distL="114300" distR="114300">
            <wp:extent cx="5424170" cy="6019800"/>
            <wp:effectExtent l="0" t="0" r="1270" b="0"/>
            <wp:docPr id="9" name="图片 9" descr="172964796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29647960636"/>
                    <pic:cNvPicPr>
                      <a:picLocks noChangeAspect="1"/>
                    </pic:cNvPicPr>
                  </pic:nvPicPr>
                  <pic:blipFill>
                    <a:blip r:embed="rId16"/>
                    <a:stretch>
                      <a:fillRect/>
                    </a:stretch>
                  </pic:blipFill>
                  <pic:spPr>
                    <a:xfrm>
                      <a:off x="0" y="0"/>
                      <a:ext cx="5424170" cy="6019800"/>
                    </a:xfrm>
                    <a:prstGeom prst="rect">
                      <a:avLst/>
                    </a:prstGeom>
                  </pic:spPr>
                </pic:pic>
              </a:graphicData>
            </a:graphic>
          </wp:inline>
        </w:drawing>
      </w:r>
    </w:p>
    <w:p w14:paraId="5D45116E">
      <w:pPr>
        <w:pStyle w:val="8"/>
        <w:rPr>
          <w:rFonts w:hint="default" w:hAnsi="宋体" w:eastAsia="仿宋_GB2312" w:cs="宋体"/>
          <w:color w:val="auto"/>
          <w:kern w:val="0"/>
          <w:sz w:val="32"/>
          <w:szCs w:val="32"/>
          <w:highlight w:val="none"/>
          <w:shd w:val="clear" w:color="auto" w:fill="FFFFFF"/>
          <w:lang w:val="en-US" w:eastAsia="zh-CN"/>
        </w:rPr>
      </w:pPr>
      <w:r>
        <w:rPr>
          <w:rFonts w:hint="eastAsia" w:hAnsi="宋体" w:cs="宋体"/>
          <w:color w:val="auto"/>
          <w:kern w:val="0"/>
          <w:sz w:val="32"/>
          <w:szCs w:val="32"/>
          <w:highlight w:val="none"/>
          <w:shd w:val="clear" w:color="auto" w:fill="FFFFFF"/>
          <w:lang w:val="en-US" w:eastAsia="zh-CN"/>
        </w:rPr>
        <w:t xml:space="preserve"> </w:t>
      </w:r>
      <w:r>
        <w:rPr>
          <w:rFonts w:hint="default" w:hAnsi="宋体" w:eastAsia="仿宋_GB2312" w:cs="宋体"/>
          <w:color w:val="auto"/>
          <w:kern w:val="0"/>
          <w:sz w:val="32"/>
          <w:szCs w:val="32"/>
          <w:highlight w:val="none"/>
          <w:shd w:val="clear" w:color="auto" w:fill="FFFFFF"/>
          <w:lang w:val="en-US" w:eastAsia="zh-CN"/>
        </w:rPr>
        <w:drawing>
          <wp:inline distT="0" distB="0" distL="114300" distR="114300">
            <wp:extent cx="5318125" cy="5798185"/>
            <wp:effectExtent l="0" t="0" r="635" b="8255"/>
            <wp:docPr id="10" name="图片 10" descr="172964804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29648045976"/>
                    <pic:cNvPicPr>
                      <a:picLocks noChangeAspect="1"/>
                    </pic:cNvPicPr>
                  </pic:nvPicPr>
                  <pic:blipFill>
                    <a:blip r:embed="rId17"/>
                    <a:stretch>
                      <a:fillRect/>
                    </a:stretch>
                  </pic:blipFill>
                  <pic:spPr>
                    <a:xfrm>
                      <a:off x="0" y="0"/>
                      <a:ext cx="5318125" cy="5798185"/>
                    </a:xfrm>
                    <a:prstGeom prst="rect">
                      <a:avLst/>
                    </a:prstGeom>
                  </pic:spPr>
                </pic:pic>
              </a:graphicData>
            </a:graphic>
          </wp:inline>
        </w:drawing>
      </w:r>
    </w:p>
    <w:p w14:paraId="3E9DF0A9">
      <w:pPr>
        <w:pStyle w:val="8"/>
        <w:rPr>
          <w:rFonts w:hint="default" w:hAnsi="宋体" w:eastAsia="仿宋_GB2312" w:cs="宋体"/>
          <w:color w:val="auto"/>
          <w:kern w:val="0"/>
          <w:sz w:val="32"/>
          <w:szCs w:val="32"/>
          <w:highlight w:val="none"/>
          <w:shd w:val="clear" w:color="auto" w:fill="FFFFFF"/>
          <w:lang w:val="en-US" w:eastAsia="zh-CN"/>
        </w:rPr>
      </w:pPr>
      <w:r>
        <w:rPr>
          <w:rFonts w:hint="eastAsia" w:hAnsi="宋体" w:cs="宋体"/>
          <w:color w:val="auto"/>
          <w:kern w:val="0"/>
          <w:sz w:val="32"/>
          <w:szCs w:val="32"/>
          <w:highlight w:val="none"/>
          <w:shd w:val="clear" w:color="auto" w:fill="FFFFFF"/>
          <w:lang w:val="en-US" w:eastAsia="zh-CN"/>
        </w:rPr>
        <w:t xml:space="preserve">  </w:t>
      </w:r>
      <w:r>
        <w:rPr>
          <w:rFonts w:hint="default" w:hAnsi="宋体" w:eastAsia="仿宋_GB2312" w:cs="宋体"/>
          <w:color w:val="auto"/>
          <w:kern w:val="0"/>
          <w:sz w:val="32"/>
          <w:szCs w:val="32"/>
          <w:highlight w:val="none"/>
          <w:shd w:val="clear" w:color="auto" w:fill="FFFFFF"/>
          <w:lang w:val="en-US" w:eastAsia="zh-CN"/>
        </w:rPr>
        <w:drawing>
          <wp:inline distT="0" distB="0" distL="114300" distR="114300">
            <wp:extent cx="5471160" cy="6256020"/>
            <wp:effectExtent l="0" t="0" r="0" b="7620"/>
            <wp:docPr id="13" name="图片 13" descr="172964814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29648145512"/>
                    <pic:cNvPicPr>
                      <a:picLocks noChangeAspect="1"/>
                    </pic:cNvPicPr>
                  </pic:nvPicPr>
                  <pic:blipFill>
                    <a:blip r:embed="rId18"/>
                    <a:stretch>
                      <a:fillRect/>
                    </a:stretch>
                  </pic:blipFill>
                  <pic:spPr>
                    <a:xfrm>
                      <a:off x="0" y="0"/>
                      <a:ext cx="5471160" cy="6256020"/>
                    </a:xfrm>
                    <a:prstGeom prst="rect">
                      <a:avLst/>
                    </a:prstGeom>
                  </pic:spPr>
                </pic:pic>
              </a:graphicData>
            </a:graphic>
          </wp:inline>
        </w:drawing>
      </w:r>
    </w:p>
    <w:p w14:paraId="408C27B7">
      <w:pPr>
        <w:pStyle w:val="8"/>
        <w:rPr>
          <w:rFonts w:hint="default" w:hAnsi="宋体" w:eastAsia="仿宋_GB2312" w:cs="宋体"/>
          <w:color w:val="auto"/>
          <w:kern w:val="0"/>
          <w:sz w:val="32"/>
          <w:szCs w:val="32"/>
          <w:highlight w:val="none"/>
          <w:shd w:val="clear" w:color="auto" w:fill="FFFFFF"/>
          <w:lang w:val="en-US" w:eastAsia="zh-CN"/>
        </w:rPr>
      </w:pPr>
      <w:r>
        <w:rPr>
          <w:rFonts w:hint="eastAsia" w:hAnsi="宋体" w:cs="宋体"/>
          <w:color w:val="auto"/>
          <w:kern w:val="0"/>
          <w:sz w:val="32"/>
          <w:szCs w:val="32"/>
          <w:highlight w:val="none"/>
          <w:shd w:val="clear" w:color="auto" w:fill="FFFFFF"/>
          <w:lang w:val="en-US" w:eastAsia="zh-CN"/>
        </w:rPr>
        <w:t xml:space="preserve">    </w:t>
      </w:r>
      <w:r>
        <w:rPr>
          <w:rFonts w:hint="default" w:hAnsi="宋体" w:eastAsia="仿宋_GB2312" w:cs="宋体"/>
          <w:color w:val="auto"/>
          <w:kern w:val="0"/>
          <w:sz w:val="32"/>
          <w:szCs w:val="32"/>
          <w:highlight w:val="none"/>
          <w:shd w:val="clear" w:color="auto" w:fill="FFFFFF"/>
          <w:lang w:val="en-US" w:eastAsia="zh-CN"/>
        </w:rPr>
        <w:drawing>
          <wp:inline distT="0" distB="0" distL="114300" distR="114300">
            <wp:extent cx="5469890" cy="6027420"/>
            <wp:effectExtent l="0" t="0" r="1270" b="7620"/>
            <wp:docPr id="14" name="图片 14" descr="172964824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29648249332"/>
                    <pic:cNvPicPr>
                      <a:picLocks noChangeAspect="1"/>
                    </pic:cNvPicPr>
                  </pic:nvPicPr>
                  <pic:blipFill>
                    <a:blip r:embed="rId19"/>
                    <a:stretch>
                      <a:fillRect/>
                    </a:stretch>
                  </pic:blipFill>
                  <pic:spPr>
                    <a:xfrm>
                      <a:off x="0" y="0"/>
                      <a:ext cx="5469890" cy="6027420"/>
                    </a:xfrm>
                    <a:prstGeom prst="rect">
                      <a:avLst/>
                    </a:prstGeom>
                  </pic:spPr>
                </pic:pic>
              </a:graphicData>
            </a:graphic>
          </wp:inline>
        </w:drawing>
      </w:r>
    </w:p>
    <w:p w14:paraId="2A9C8CB4">
      <w:pPr>
        <w:widowControl/>
        <w:ind w:firstLine="1767" w:firstLineChars="400"/>
        <w:jc w:val="left"/>
        <w:rPr>
          <w:rFonts w:hint="eastAsia" w:ascii="黑体" w:hAnsi="黑体" w:eastAsia="黑体"/>
          <w:b/>
          <w:bCs/>
          <w:color w:val="auto"/>
          <w:sz w:val="44"/>
          <w:szCs w:val="44"/>
          <w:highlight w:val="none"/>
        </w:rPr>
      </w:pPr>
      <w:bookmarkStart w:id="60" w:name="_Toc15396618"/>
    </w:p>
    <w:p w14:paraId="2FC382DE">
      <w:pPr>
        <w:widowControl/>
        <w:ind w:firstLine="1767" w:firstLineChars="400"/>
        <w:jc w:val="left"/>
        <w:rPr>
          <w:rStyle w:val="19"/>
          <w:rFonts w:hint="eastAsia" w:ascii="黑体" w:hAnsi="黑体" w:eastAsia="黑体"/>
          <w:b/>
          <w:bCs/>
          <w:color w:val="auto"/>
          <w:highlight w:val="none"/>
        </w:rPr>
      </w:pPr>
      <w:r>
        <w:rPr>
          <w:rFonts w:hint="eastAsia" w:ascii="黑体" w:hAnsi="黑体" w:eastAsia="黑体"/>
          <w:b/>
          <w:bCs/>
          <w:color w:val="auto"/>
          <w:sz w:val="44"/>
          <w:szCs w:val="44"/>
          <w:highlight w:val="none"/>
        </w:rPr>
        <w:t>第</w:t>
      </w:r>
      <w:r>
        <w:rPr>
          <w:rStyle w:val="19"/>
          <w:rFonts w:hint="eastAsia" w:ascii="黑体" w:hAnsi="黑体" w:eastAsia="黑体"/>
          <w:b/>
          <w:bCs/>
          <w:color w:val="auto"/>
          <w:highlight w:val="none"/>
        </w:rPr>
        <w:t>五部分 附表</w:t>
      </w:r>
      <w:bookmarkEnd w:id="58"/>
      <w:bookmarkEnd w:id="60"/>
      <w:bookmarkStart w:id="61" w:name="_Toc15396619"/>
    </w:p>
    <w:p w14:paraId="7F7693A5">
      <w:pPr>
        <w:pageBreakBefore w:val="0"/>
        <w:widowControl/>
        <w:kinsoku/>
        <w:wordWrap/>
        <w:overflowPunct/>
        <w:topLinePunct w:val="0"/>
        <w:autoSpaceDE/>
        <w:autoSpaceDN/>
        <w:bidi w:val="0"/>
        <w:adjustRightInd/>
        <w:snapToGrid/>
        <w:spacing w:line="600" w:lineRule="exact"/>
        <w:ind w:firstLine="640" w:firstLineChars="200"/>
        <w:jc w:val="left"/>
        <w:textAlignment w:val="auto"/>
        <w:rPr>
          <w:rStyle w:val="20"/>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color w:val="auto"/>
          <w:sz w:val="32"/>
          <w:szCs w:val="32"/>
          <w:highlight w:val="none"/>
        </w:rPr>
        <w:t>一、收</w:t>
      </w:r>
      <w:r>
        <w:rPr>
          <w:rStyle w:val="20"/>
          <w:rFonts w:hint="eastAsia" w:ascii="仿宋_GB2312" w:hAnsi="仿宋_GB2312" w:eastAsia="仿宋_GB2312" w:cs="仿宋_GB2312"/>
          <w:b w:val="0"/>
          <w:bCs w:val="0"/>
          <w:color w:val="auto"/>
          <w:sz w:val="32"/>
          <w:szCs w:val="32"/>
          <w:highlight w:val="none"/>
        </w:rPr>
        <w:t>入支出决算总表</w:t>
      </w:r>
      <w:bookmarkEnd w:id="61"/>
      <w:bookmarkStart w:id="62" w:name="_Toc15396620"/>
    </w:p>
    <w:p w14:paraId="76B29C9E">
      <w:pPr>
        <w:pageBreakBefore w:val="0"/>
        <w:widowControl/>
        <w:kinsoku/>
        <w:wordWrap/>
        <w:overflowPunct/>
        <w:topLinePunct w:val="0"/>
        <w:autoSpaceDE/>
        <w:autoSpaceDN/>
        <w:bidi w:val="0"/>
        <w:adjustRightInd/>
        <w:snapToGrid/>
        <w:spacing w:line="600" w:lineRule="exact"/>
        <w:ind w:firstLine="640" w:firstLineChars="200"/>
        <w:jc w:val="left"/>
        <w:textAlignment w:val="auto"/>
        <w:rPr>
          <w:rStyle w:val="20"/>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color w:val="auto"/>
          <w:sz w:val="32"/>
          <w:szCs w:val="32"/>
          <w:highlight w:val="none"/>
        </w:rPr>
        <w:t>二、收</w:t>
      </w:r>
      <w:r>
        <w:rPr>
          <w:rStyle w:val="20"/>
          <w:rFonts w:hint="eastAsia" w:ascii="仿宋_GB2312" w:hAnsi="仿宋_GB2312" w:eastAsia="仿宋_GB2312" w:cs="仿宋_GB2312"/>
          <w:b w:val="0"/>
          <w:bCs w:val="0"/>
          <w:color w:val="auto"/>
          <w:sz w:val="32"/>
          <w:szCs w:val="32"/>
          <w:highlight w:val="none"/>
        </w:rPr>
        <w:t>入决算表</w:t>
      </w:r>
      <w:bookmarkEnd w:id="62"/>
      <w:bookmarkStart w:id="63" w:name="_Toc15396621"/>
    </w:p>
    <w:p w14:paraId="30AA3C22">
      <w:pPr>
        <w:pageBreakBefore w:val="0"/>
        <w:widowControl/>
        <w:kinsoku/>
        <w:wordWrap/>
        <w:overflowPunct/>
        <w:topLinePunct w:val="0"/>
        <w:autoSpaceDE/>
        <w:autoSpaceDN/>
        <w:bidi w:val="0"/>
        <w:adjustRightInd/>
        <w:snapToGrid/>
        <w:spacing w:line="600" w:lineRule="exact"/>
        <w:ind w:firstLine="640" w:firstLineChars="200"/>
        <w:jc w:val="left"/>
        <w:textAlignment w:val="auto"/>
        <w:rPr>
          <w:rStyle w:val="20"/>
          <w:rFonts w:hint="eastAsia" w:ascii="仿宋_GB2312" w:hAnsi="仿宋_GB2312" w:eastAsia="仿宋_GB2312" w:cs="仿宋_GB2312"/>
          <w:b w:val="0"/>
          <w:bCs w:val="0"/>
          <w:color w:val="auto"/>
          <w:sz w:val="32"/>
          <w:szCs w:val="32"/>
          <w:highlight w:val="none"/>
        </w:rPr>
      </w:pPr>
      <w:r>
        <w:rPr>
          <w:rStyle w:val="20"/>
          <w:rFonts w:hint="eastAsia" w:ascii="仿宋_GB2312" w:hAnsi="仿宋_GB2312" w:eastAsia="仿宋_GB2312" w:cs="仿宋_GB2312"/>
          <w:b w:val="0"/>
          <w:bCs w:val="0"/>
          <w:color w:val="auto"/>
          <w:sz w:val="32"/>
          <w:szCs w:val="32"/>
          <w:highlight w:val="none"/>
        </w:rPr>
        <w:t>三、</w:t>
      </w:r>
      <w:r>
        <w:rPr>
          <w:rFonts w:hint="eastAsia" w:ascii="仿宋_GB2312" w:hAnsi="仿宋_GB2312" w:eastAsia="仿宋_GB2312" w:cs="仿宋_GB2312"/>
          <w:b w:val="0"/>
          <w:color w:val="auto"/>
          <w:sz w:val="32"/>
          <w:szCs w:val="32"/>
          <w:highlight w:val="none"/>
        </w:rPr>
        <w:t>支</w:t>
      </w:r>
      <w:r>
        <w:rPr>
          <w:rStyle w:val="20"/>
          <w:rFonts w:hint="eastAsia" w:ascii="仿宋_GB2312" w:hAnsi="仿宋_GB2312" w:eastAsia="仿宋_GB2312" w:cs="仿宋_GB2312"/>
          <w:b w:val="0"/>
          <w:bCs w:val="0"/>
          <w:color w:val="auto"/>
          <w:sz w:val="32"/>
          <w:szCs w:val="32"/>
          <w:highlight w:val="none"/>
        </w:rPr>
        <w:t>出决算表</w:t>
      </w:r>
      <w:bookmarkEnd w:id="63"/>
      <w:bookmarkStart w:id="64" w:name="_Toc15396622"/>
    </w:p>
    <w:p w14:paraId="0A089100">
      <w:pPr>
        <w:pageBreakBefore w:val="0"/>
        <w:widowControl/>
        <w:kinsoku/>
        <w:wordWrap/>
        <w:overflowPunct/>
        <w:topLinePunct w:val="0"/>
        <w:autoSpaceDE/>
        <w:autoSpaceDN/>
        <w:bidi w:val="0"/>
        <w:adjustRightInd/>
        <w:snapToGrid/>
        <w:spacing w:line="600" w:lineRule="exact"/>
        <w:ind w:firstLine="640" w:firstLineChars="200"/>
        <w:jc w:val="left"/>
        <w:textAlignment w:val="auto"/>
        <w:rPr>
          <w:rStyle w:val="20"/>
          <w:rFonts w:hint="eastAsia" w:ascii="仿宋_GB2312" w:hAnsi="仿宋_GB2312" w:eastAsia="仿宋_GB2312" w:cs="仿宋_GB2312"/>
          <w:b w:val="0"/>
          <w:bCs w:val="0"/>
          <w:color w:val="auto"/>
          <w:sz w:val="32"/>
          <w:szCs w:val="32"/>
          <w:highlight w:val="none"/>
        </w:rPr>
      </w:pPr>
      <w:r>
        <w:rPr>
          <w:rStyle w:val="20"/>
          <w:rFonts w:hint="eastAsia" w:ascii="仿宋_GB2312" w:hAnsi="仿宋_GB2312" w:eastAsia="仿宋_GB2312" w:cs="仿宋_GB2312"/>
          <w:b w:val="0"/>
          <w:bCs w:val="0"/>
          <w:color w:val="auto"/>
          <w:sz w:val="32"/>
          <w:szCs w:val="32"/>
          <w:highlight w:val="none"/>
        </w:rPr>
        <w:t>四、</w:t>
      </w:r>
      <w:r>
        <w:rPr>
          <w:rFonts w:hint="eastAsia" w:ascii="仿宋_GB2312" w:hAnsi="仿宋_GB2312" w:eastAsia="仿宋_GB2312" w:cs="仿宋_GB2312"/>
          <w:b w:val="0"/>
          <w:color w:val="auto"/>
          <w:sz w:val="32"/>
          <w:szCs w:val="32"/>
          <w:highlight w:val="none"/>
        </w:rPr>
        <w:t>财</w:t>
      </w:r>
      <w:r>
        <w:rPr>
          <w:rStyle w:val="20"/>
          <w:rFonts w:hint="eastAsia" w:ascii="仿宋_GB2312" w:hAnsi="仿宋_GB2312" w:eastAsia="仿宋_GB2312" w:cs="仿宋_GB2312"/>
          <w:b w:val="0"/>
          <w:bCs w:val="0"/>
          <w:color w:val="auto"/>
          <w:sz w:val="32"/>
          <w:szCs w:val="32"/>
          <w:highlight w:val="none"/>
        </w:rPr>
        <w:t>政拨款收入支出决算总表</w:t>
      </w:r>
      <w:bookmarkEnd w:id="64"/>
      <w:bookmarkStart w:id="65" w:name="_Toc15396623"/>
    </w:p>
    <w:p w14:paraId="632409FC">
      <w:pPr>
        <w:pageBreakBefore w:val="0"/>
        <w:widowControl/>
        <w:kinsoku/>
        <w:wordWrap/>
        <w:overflowPunct/>
        <w:topLinePunct w:val="0"/>
        <w:autoSpaceDE/>
        <w:autoSpaceDN/>
        <w:bidi w:val="0"/>
        <w:adjustRightInd/>
        <w:snapToGrid/>
        <w:spacing w:line="600" w:lineRule="exact"/>
        <w:ind w:firstLine="640" w:firstLineChars="200"/>
        <w:jc w:val="left"/>
        <w:textAlignment w:val="auto"/>
        <w:rPr>
          <w:rStyle w:val="20"/>
          <w:rFonts w:hint="eastAsia" w:ascii="仿宋_GB2312" w:hAnsi="仿宋_GB2312" w:eastAsia="仿宋_GB2312" w:cs="仿宋_GB2312"/>
          <w:b w:val="0"/>
          <w:bCs w:val="0"/>
          <w:color w:val="auto"/>
          <w:sz w:val="32"/>
          <w:szCs w:val="32"/>
          <w:highlight w:val="none"/>
        </w:rPr>
      </w:pPr>
      <w:r>
        <w:rPr>
          <w:rStyle w:val="20"/>
          <w:rFonts w:hint="eastAsia" w:ascii="仿宋_GB2312" w:hAnsi="仿宋_GB2312" w:eastAsia="仿宋_GB2312" w:cs="仿宋_GB2312"/>
          <w:b w:val="0"/>
          <w:bCs w:val="0"/>
          <w:color w:val="auto"/>
          <w:sz w:val="32"/>
          <w:szCs w:val="32"/>
          <w:highlight w:val="none"/>
        </w:rPr>
        <w:t>五、</w:t>
      </w:r>
      <w:r>
        <w:rPr>
          <w:rFonts w:hint="eastAsia" w:ascii="仿宋_GB2312" w:hAnsi="仿宋_GB2312" w:eastAsia="仿宋_GB2312" w:cs="仿宋_GB2312"/>
          <w:b w:val="0"/>
          <w:color w:val="auto"/>
          <w:sz w:val="32"/>
          <w:szCs w:val="32"/>
          <w:highlight w:val="none"/>
        </w:rPr>
        <w:t>财</w:t>
      </w:r>
      <w:r>
        <w:rPr>
          <w:rStyle w:val="20"/>
          <w:rFonts w:hint="eastAsia" w:ascii="仿宋_GB2312" w:hAnsi="仿宋_GB2312" w:eastAsia="仿宋_GB2312" w:cs="仿宋_GB2312"/>
          <w:b w:val="0"/>
          <w:bCs w:val="0"/>
          <w:color w:val="auto"/>
          <w:sz w:val="32"/>
          <w:szCs w:val="32"/>
          <w:highlight w:val="none"/>
        </w:rPr>
        <w:t>政拨款支出决算明细表</w:t>
      </w:r>
      <w:bookmarkEnd w:id="65"/>
      <w:bookmarkStart w:id="66" w:name="_Toc15396624"/>
    </w:p>
    <w:p w14:paraId="7A2E4486">
      <w:pPr>
        <w:pageBreakBefore w:val="0"/>
        <w:widowControl/>
        <w:kinsoku/>
        <w:wordWrap/>
        <w:overflowPunct/>
        <w:topLinePunct w:val="0"/>
        <w:autoSpaceDE/>
        <w:autoSpaceDN/>
        <w:bidi w:val="0"/>
        <w:adjustRightInd/>
        <w:snapToGrid/>
        <w:spacing w:line="600" w:lineRule="exact"/>
        <w:ind w:firstLine="640" w:firstLineChars="200"/>
        <w:jc w:val="left"/>
        <w:textAlignment w:val="auto"/>
        <w:rPr>
          <w:rStyle w:val="20"/>
          <w:rFonts w:hint="eastAsia" w:ascii="仿宋_GB2312" w:hAnsi="仿宋_GB2312" w:eastAsia="仿宋_GB2312" w:cs="仿宋_GB2312"/>
          <w:b w:val="0"/>
          <w:bCs w:val="0"/>
          <w:color w:val="auto"/>
          <w:sz w:val="32"/>
          <w:szCs w:val="32"/>
          <w:highlight w:val="none"/>
        </w:rPr>
      </w:pPr>
      <w:r>
        <w:rPr>
          <w:rStyle w:val="20"/>
          <w:rFonts w:hint="eastAsia" w:ascii="仿宋_GB2312" w:hAnsi="仿宋_GB2312" w:eastAsia="仿宋_GB2312" w:cs="仿宋_GB2312"/>
          <w:b w:val="0"/>
          <w:bCs w:val="0"/>
          <w:color w:val="auto"/>
          <w:sz w:val="32"/>
          <w:szCs w:val="32"/>
          <w:highlight w:val="none"/>
        </w:rPr>
        <w:t>六、</w:t>
      </w:r>
      <w:r>
        <w:rPr>
          <w:rFonts w:hint="eastAsia" w:ascii="仿宋_GB2312" w:hAnsi="仿宋_GB2312" w:eastAsia="仿宋_GB2312" w:cs="仿宋_GB2312"/>
          <w:b w:val="0"/>
          <w:color w:val="auto"/>
          <w:sz w:val="32"/>
          <w:szCs w:val="32"/>
          <w:highlight w:val="none"/>
        </w:rPr>
        <w:t>一</w:t>
      </w:r>
      <w:r>
        <w:rPr>
          <w:rStyle w:val="20"/>
          <w:rFonts w:hint="eastAsia" w:ascii="仿宋_GB2312" w:hAnsi="仿宋_GB2312" w:eastAsia="仿宋_GB2312" w:cs="仿宋_GB2312"/>
          <w:b w:val="0"/>
          <w:bCs w:val="0"/>
          <w:color w:val="auto"/>
          <w:sz w:val="32"/>
          <w:szCs w:val="32"/>
          <w:highlight w:val="none"/>
        </w:rPr>
        <w:t>般公共预算财政拨款支出决算表</w:t>
      </w:r>
      <w:bookmarkEnd w:id="66"/>
      <w:bookmarkStart w:id="67" w:name="_Toc15396625"/>
    </w:p>
    <w:p w14:paraId="6CAF8D5D">
      <w:pPr>
        <w:pageBreakBefore w:val="0"/>
        <w:widowControl/>
        <w:kinsoku/>
        <w:wordWrap/>
        <w:overflowPunct/>
        <w:topLinePunct w:val="0"/>
        <w:autoSpaceDE/>
        <w:autoSpaceDN/>
        <w:bidi w:val="0"/>
        <w:adjustRightInd/>
        <w:snapToGrid/>
        <w:spacing w:line="600" w:lineRule="exact"/>
        <w:ind w:firstLine="640" w:firstLineChars="200"/>
        <w:jc w:val="left"/>
        <w:textAlignment w:val="auto"/>
        <w:rPr>
          <w:rStyle w:val="20"/>
          <w:rFonts w:hint="eastAsia" w:ascii="仿宋_GB2312" w:hAnsi="仿宋_GB2312" w:eastAsia="仿宋_GB2312" w:cs="仿宋_GB2312"/>
          <w:b w:val="0"/>
          <w:bCs w:val="0"/>
          <w:color w:val="auto"/>
          <w:sz w:val="32"/>
          <w:szCs w:val="32"/>
          <w:highlight w:val="none"/>
        </w:rPr>
      </w:pPr>
      <w:r>
        <w:rPr>
          <w:rStyle w:val="20"/>
          <w:rFonts w:hint="eastAsia" w:ascii="仿宋_GB2312" w:hAnsi="仿宋_GB2312" w:eastAsia="仿宋_GB2312" w:cs="仿宋_GB2312"/>
          <w:b w:val="0"/>
          <w:bCs w:val="0"/>
          <w:color w:val="auto"/>
          <w:sz w:val="32"/>
          <w:szCs w:val="32"/>
          <w:highlight w:val="none"/>
        </w:rPr>
        <w:t>七、</w:t>
      </w:r>
      <w:r>
        <w:rPr>
          <w:rFonts w:hint="eastAsia" w:ascii="仿宋_GB2312" w:hAnsi="仿宋_GB2312" w:eastAsia="仿宋_GB2312" w:cs="仿宋_GB2312"/>
          <w:b w:val="0"/>
          <w:color w:val="auto"/>
          <w:sz w:val="32"/>
          <w:szCs w:val="32"/>
          <w:highlight w:val="none"/>
        </w:rPr>
        <w:t>一</w:t>
      </w:r>
      <w:r>
        <w:rPr>
          <w:rStyle w:val="20"/>
          <w:rFonts w:hint="eastAsia" w:ascii="仿宋_GB2312" w:hAnsi="仿宋_GB2312" w:eastAsia="仿宋_GB2312" w:cs="仿宋_GB2312"/>
          <w:b w:val="0"/>
          <w:bCs w:val="0"/>
          <w:color w:val="auto"/>
          <w:sz w:val="32"/>
          <w:szCs w:val="32"/>
          <w:highlight w:val="none"/>
        </w:rPr>
        <w:t>般公共预算财政拨款支出决算明细表</w:t>
      </w:r>
      <w:bookmarkEnd w:id="67"/>
      <w:bookmarkStart w:id="68" w:name="_Toc15396626"/>
    </w:p>
    <w:p w14:paraId="5B466430">
      <w:pPr>
        <w:pageBreakBefore w:val="0"/>
        <w:widowControl/>
        <w:kinsoku/>
        <w:wordWrap/>
        <w:overflowPunct/>
        <w:topLinePunct w:val="0"/>
        <w:autoSpaceDE/>
        <w:autoSpaceDN/>
        <w:bidi w:val="0"/>
        <w:adjustRightInd/>
        <w:snapToGrid/>
        <w:spacing w:line="600" w:lineRule="exact"/>
        <w:ind w:firstLine="640" w:firstLineChars="200"/>
        <w:jc w:val="left"/>
        <w:textAlignment w:val="auto"/>
        <w:rPr>
          <w:rStyle w:val="20"/>
          <w:rFonts w:hint="eastAsia" w:ascii="仿宋_GB2312" w:hAnsi="仿宋_GB2312" w:eastAsia="仿宋_GB2312" w:cs="仿宋_GB2312"/>
          <w:b w:val="0"/>
          <w:bCs w:val="0"/>
          <w:color w:val="auto"/>
          <w:sz w:val="32"/>
          <w:szCs w:val="32"/>
          <w:highlight w:val="none"/>
        </w:rPr>
      </w:pPr>
      <w:r>
        <w:rPr>
          <w:rStyle w:val="20"/>
          <w:rFonts w:hint="eastAsia" w:ascii="仿宋_GB2312" w:hAnsi="仿宋_GB2312" w:eastAsia="仿宋_GB2312" w:cs="仿宋_GB2312"/>
          <w:b w:val="0"/>
          <w:bCs w:val="0"/>
          <w:color w:val="auto"/>
          <w:sz w:val="32"/>
          <w:szCs w:val="32"/>
          <w:highlight w:val="none"/>
        </w:rPr>
        <w:t>八、</w:t>
      </w:r>
      <w:r>
        <w:rPr>
          <w:rFonts w:hint="eastAsia" w:ascii="仿宋_GB2312" w:hAnsi="仿宋_GB2312" w:eastAsia="仿宋_GB2312" w:cs="仿宋_GB2312"/>
          <w:b w:val="0"/>
          <w:color w:val="auto"/>
          <w:sz w:val="32"/>
          <w:szCs w:val="32"/>
          <w:highlight w:val="none"/>
        </w:rPr>
        <w:t>一</w:t>
      </w:r>
      <w:r>
        <w:rPr>
          <w:rStyle w:val="20"/>
          <w:rFonts w:hint="eastAsia" w:ascii="仿宋_GB2312" w:hAnsi="仿宋_GB2312" w:eastAsia="仿宋_GB2312" w:cs="仿宋_GB2312"/>
          <w:b w:val="0"/>
          <w:bCs w:val="0"/>
          <w:color w:val="auto"/>
          <w:sz w:val="32"/>
          <w:szCs w:val="32"/>
          <w:highlight w:val="none"/>
        </w:rPr>
        <w:t>般公共预算财政拨款基本支出决算表</w:t>
      </w:r>
      <w:bookmarkEnd w:id="68"/>
      <w:bookmarkStart w:id="69" w:name="_Toc15396627"/>
    </w:p>
    <w:p w14:paraId="1AA45F8C">
      <w:pPr>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color w:val="auto"/>
          <w:sz w:val="32"/>
          <w:szCs w:val="32"/>
          <w:highlight w:val="none"/>
        </w:rPr>
      </w:pPr>
      <w:r>
        <w:rPr>
          <w:rStyle w:val="20"/>
          <w:rFonts w:hint="eastAsia" w:ascii="仿宋_GB2312" w:hAnsi="仿宋_GB2312" w:eastAsia="仿宋_GB2312" w:cs="仿宋_GB2312"/>
          <w:b w:val="0"/>
          <w:bCs w:val="0"/>
          <w:color w:val="auto"/>
          <w:sz w:val="32"/>
          <w:szCs w:val="32"/>
          <w:highlight w:val="none"/>
        </w:rPr>
        <w:t>九、</w:t>
      </w:r>
      <w:r>
        <w:rPr>
          <w:rFonts w:hint="eastAsia" w:ascii="仿宋_GB2312" w:hAnsi="仿宋_GB2312" w:eastAsia="仿宋_GB2312" w:cs="仿宋_GB2312"/>
          <w:b w:val="0"/>
          <w:color w:val="auto"/>
          <w:sz w:val="32"/>
          <w:szCs w:val="32"/>
          <w:highlight w:val="none"/>
        </w:rPr>
        <w:t>一</w:t>
      </w:r>
      <w:r>
        <w:rPr>
          <w:rStyle w:val="20"/>
          <w:rFonts w:hint="eastAsia" w:ascii="仿宋_GB2312" w:hAnsi="仿宋_GB2312" w:eastAsia="仿宋_GB2312" w:cs="仿宋_GB2312"/>
          <w:b w:val="0"/>
          <w:bCs w:val="0"/>
          <w:color w:val="auto"/>
          <w:sz w:val="32"/>
          <w:szCs w:val="32"/>
          <w:highlight w:val="none"/>
        </w:rPr>
        <w:t>般公共预算财政拨款项目支出决算表</w:t>
      </w:r>
      <w:bookmarkEnd w:id="69"/>
    </w:p>
    <w:p w14:paraId="27536481">
      <w:pPr>
        <w:pStyle w:val="4"/>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color w:val="auto"/>
          <w:sz w:val="32"/>
          <w:szCs w:val="32"/>
          <w:highlight w:val="none"/>
        </w:rPr>
      </w:pPr>
      <w:bookmarkStart w:id="70" w:name="_Toc15396628"/>
      <w:r>
        <w:rPr>
          <w:rStyle w:val="20"/>
          <w:rFonts w:hint="eastAsia" w:ascii="仿宋_GB2312" w:hAnsi="仿宋_GB2312" w:eastAsia="仿宋_GB2312" w:cs="仿宋_GB2312"/>
          <w:b w:val="0"/>
          <w:bCs w:val="0"/>
          <w:color w:val="auto"/>
          <w:sz w:val="32"/>
          <w:szCs w:val="32"/>
          <w:highlight w:val="none"/>
        </w:rPr>
        <w:t>十、</w:t>
      </w:r>
      <w:bookmarkEnd w:id="70"/>
      <w:r>
        <w:rPr>
          <w:rFonts w:hint="eastAsia" w:ascii="仿宋_GB2312" w:hAnsi="仿宋_GB2312" w:eastAsia="仿宋_GB2312" w:cs="仿宋_GB2312"/>
          <w:b w:val="0"/>
          <w:color w:val="auto"/>
          <w:sz w:val="32"/>
          <w:szCs w:val="32"/>
          <w:highlight w:val="none"/>
        </w:rPr>
        <w:t>政</w:t>
      </w:r>
      <w:r>
        <w:rPr>
          <w:rStyle w:val="20"/>
          <w:rFonts w:hint="eastAsia" w:ascii="仿宋_GB2312" w:hAnsi="仿宋_GB2312" w:eastAsia="仿宋_GB2312" w:cs="仿宋_GB2312"/>
          <w:b w:val="0"/>
          <w:bCs w:val="0"/>
          <w:color w:val="auto"/>
          <w:sz w:val="32"/>
          <w:szCs w:val="32"/>
          <w:highlight w:val="none"/>
        </w:rPr>
        <w:t>府性基金预算财政拨款收入支出决算表</w:t>
      </w:r>
    </w:p>
    <w:p w14:paraId="465CD89E">
      <w:pPr>
        <w:pStyle w:val="4"/>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color w:val="auto"/>
          <w:sz w:val="32"/>
          <w:szCs w:val="32"/>
          <w:highlight w:val="none"/>
        </w:rPr>
      </w:pPr>
      <w:bookmarkStart w:id="71" w:name="_Toc15396629"/>
      <w:r>
        <w:rPr>
          <w:rStyle w:val="20"/>
          <w:rFonts w:hint="eastAsia" w:ascii="仿宋_GB2312" w:hAnsi="仿宋_GB2312" w:eastAsia="仿宋_GB2312" w:cs="仿宋_GB2312"/>
          <w:b w:val="0"/>
          <w:bCs w:val="0"/>
          <w:color w:val="auto"/>
          <w:sz w:val="32"/>
          <w:szCs w:val="32"/>
          <w:highlight w:val="none"/>
        </w:rPr>
        <w:t>十一、</w:t>
      </w:r>
      <w:bookmarkEnd w:id="71"/>
      <w:r>
        <w:rPr>
          <w:rFonts w:hint="eastAsia" w:ascii="仿宋_GB2312" w:hAnsi="仿宋_GB2312" w:eastAsia="仿宋_GB2312" w:cs="仿宋_GB2312"/>
          <w:b w:val="0"/>
          <w:color w:val="auto"/>
          <w:sz w:val="32"/>
          <w:szCs w:val="32"/>
          <w:highlight w:val="none"/>
        </w:rPr>
        <w:t>国</w:t>
      </w:r>
      <w:r>
        <w:rPr>
          <w:rStyle w:val="20"/>
          <w:rFonts w:hint="eastAsia" w:ascii="仿宋_GB2312" w:hAnsi="仿宋_GB2312" w:eastAsia="仿宋_GB2312" w:cs="仿宋_GB2312"/>
          <w:b w:val="0"/>
          <w:bCs w:val="0"/>
          <w:color w:val="auto"/>
          <w:sz w:val="32"/>
          <w:szCs w:val="32"/>
          <w:highlight w:val="none"/>
        </w:rPr>
        <w:t>有资本经营预算</w:t>
      </w:r>
      <w:r>
        <w:rPr>
          <w:rStyle w:val="20"/>
          <w:rFonts w:hint="eastAsia" w:ascii="仿宋_GB2312" w:hAnsi="仿宋_GB2312" w:eastAsia="仿宋_GB2312" w:cs="仿宋_GB2312"/>
          <w:b w:val="0"/>
          <w:bCs w:val="0"/>
          <w:color w:val="auto"/>
          <w:sz w:val="32"/>
          <w:szCs w:val="32"/>
          <w:highlight w:val="none"/>
          <w:lang w:eastAsia="zh-CN"/>
        </w:rPr>
        <w:t>财政拨款收入</w:t>
      </w:r>
      <w:r>
        <w:rPr>
          <w:rStyle w:val="20"/>
          <w:rFonts w:hint="eastAsia" w:ascii="仿宋_GB2312" w:hAnsi="仿宋_GB2312" w:eastAsia="仿宋_GB2312" w:cs="仿宋_GB2312"/>
          <w:b w:val="0"/>
          <w:bCs w:val="0"/>
          <w:color w:val="auto"/>
          <w:sz w:val="32"/>
          <w:szCs w:val="32"/>
          <w:highlight w:val="none"/>
        </w:rPr>
        <w:t>支出决算表</w:t>
      </w:r>
    </w:p>
    <w:p w14:paraId="2ABFF42F">
      <w:pPr>
        <w:pStyle w:val="4"/>
        <w:pageBreakBefore w:val="0"/>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color w:val="auto"/>
          <w:sz w:val="32"/>
          <w:szCs w:val="32"/>
          <w:highlight w:val="none"/>
        </w:rPr>
      </w:pPr>
      <w:bookmarkStart w:id="72" w:name="_Toc15396630"/>
      <w:r>
        <w:rPr>
          <w:rStyle w:val="20"/>
          <w:rFonts w:hint="eastAsia" w:ascii="仿宋_GB2312" w:hAnsi="仿宋_GB2312" w:eastAsia="仿宋_GB2312" w:cs="仿宋_GB2312"/>
          <w:b w:val="0"/>
          <w:bCs w:val="0"/>
          <w:color w:val="auto"/>
          <w:sz w:val="32"/>
          <w:szCs w:val="32"/>
          <w:highlight w:val="none"/>
        </w:rPr>
        <w:t>十二、</w:t>
      </w:r>
      <w:bookmarkEnd w:id="72"/>
      <w:r>
        <w:rPr>
          <w:rStyle w:val="20"/>
          <w:rFonts w:hint="eastAsia" w:ascii="仿宋_GB2312" w:hAnsi="仿宋_GB2312" w:eastAsia="仿宋_GB2312" w:cs="仿宋_GB2312"/>
          <w:b w:val="0"/>
          <w:bCs w:val="0"/>
          <w:color w:val="auto"/>
          <w:sz w:val="32"/>
          <w:szCs w:val="32"/>
          <w:highlight w:val="none"/>
          <w:lang w:eastAsia="zh-CN"/>
        </w:rPr>
        <w:t>国有资本经营预算财政拨款支出决算表</w:t>
      </w:r>
    </w:p>
    <w:p w14:paraId="1FB839FF">
      <w:pPr>
        <w:pStyle w:val="4"/>
        <w:pageBreakBefore w:val="0"/>
        <w:kinsoku/>
        <w:wordWrap/>
        <w:overflowPunct/>
        <w:topLinePunct w:val="0"/>
        <w:autoSpaceDE/>
        <w:autoSpaceDN/>
        <w:bidi w:val="0"/>
        <w:adjustRightInd/>
        <w:snapToGrid/>
        <w:spacing w:line="600" w:lineRule="exact"/>
        <w:ind w:firstLine="640" w:firstLineChars="200"/>
        <w:jc w:val="left"/>
        <w:textAlignment w:val="auto"/>
        <w:rPr>
          <w:rStyle w:val="20"/>
          <w:rFonts w:hint="eastAsia" w:ascii="仿宋_GB2312" w:hAnsi="仿宋_GB2312" w:eastAsia="仿宋_GB2312" w:cs="仿宋_GB2312"/>
          <w:b w:val="0"/>
          <w:bCs w:val="0"/>
          <w:color w:val="auto"/>
          <w:sz w:val="32"/>
          <w:szCs w:val="32"/>
          <w:highlight w:val="none"/>
          <w:lang w:eastAsia="zh-CN"/>
        </w:rPr>
      </w:pPr>
      <w:bookmarkStart w:id="73" w:name="_Toc15396631"/>
      <w:r>
        <w:rPr>
          <w:rStyle w:val="20"/>
          <w:rFonts w:hint="eastAsia" w:ascii="仿宋_GB2312" w:hAnsi="仿宋_GB2312" w:eastAsia="仿宋_GB2312" w:cs="仿宋_GB2312"/>
          <w:b w:val="0"/>
          <w:bCs w:val="0"/>
          <w:color w:val="auto"/>
          <w:sz w:val="32"/>
          <w:szCs w:val="32"/>
          <w:highlight w:val="none"/>
        </w:rPr>
        <w:t>十三、</w:t>
      </w:r>
      <w:bookmarkEnd w:id="73"/>
      <w:r>
        <w:rPr>
          <w:rStyle w:val="20"/>
          <w:rFonts w:hint="eastAsia" w:ascii="仿宋_GB2312" w:hAnsi="仿宋_GB2312" w:eastAsia="仿宋_GB2312" w:cs="仿宋_GB2312"/>
          <w:b w:val="0"/>
          <w:bCs w:val="0"/>
          <w:color w:val="auto"/>
          <w:sz w:val="32"/>
          <w:szCs w:val="32"/>
          <w:highlight w:val="none"/>
          <w:lang w:eastAsia="zh-CN"/>
        </w:rPr>
        <w:t>财政拨款“三公”经费支出决算表</w:t>
      </w:r>
    </w:p>
    <w:p w14:paraId="655EBEA7">
      <w:pPr>
        <w:pStyle w:val="5"/>
        <w:rPr>
          <w:rFonts w:hint="eastAsia"/>
          <w:lang w:eastAsia="zh-CN"/>
        </w:rPr>
      </w:pPr>
    </w:p>
    <w:p w14:paraId="409C4EC6">
      <w:pPr>
        <w:pStyle w:val="5"/>
        <w:rPr>
          <w:rFonts w:hint="eastAsia"/>
          <w:lang w:eastAsia="zh-CN"/>
        </w:rPr>
      </w:pPr>
    </w:p>
    <w:p w14:paraId="3D81F054">
      <w:pPr>
        <w:rPr>
          <w:rFonts w:hint="eastAsia"/>
          <w:lang w:eastAsia="zh-CN"/>
        </w:rPr>
      </w:pPr>
    </w:p>
    <w:p w14:paraId="29A4E45F">
      <w:pPr>
        <w:pStyle w:val="5"/>
        <w:rPr>
          <w:rFonts w:hint="eastAsia"/>
          <w:lang w:eastAsia="zh-CN"/>
        </w:rPr>
      </w:pPr>
    </w:p>
    <w:p w14:paraId="2FAE59F9">
      <w:pPr>
        <w:rPr>
          <w:rFonts w:hint="eastAsia"/>
          <w:lang w:eastAsia="zh-CN"/>
        </w:rPr>
      </w:pPr>
    </w:p>
    <w:p w14:paraId="50C6A14C">
      <w:pPr>
        <w:pStyle w:val="5"/>
        <w:rPr>
          <w:rFonts w:hint="eastAsia"/>
          <w:lang w:eastAsia="zh-CN"/>
        </w:rPr>
      </w:pPr>
    </w:p>
    <w:p w14:paraId="5A7AF21B">
      <w:pPr>
        <w:rPr>
          <w:rFonts w:hint="eastAsia"/>
          <w:lang w:eastAsia="zh-CN"/>
        </w:rPr>
      </w:pPr>
    </w:p>
    <w:p w14:paraId="00BA9ED1">
      <w:pPr>
        <w:rPr>
          <w:rFonts w:hint="eastAsia"/>
          <w:lang w:eastAsia="zh-CN"/>
        </w:rPr>
      </w:pPr>
    </w:p>
    <w:p w14:paraId="53CCE76C">
      <w:pPr>
        <w:pStyle w:val="5"/>
        <w:rPr>
          <w:rFonts w:hint="eastAsia"/>
          <w:lang w:eastAsia="zh-CN"/>
        </w:rPr>
      </w:pPr>
    </w:p>
    <w:p w14:paraId="1EDCF626">
      <w:pPr>
        <w:pStyle w:val="5"/>
        <w:rPr>
          <w:rFonts w:hint="eastAsia"/>
          <w:lang w:eastAsia="zh-CN"/>
        </w:rPr>
      </w:pPr>
    </w:p>
    <w:p w14:paraId="282D087B">
      <w:pPr>
        <w:pStyle w:val="5"/>
        <w:rPr>
          <w:rFonts w:hint="eastAsia"/>
          <w:lang w:eastAsia="zh-CN"/>
        </w:rPr>
      </w:pPr>
    </w:p>
    <w:p w14:paraId="0BEB137A">
      <w:pPr>
        <w:rPr>
          <w:rFonts w:hint="eastAsia"/>
          <w:lang w:eastAsia="zh-CN"/>
        </w:rPr>
      </w:pPr>
    </w:p>
    <w:p w14:paraId="35948001">
      <w:pPr>
        <w:pStyle w:val="5"/>
        <w:rPr>
          <w:rFonts w:hint="eastAsia"/>
          <w:lang w:eastAsia="zh-CN"/>
        </w:rPr>
      </w:pPr>
    </w:p>
    <w:p w14:paraId="53DA8FC8">
      <w:pPr>
        <w:pStyle w:val="5"/>
        <w:rPr>
          <w:rFonts w:hint="eastAsia"/>
          <w:lang w:eastAsia="zh-CN"/>
        </w:rPr>
      </w:pPr>
    </w:p>
    <w:p w14:paraId="752ACD15">
      <w:pPr>
        <w:rPr>
          <w:rFonts w:hint="eastAsia"/>
          <w:lang w:eastAsia="zh-CN"/>
        </w:rPr>
      </w:pPr>
    </w:p>
    <w:p w14:paraId="2921427C">
      <w:pPr>
        <w:pStyle w:val="5"/>
        <w:rPr>
          <w:rFonts w:hint="eastAsia"/>
          <w:lang w:eastAsia="zh-CN"/>
        </w:rPr>
      </w:pPr>
    </w:p>
    <w:p w14:paraId="72951CCB"/>
    <w:p w14:paraId="4CC95AC2">
      <w:pPr>
        <w:pStyle w:val="5"/>
      </w:pPr>
    </w:p>
    <w:p w14:paraId="15905E30"/>
    <w:p w14:paraId="3850F570">
      <w:pPr>
        <w:pStyle w:val="5"/>
      </w:pPr>
    </w:p>
    <w:p w14:paraId="700059E4"/>
    <w:p w14:paraId="588C4D4D">
      <w:pPr>
        <w:pStyle w:val="5"/>
        <w:rPr>
          <w:rFonts w:hint="eastAsia" w:eastAsia="宋体"/>
          <w:lang w:eastAsia="zh-CN"/>
        </w:rPr>
      </w:pPr>
    </w:p>
    <w:p w14:paraId="7DAA0C39">
      <w:pPr>
        <w:rPr>
          <w:rFonts w:hint="eastAsia" w:eastAsia="宋体"/>
          <w:lang w:eastAsia="zh-CN"/>
        </w:rPr>
      </w:pPr>
    </w:p>
    <w:p w14:paraId="48286750"/>
    <w:p w14:paraId="78AE44CC">
      <w:pPr>
        <w:pStyle w:val="5"/>
      </w:pPr>
    </w:p>
    <w:p w14:paraId="14BE6FFE"/>
    <w:p w14:paraId="2A3BB3A0">
      <w:pPr>
        <w:pStyle w:val="5"/>
      </w:pPr>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9C7F033-6631-4647-A90D-103ED643206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B9A5305A-C721-493D-8E18-28C929CB0828}"/>
  </w:font>
  <w:font w:name="仿宋">
    <w:panose1 w:val="02010609060101010101"/>
    <w:charset w:val="86"/>
    <w:family w:val="modern"/>
    <w:pitch w:val="default"/>
    <w:sig w:usb0="800002BF" w:usb1="38CF7CFA" w:usb2="00000016" w:usb3="00000000" w:csb0="00040001" w:csb1="00000000"/>
    <w:embedRegular r:id="rId3" w:fontKey="{80C170A6-63B4-493F-884C-CE62179D56FA}"/>
  </w:font>
  <w:font w:name="Calibri Light">
    <w:panose1 w:val="020F0302020204030204"/>
    <w:charset w:val="00"/>
    <w:family w:val="auto"/>
    <w:pitch w:val="default"/>
    <w:sig w:usb0="A00002EF" w:usb1="4000207B"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38EB1F10-8D0B-406D-AEAF-FF9601C7282D}"/>
  </w:font>
  <w:font w:name="??">
    <w:altName w:val="Times New Roman"/>
    <w:panose1 w:val="00000000000000000000"/>
    <w:charset w:val="00"/>
    <w:family w:val="roman"/>
    <w:pitch w:val="default"/>
    <w:sig w:usb0="00000000" w:usb1="00000000" w:usb2="00000000" w:usb3="00000000" w:csb0="00000000" w:csb1="00000000"/>
  </w:font>
  <w:font w:name="方正小标宋简体">
    <w:panose1 w:val="02000000000000000000"/>
    <w:charset w:val="86"/>
    <w:family w:val="script"/>
    <w:pitch w:val="default"/>
    <w:sig w:usb0="00000001" w:usb1="080E0000" w:usb2="00000000" w:usb3="00000000" w:csb0="00040000" w:csb1="00000000"/>
    <w:embedRegular r:id="rId5" w:fontKey="{BEB24928-A2C7-4A0A-8E63-4993BB11D9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3BA2D845">
        <w:pPr>
          <w:pStyle w:val="10"/>
          <w:jc w:val="center"/>
        </w:pPr>
        <w:r>
          <w:fldChar w:fldCharType="begin"/>
        </w:r>
        <w:r>
          <w:instrText xml:space="preserve">PAGE   \* MERGEFORMAT</w:instrText>
        </w:r>
        <w:r>
          <w:fldChar w:fldCharType="separate"/>
        </w:r>
        <w:r>
          <w:rPr>
            <w:lang w:val="zh-CN"/>
          </w:rPr>
          <w:t>8</w:t>
        </w:r>
        <w:r>
          <w:fldChar w:fldCharType="end"/>
        </w:r>
      </w:p>
    </w:sdtContent>
  </w:sdt>
  <w:p w14:paraId="7C43121B">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69880">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3EB7D7"/>
    <w:multiLevelType w:val="singleLevel"/>
    <w:tmpl w:val="9B3EB7D7"/>
    <w:lvl w:ilvl="0" w:tentative="0">
      <w:start w:val="2"/>
      <w:numFmt w:val="chineseCounting"/>
      <w:suff w:val="nothing"/>
      <w:lvlText w:val="%1、"/>
      <w:lvlJc w:val="left"/>
      <w:rPr>
        <w:rFonts w:hint="eastAsia"/>
      </w:rPr>
    </w:lvl>
  </w:abstractNum>
  <w:abstractNum w:abstractNumId="1">
    <w:nsid w:val="CC580F7E"/>
    <w:multiLevelType w:val="singleLevel"/>
    <w:tmpl w:val="CC580F7E"/>
    <w:lvl w:ilvl="0" w:tentative="0">
      <w:start w:val="1"/>
      <w:numFmt w:val="decimal"/>
      <w:lvlText w:val="%1."/>
      <w:lvlJc w:val="left"/>
      <w:pPr>
        <w:tabs>
          <w:tab w:val="left" w:pos="312"/>
        </w:tabs>
      </w:pPr>
    </w:lvl>
  </w:abstractNum>
  <w:abstractNum w:abstractNumId="2">
    <w:nsid w:val="ED5E0BB5"/>
    <w:multiLevelType w:val="singleLevel"/>
    <w:tmpl w:val="ED5E0BB5"/>
    <w:lvl w:ilvl="0" w:tentative="0">
      <w:start w:val="1"/>
      <w:numFmt w:val="decimal"/>
      <w:suff w:val="nothing"/>
      <w:lvlText w:val="%1、"/>
      <w:lvlJc w:val="left"/>
    </w:lvl>
  </w:abstractNum>
  <w:abstractNum w:abstractNumId="3">
    <w:nsid w:val="F6902D25"/>
    <w:multiLevelType w:val="singleLevel"/>
    <w:tmpl w:val="F6902D25"/>
    <w:lvl w:ilvl="0" w:tentative="0">
      <w:start w:val="2"/>
      <w:numFmt w:val="chineseCounting"/>
      <w:suff w:val="nothing"/>
      <w:lvlText w:val="（%1）"/>
      <w:lvlJc w:val="left"/>
      <w:rPr>
        <w:rFonts w:hint="eastAsia"/>
      </w:rPr>
    </w:lvl>
  </w:abstractNum>
  <w:abstractNum w:abstractNumId="4">
    <w:nsid w:val="FFF674BC"/>
    <w:multiLevelType w:val="singleLevel"/>
    <w:tmpl w:val="FFF674BC"/>
    <w:lvl w:ilvl="0" w:tentative="0">
      <w:start w:val="1"/>
      <w:numFmt w:val="chineseCounting"/>
      <w:suff w:val="nothing"/>
      <w:lvlText w:val="%1、"/>
      <w:lvlJc w:val="left"/>
      <w:rPr>
        <w:rFonts w:hint="eastAsia"/>
      </w:rPr>
    </w:lvl>
  </w:abstractNum>
  <w:abstractNum w:abstractNumId="5">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6">
    <w:nsid w:val="39E76F97"/>
    <w:multiLevelType w:val="singleLevel"/>
    <w:tmpl w:val="39E76F97"/>
    <w:lvl w:ilvl="0" w:tentative="0">
      <w:start w:val="5"/>
      <w:numFmt w:val="chineseCounting"/>
      <w:suff w:val="nothing"/>
      <w:lvlText w:val="%1、"/>
      <w:lvlJc w:val="left"/>
      <w:rPr>
        <w:rFonts w:hint="eastAsia"/>
      </w:rPr>
    </w:lvl>
  </w:abstractNum>
  <w:num w:numId="1">
    <w:abstractNumId w:val="0"/>
  </w:num>
  <w:num w:numId="2">
    <w:abstractNumId w:val="5"/>
  </w:num>
  <w:num w:numId="3">
    <w:abstractNumId w:val="6"/>
  </w:num>
  <w:num w:numId="4">
    <w:abstractNumId w:val="3"/>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1MjFjMDUwODIwZDg4NDczZTI5ZmU1NTQ5YzljMTkifQ=="/>
  </w:docVars>
  <w:rsids>
    <w:rsidRoot w:val="044805FB"/>
    <w:rsid w:val="034D095E"/>
    <w:rsid w:val="044805FB"/>
    <w:rsid w:val="0611346C"/>
    <w:rsid w:val="0710789B"/>
    <w:rsid w:val="075D5A96"/>
    <w:rsid w:val="0A2F22C5"/>
    <w:rsid w:val="0CE7523E"/>
    <w:rsid w:val="0E015E84"/>
    <w:rsid w:val="0E3D322C"/>
    <w:rsid w:val="0FEC4A5B"/>
    <w:rsid w:val="10AE6575"/>
    <w:rsid w:val="10B778D4"/>
    <w:rsid w:val="150D78F5"/>
    <w:rsid w:val="16567633"/>
    <w:rsid w:val="200559EA"/>
    <w:rsid w:val="24CF64F7"/>
    <w:rsid w:val="260441F6"/>
    <w:rsid w:val="29103043"/>
    <w:rsid w:val="2CD843BB"/>
    <w:rsid w:val="327F4AAF"/>
    <w:rsid w:val="32900843"/>
    <w:rsid w:val="38B67CF8"/>
    <w:rsid w:val="38CE44E5"/>
    <w:rsid w:val="39001403"/>
    <w:rsid w:val="3A183F3D"/>
    <w:rsid w:val="3E501E0B"/>
    <w:rsid w:val="4119209E"/>
    <w:rsid w:val="42495E9F"/>
    <w:rsid w:val="42516E30"/>
    <w:rsid w:val="42CA1208"/>
    <w:rsid w:val="445A2FE7"/>
    <w:rsid w:val="456F72AA"/>
    <w:rsid w:val="49BB3A35"/>
    <w:rsid w:val="4A437967"/>
    <w:rsid w:val="4B251AAE"/>
    <w:rsid w:val="4B357261"/>
    <w:rsid w:val="534A5089"/>
    <w:rsid w:val="53A83B3B"/>
    <w:rsid w:val="566D7BA2"/>
    <w:rsid w:val="5FDB1172"/>
    <w:rsid w:val="64FC5332"/>
    <w:rsid w:val="66E52431"/>
    <w:rsid w:val="693E1EC3"/>
    <w:rsid w:val="69DB0840"/>
    <w:rsid w:val="6C7800B3"/>
    <w:rsid w:val="6DCC26B1"/>
    <w:rsid w:val="73AF55C3"/>
    <w:rsid w:val="74D576F3"/>
    <w:rsid w:val="7D76389D"/>
    <w:rsid w:val="7E232352"/>
    <w:rsid w:val="7F8453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99"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qFormat/>
    <w:uiPriority w:val="9"/>
    <w:pPr>
      <w:keepNext/>
      <w:keepLines/>
      <w:spacing w:before="260" w:after="260" w:line="416" w:lineRule="auto"/>
      <w:outlineLvl w:val="2"/>
    </w:pPr>
    <w:rPr>
      <w:b/>
      <w:bCs/>
      <w:sz w:val="32"/>
      <w:szCs w:val="32"/>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Arial" w:hAnsi="Arial" w:cs="Arial"/>
      <w:b/>
      <w:bCs/>
      <w:sz w:val="32"/>
      <w:szCs w:val="32"/>
    </w:rPr>
  </w:style>
  <w:style w:type="paragraph" w:styleId="6">
    <w:name w:val="Normal Indent"/>
    <w:basedOn w:val="1"/>
    <w:qFormat/>
    <w:uiPriority w:val="99"/>
    <w:pPr>
      <w:ind w:firstLine="420" w:firstLineChars="200"/>
    </w:pPr>
  </w:style>
  <w:style w:type="paragraph" w:styleId="7">
    <w:name w:val="annotation text"/>
    <w:basedOn w:val="1"/>
    <w:qFormat/>
    <w:uiPriority w:val="0"/>
    <w:pPr>
      <w:jc w:val="left"/>
    </w:pPr>
  </w:style>
  <w:style w:type="paragraph" w:styleId="8">
    <w:name w:val="Body Text"/>
    <w:basedOn w:val="1"/>
    <w:qFormat/>
    <w:uiPriority w:val="99"/>
    <w:pPr>
      <w:spacing w:beforeLines="30"/>
    </w:pPr>
    <w:rPr>
      <w:rFonts w:ascii="仿宋_GB2312" w:eastAsia="仿宋_GB2312"/>
      <w:kern w:val="0"/>
      <w:sz w:val="30"/>
    </w:rPr>
  </w:style>
  <w:style w:type="paragraph" w:styleId="9">
    <w:name w:val="Body Text Indent"/>
    <w:basedOn w:val="1"/>
    <w:qFormat/>
    <w:uiPriority w:val="0"/>
    <w:pPr>
      <w:spacing w:after="120"/>
      <w:ind w:leftChars="200"/>
    </w:pPr>
    <w:rPr>
      <w:rFonts w:ascii="仿宋_GB2312"/>
      <w:szCs w:val="32"/>
    </w:rPr>
  </w:style>
  <w:style w:type="paragraph" w:styleId="10">
    <w:name w:val="footer"/>
    <w:basedOn w:val="1"/>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3">
    <w:name w:val="toc 2"/>
    <w:basedOn w:val="1"/>
    <w:next w:val="1"/>
    <w:unhideWhenUsed/>
    <w:qFormat/>
    <w:uiPriority w:val="39"/>
    <w:pPr>
      <w:tabs>
        <w:tab w:val="right" w:leader="dot" w:pos="8296"/>
      </w:tabs>
      <w:ind w:left="420" w:leftChars="200"/>
    </w:pPr>
  </w:style>
  <w:style w:type="paragraph" w:styleId="14">
    <w:name w:val="Body Text First Indent 2"/>
    <w:basedOn w:val="9"/>
    <w:unhideWhenUsed/>
    <w:qFormat/>
    <w:uiPriority w:val="99"/>
    <w:pPr>
      <w:ind w:firstLine="420" w:firstLineChars="200"/>
    </w:pPr>
  </w:style>
  <w:style w:type="character" w:styleId="17">
    <w:name w:val="Strong"/>
    <w:basedOn w:val="16"/>
    <w:qFormat/>
    <w:uiPriority w:val="99"/>
    <w:rPr>
      <w:b/>
    </w:rPr>
  </w:style>
  <w:style w:type="character" w:styleId="18">
    <w:name w:val="Hyperlink"/>
    <w:basedOn w:val="16"/>
    <w:unhideWhenUsed/>
    <w:qFormat/>
    <w:uiPriority w:val="99"/>
    <w:rPr>
      <w:color w:val="0563C1" w:themeColor="hyperlink"/>
      <w:u w:val="single"/>
      <w14:textFill>
        <w14:solidFill>
          <w14:schemeClr w14:val="hlink"/>
        </w14:solidFill>
      </w14:textFill>
    </w:rPr>
  </w:style>
  <w:style w:type="character" w:customStyle="1" w:styleId="19">
    <w:name w:val="标题 1 Char"/>
    <w:basedOn w:val="16"/>
    <w:link w:val="3"/>
    <w:qFormat/>
    <w:uiPriority w:val="9"/>
    <w:rPr>
      <w:b/>
      <w:bCs/>
      <w:kern w:val="44"/>
      <w:sz w:val="44"/>
      <w:szCs w:val="44"/>
    </w:rPr>
  </w:style>
  <w:style w:type="character" w:customStyle="1" w:styleId="20">
    <w:name w:val="标题 2 Char"/>
    <w:basedOn w:val="16"/>
    <w:link w:val="4"/>
    <w:qFormat/>
    <w:uiPriority w:val="9"/>
    <w:rPr>
      <w:rFonts w:asciiTheme="majorHAnsi" w:hAnsiTheme="majorHAnsi" w:eastAsiaTheme="majorEastAsia" w:cstheme="majorBidi"/>
      <w:b/>
      <w:bCs/>
      <w:sz w:val="32"/>
      <w:szCs w:val="32"/>
    </w:rPr>
  </w:style>
  <w:style w:type="paragraph" w:styleId="21">
    <w:name w:val="List Paragraph"/>
    <w:basedOn w:val="1"/>
    <w:qFormat/>
    <w:uiPriority w:val="34"/>
    <w:pPr>
      <w:ind w:firstLine="420" w:firstLineChars="200"/>
    </w:pPr>
  </w:style>
  <w:style w:type="paragraph" w:customStyle="1" w:styleId="22">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23">
    <w:name w:val="四号正文"/>
    <w:basedOn w:val="1"/>
    <w:qFormat/>
    <w:uiPriority w:val="0"/>
    <w:pPr>
      <w:spacing w:line="360" w:lineRule="auto"/>
    </w:pPr>
    <w:rPr>
      <w:rFonts w:ascii="??" w:hAnsi="??" w:eastAsia="宋体"/>
      <w:color w:val="000000"/>
      <w:kern w:val="0"/>
      <w:sz w:val="28"/>
      <w:szCs w:val="21"/>
      <w:lang w:val="zh-CN" w:eastAsia="zh-CN"/>
    </w:r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chart" Target="charts/chart6.xml"/><Relationship Id="rId11" Type="http://schemas.openxmlformats.org/officeDocument/2006/relationships/chart" Target="charts/chart5.xml"/><Relationship Id="rId10" Type="http://schemas.openxmlformats.org/officeDocument/2006/relationships/chart" Target="charts/chart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spc="0" baseline="0">
                <a:solidFill>
                  <a:srgbClr val="0000FF"/>
                </a:solidFill>
                <a:latin typeface="+mn-lt"/>
                <a:ea typeface="+mn-ea"/>
                <a:cs typeface="+mn-cs"/>
              </a:defRPr>
            </a:pPr>
            <a:r>
              <a:rPr b="1">
                <a:solidFill>
                  <a:srgbClr val="0000FF"/>
                </a:solidFill>
              </a:rPr>
              <a:t>收、支决算总计变动情况图</a:t>
            </a:r>
            <a:endParaRPr b="1">
              <a:solidFill>
                <a:srgbClr val="0000FF"/>
              </a:solidFill>
            </a:endParaRPr>
          </a:p>
          <a:p>
            <a:pPr defTabSz="914400">
              <a:defRPr lang="zh-CN" sz="1400" b="1" i="0" u="none" strike="noStrike" kern="1200" spc="0" baseline="0">
                <a:solidFill>
                  <a:srgbClr val="0000FF"/>
                </a:solidFill>
                <a:latin typeface="+mn-lt"/>
                <a:ea typeface="+mn-ea"/>
                <a:cs typeface="+mn-cs"/>
              </a:defRPr>
            </a:pPr>
            <a:endParaRPr b="1">
              <a:solidFill>
                <a:srgbClr val="0000FF"/>
              </a:solidFill>
            </a:endParaRPr>
          </a:p>
          <a:p>
            <a:pPr defTabSz="914400">
              <a:defRPr lang="zh-CN" sz="1400" b="1" i="0" u="none" strike="noStrike" kern="1200" spc="0" baseline="0">
                <a:solidFill>
                  <a:srgbClr val="0000FF"/>
                </a:solidFill>
                <a:latin typeface="+mn-lt"/>
                <a:ea typeface="+mn-ea"/>
                <a:cs typeface="+mn-cs"/>
              </a:defRPr>
            </a:pPr>
            <a:r>
              <a:rPr b="1">
                <a:solidFill>
                  <a:srgbClr val="0000FF"/>
                </a:solidFill>
              </a:rPr>
              <a:t>单位：万元</a:t>
            </a:r>
            <a:endParaRPr b="1">
              <a:solidFill>
                <a:srgbClr val="0000FF"/>
              </a:solidFill>
            </a:endParaRP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收入</c:v>
                </c:pt>
              </c:strCache>
            </c:strRef>
          </c:tx>
          <c:spPr>
            <a:solidFill>
              <a:schemeClr val="accent1"/>
            </a:solidFill>
            <a:ln>
              <a:noFill/>
            </a:ln>
            <a:effectLst/>
          </c:spPr>
          <c:invertIfNegative val="0"/>
          <c:dLbls>
            <c:delete val="1"/>
          </c:dLbls>
          <c:cat>
            <c:strRef>
              <c:f>Sheet1!$A$2:$A$3</c:f>
              <c:strCache>
                <c:ptCount val="2"/>
                <c:pt idx="0">
                  <c:v>2022年度</c:v>
                </c:pt>
                <c:pt idx="1">
                  <c:v>2023年度</c:v>
                </c:pt>
              </c:strCache>
            </c:strRef>
          </c:cat>
          <c:val>
            <c:numRef>
              <c:f>Sheet1!$B$2:$B$3</c:f>
              <c:numCache>
                <c:formatCode>General</c:formatCode>
                <c:ptCount val="2"/>
                <c:pt idx="0">
                  <c:v>425.97</c:v>
                </c:pt>
                <c:pt idx="1">
                  <c:v>479.14</c:v>
                </c:pt>
              </c:numCache>
            </c:numRef>
          </c:val>
        </c:ser>
        <c:ser>
          <c:idx val="1"/>
          <c:order val="1"/>
          <c:tx>
            <c:strRef>
              <c:f>Sheet1!$C$1</c:f>
              <c:strCache>
                <c:ptCount val="1"/>
                <c:pt idx="0">
                  <c:v>支出</c:v>
                </c:pt>
              </c:strCache>
            </c:strRef>
          </c:tx>
          <c:spPr>
            <a:solidFill>
              <a:schemeClr val="accent2"/>
            </a:solidFill>
            <a:ln>
              <a:noFill/>
            </a:ln>
            <a:effectLst/>
          </c:spPr>
          <c:invertIfNegative val="0"/>
          <c:dLbls>
            <c:delete val="1"/>
          </c:dLbls>
          <c:cat>
            <c:strRef>
              <c:f>Sheet1!$A$2:$A$3</c:f>
              <c:strCache>
                <c:ptCount val="2"/>
                <c:pt idx="0">
                  <c:v>2022年度</c:v>
                </c:pt>
                <c:pt idx="1">
                  <c:v>2023年度</c:v>
                </c:pt>
              </c:strCache>
            </c:strRef>
          </c:cat>
          <c:val>
            <c:numRef>
              <c:f>Sheet1!$C$2:$C$3</c:f>
              <c:numCache>
                <c:formatCode>General</c:formatCode>
                <c:ptCount val="2"/>
                <c:pt idx="0">
                  <c:v>425.97</c:v>
                </c:pt>
                <c:pt idx="1">
                  <c:v>479.14</c:v>
                </c:pt>
              </c:numCache>
            </c:numRef>
          </c:val>
        </c:ser>
        <c:dLbls>
          <c:showLegendKey val="0"/>
          <c:showVal val="0"/>
          <c:showCatName val="0"/>
          <c:showSerName val="0"/>
          <c:showPercent val="0"/>
          <c:showBubbleSize val="0"/>
        </c:dLbls>
        <c:gapWidth val="219"/>
        <c:overlap val="-27"/>
        <c:axId val="320522952"/>
        <c:axId val="781640751"/>
      </c:barChart>
      <c:catAx>
        <c:axId val="32052295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200" b="1" i="0" u="none" strike="noStrike" kern="1200" baseline="0">
                <a:solidFill>
                  <a:schemeClr val="tx1">
                    <a:lumMod val="65000"/>
                    <a:lumOff val="35000"/>
                  </a:schemeClr>
                </a:solidFill>
                <a:latin typeface="+mn-lt"/>
                <a:ea typeface="+mn-ea"/>
                <a:cs typeface="+mn-cs"/>
              </a:defRPr>
            </a:pPr>
          </a:p>
        </c:txPr>
        <c:crossAx val="781640751"/>
        <c:crosses val="autoZero"/>
        <c:auto val="1"/>
        <c:lblAlgn val="ctr"/>
        <c:lblOffset val="100"/>
        <c:noMultiLvlLbl val="0"/>
      </c:catAx>
      <c:valAx>
        <c:axId val="7816407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0522952"/>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legendEntry>
      <c:layout>
        <c:manualLayout>
          <c:xMode val="edge"/>
          <c:yMode val="edge"/>
          <c:x val="0.3625625"/>
          <c:y val="0.922166666666667"/>
        </c:manualLayout>
      </c:layout>
      <c:overlay val="0"/>
      <c:spPr>
        <a:noFill/>
        <a:ln>
          <a:noFill/>
        </a:ln>
        <a:effectLst/>
      </c:spPr>
      <c:txPr>
        <a:bodyPr rot="0" spcFirstLastPara="0"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0000FF"/>
                </a:solidFill>
                <a:latin typeface="+mn-lt"/>
                <a:ea typeface="+mn-ea"/>
                <a:cs typeface="+mn-cs"/>
              </a:defRPr>
            </a:pPr>
            <a:r>
              <a:rPr>
                <a:solidFill>
                  <a:srgbClr val="0000FF"/>
                </a:solidFill>
              </a:rPr>
              <a:t>收入决算结构图</a:t>
            </a:r>
            <a:endParaRPr>
              <a:solidFill>
                <a:srgbClr val="0000FF"/>
              </a:solidFill>
            </a:endParaRPr>
          </a:p>
          <a:p>
            <a:pPr defTabSz="914400">
              <a:defRPr lang="zh-CN" sz="1400" b="0" i="0" u="none" strike="noStrike" kern="1200" spc="0" baseline="0">
                <a:solidFill>
                  <a:srgbClr val="0000FF"/>
                </a:solidFill>
                <a:latin typeface="+mn-lt"/>
                <a:ea typeface="+mn-ea"/>
                <a:cs typeface="+mn-cs"/>
              </a:defRPr>
            </a:pPr>
            <a:r>
              <a:rPr altLang="zh-CN">
                <a:solidFill>
                  <a:srgbClr val="0000FF"/>
                </a:solidFill>
              </a:rPr>
              <a:t>单位：万元</a:t>
            </a:r>
            <a:endParaRPr altLang="zh-CN">
              <a:solidFill>
                <a:srgbClr val="0000FF"/>
              </a:solidFill>
            </a:endParaRPr>
          </a:p>
        </c:rich>
      </c:tx>
      <c:layout>
        <c:manualLayout>
          <c:xMode val="edge"/>
          <c:yMode val="edge"/>
          <c:x val="0.369"/>
          <c:y val="0.0241666666666667"/>
        </c:manualLayout>
      </c:layout>
      <c:overlay val="0"/>
      <c:spPr>
        <a:noFill/>
        <a:ln>
          <a:noFill/>
        </a:ln>
        <a:effectLst/>
      </c:spPr>
    </c:title>
    <c:autoTitleDeleted val="0"/>
    <c:plotArea>
      <c:layout/>
      <c:pieChart>
        <c:varyColors val="1"/>
        <c:ser>
          <c:idx val="0"/>
          <c:order val="0"/>
          <c:tx>
            <c:strRef>
              <c:f>Sheet1!$B$1</c:f>
              <c:strCache>
                <c:ptCount val="1"/>
                <c:pt idx="0">
                  <c:v>支出决算结构图  单位：万元</c:v>
                </c:pt>
              </c:strCache>
            </c:strRef>
          </c:tx>
          <c:spPr>
            <a:scene3d>
              <a:camera prst="orthographicFront"/>
              <a:lightRig rig="threePt" dir="t"/>
            </a:scene3d>
            <a:sp3d contourW="25400"/>
          </c:spPr>
          <c:explosion val="0"/>
          <c:dPt>
            <c:idx val="0"/>
            <c:bubble3D val="0"/>
            <c:spPr>
              <a:solidFill>
                <a:schemeClr val="accent1"/>
              </a:solidFill>
              <a:ln w="25400">
                <a:solidFill>
                  <a:schemeClr val="lt1"/>
                </a:solidFill>
              </a:ln>
              <a:effectLst/>
              <a:scene3d>
                <a:camera prst="orthographicFront"/>
                <a:lightRig rig="threePt" dir="t"/>
              </a:scene3d>
              <a:sp3d contourW="25400"/>
            </c:spPr>
          </c:dPt>
          <c:dPt>
            <c:idx val="1"/>
            <c:bubble3D val="0"/>
            <c:spPr>
              <a:solidFill>
                <a:schemeClr val="accent2"/>
              </a:solidFill>
              <a:ln w="25400">
                <a:solidFill>
                  <a:schemeClr val="lt1"/>
                </a:solidFill>
              </a:ln>
              <a:effectLst/>
              <a:scene3d>
                <a:camera prst="orthographicFront"/>
                <a:lightRig rig="threePt" dir="t"/>
              </a:scene3d>
              <a:sp3d contourW="25400"/>
            </c:spPr>
          </c:dPt>
          <c:dPt>
            <c:idx val="2"/>
            <c:bubble3D val="0"/>
            <c:spPr>
              <a:solidFill>
                <a:schemeClr val="accent3"/>
              </a:solidFill>
              <a:ln w="25400">
                <a:solidFill>
                  <a:schemeClr val="lt1"/>
                </a:solidFill>
              </a:ln>
              <a:effectLst/>
              <a:scene3d>
                <a:camera prst="orthographicFront"/>
                <a:lightRig rig="threePt" dir="t"/>
              </a:scene3d>
              <a:sp3d contourW="25400"/>
            </c:spPr>
          </c:dPt>
          <c:dLbls>
            <c:delete val="1"/>
          </c:dLbls>
          <c:cat>
            <c:strRef>
              <c:f>Sheet1!$A$2:$A$4</c:f>
              <c:strCache>
                <c:ptCount val="3"/>
                <c:pt idx="0">
                  <c:v>基本支出</c:v>
                </c:pt>
                <c:pt idx="1">
                  <c:v>政府性基金支出
</c:v>
                </c:pt>
                <c:pt idx="2">
                  <c:v>项目支出</c:v>
                </c:pt>
              </c:strCache>
            </c:strRef>
          </c:cat>
          <c:val>
            <c:numRef>
              <c:f>Sheet1!$B$2:$B$4</c:f>
              <c:numCache>
                <c:formatCode>General</c:formatCode>
                <c:ptCount val="3"/>
                <c:pt idx="0">
                  <c:v>381.94</c:v>
                </c:pt>
                <c:pt idx="1">
                  <c:v>54.16</c:v>
                </c:pt>
                <c:pt idx="2">
                  <c:v>43.04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accent1"/>
                </a:solidFill>
                <a:latin typeface="+mn-lt"/>
                <a:ea typeface="+mn-ea"/>
                <a:cs typeface="+mn-cs"/>
              </a:defRPr>
            </a:pPr>
            <a:r>
              <a:rPr>
                <a:solidFill>
                  <a:schemeClr val="accent1"/>
                </a:solidFill>
              </a:rPr>
              <a:t>支出决算结构图</a:t>
            </a:r>
            <a:endParaRPr>
              <a:solidFill>
                <a:schemeClr val="accent1"/>
              </a:solidFill>
            </a:endParaRPr>
          </a:p>
          <a:p>
            <a:pPr defTabSz="914400">
              <a:defRPr lang="zh-CN" sz="1400" b="0" i="0" u="none" strike="noStrike" kern="1200" spc="0" baseline="0">
                <a:solidFill>
                  <a:schemeClr val="accent1"/>
                </a:solidFill>
                <a:latin typeface="+mn-lt"/>
                <a:ea typeface="+mn-ea"/>
                <a:cs typeface="+mn-cs"/>
              </a:defRPr>
            </a:pPr>
            <a:r>
              <a:rPr>
                <a:solidFill>
                  <a:schemeClr val="accent1"/>
                </a:solidFill>
              </a:rPr>
              <a:t>单位:万元</a:t>
            </a:r>
            <a:endParaRPr>
              <a:solidFill>
                <a:schemeClr val="accent1"/>
              </a:solidFill>
            </a:endParaRPr>
          </a:p>
        </c:rich>
      </c:tx>
      <c:layout/>
      <c:overlay val="0"/>
      <c:spPr>
        <a:noFill/>
        <a:ln>
          <a:noFill/>
        </a:ln>
        <a:effectLst/>
      </c:spPr>
    </c:title>
    <c:autoTitleDeleted val="0"/>
    <c:plotArea>
      <c:layout/>
      <c:pieChart>
        <c:varyColors val="1"/>
        <c:ser>
          <c:idx val="0"/>
          <c:order val="0"/>
          <c:tx>
            <c:strRef>
              <c:f>Sheet1!$B$1</c:f>
              <c:strCache>
                <c:ptCount val="1"/>
                <c:pt idx="0">
                  <c:v>支出决算结构图单位:万元</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Sheet1!$A$2:$A$5</c:f>
              <c:strCache>
                <c:ptCount val="4"/>
                <c:pt idx="0">
                  <c:v>基本支出</c:v>
                </c:pt>
                <c:pt idx="1">
                  <c:v>项目支出</c:v>
                </c:pt>
                <c:pt idx="2">
                  <c:v>政府性基金支出</c:v>
                </c:pt>
              </c:strCache>
            </c:strRef>
          </c:cat>
          <c:val>
            <c:numRef>
              <c:f>Sheet1!$B$2:$B$5</c:f>
              <c:numCache>
                <c:formatCode>General</c:formatCode>
                <c:ptCount val="4"/>
                <c:pt idx="0">
                  <c:v>381.94</c:v>
                </c:pt>
                <c:pt idx="1">
                  <c:v>43.04</c:v>
                </c:pt>
                <c:pt idx="2">
                  <c:v>54.16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accent1"/>
                </a:solidFill>
                <a:latin typeface="+mn-lt"/>
                <a:ea typeface="+mn-ea"/>
                <a:cs typeface="+mn-cs"/>
              </a:defRPr>
            </a:pPr>
            <a:r>
              <a:rPr>
                <a:solidFill>
                  <a:schemeClr val="accent1"/>
                </a:solidFill>
              </a:rPr>
              <a:t>一般公共预算财政拨款支出</a:t>
            </a:r>
            <a:r>
              <a:rPr lang="en-US" altLang="zh-CN">
                <a:solidFill>
                  <a:schemeClr val="accent1"/>
                </a:solidFill>
              </a:rPr>
              <a:t> </a:t>
            </a:r>
            <a:endParaRPr lang="en-US" altLang="zh-CN">
              <a:solidFill>
                <a:schemeClr val="accent1"/>
              </a:solidFill>
            </a:endParaRPr>
          </a:p>
          <a:p>
            <a:pPr defTabSz="914400">
              <a:defRPr lang="zh-CN" sz="1400" b="0" i="0" u="none" strike="noStrike" kern="1200" spc="0" baseline="0">
                <a:solidFill>
                  <a:schemeClr val="accent1"/>
                </a:solidFill>
                <a:latin typeface="+mn-lt"/>
                <a:ea typeface="+mn-ea"/>
                <a:cs typeface="+mn-cs"/>
              </a:defRPr>
            </a:pPr>
            <a:r>
              <a:rPr altLang="en-US">
                <a:solidFill>
                  <a:schemeClr val="accent1"/>
                </a:solidFill>
              </a:rPr>
              <a:t>单位：万元</a:t>
            </a:r>
            <a:endParaRPr altLang="en-US">
              <a:solidFill>
                <a:schemeClr val="accent1"/>
              </a:solidFill>
            </a:endParaRPr>
          </a:p>
        </c:rich>
      </c:tx>
      <c:layout>
        <c:manualLayout>
          <c:xMode val="edge"/>
          <c:yMode val="edge"/>
          <c:x val="0.34968965617041"/>
          <c:y val="0.0312320174268694"/>
        </c:manualLayout>
      </c:layout>
      <c:overlay val="0"/>
      <c:spPr>
        <a:noFill/>
        <a:ln>
          <a:noFill/>
        </a:ln>
        <a:effectLst/>
      </c:spPr>
    </c:title>
    <c:autoTitleDeleted val="0"/>
    <c:plotArea>
      <c:layout>
        <c:manualLayout>
          <c:layoutTarget val="inner"/>
          <c:xMode val="edge"/>
          <c:yMode val="edge"/>
          <c:x val="0.0860847418383885"/>
          <c:y val="0.20792211256335"/>
          <c:w val="0.905232692752952"/>
          <c:h val="0.544065084022406"/>
        </c:manualLayout>
      </c:layout>
      <c:barChart>
        <c:barDir val="col"/>
        <c:grouping val="clustered"/>
        <c:varyColors val="0"/>
        <c:ser>
          <c:idx val="0"/>
          <c:order val="0"/>
          <c:tx>
            <c:strRef>
              <c:f>Sheet1!$B$1</c:f>
              <c:strCache>
                <c:ptCount val="1"/>
                <c:pt idx="0">
                  <c:v/>
                </c:pt>
              </c:strCache>
            </c:strRef>
          </c:tx>
          <c:spPr>
            <a:solidFill>
              <a:schemeClr val="accent2"/>
            </a:solidFill>
            <a:ln>
              <a:noFill/>
            </a:ln>
            <a:effectLst/>
          </c:spPr>
          <c:invertIfNegative val="0"/>
          <c:dLbls>
            <c:delete val="1"/>
          </c:dLbls>
          <c:cat>
            <c:strRef>
              <c:f>Sheet1!$A$2:$A$5</c:f>
              <c:strCache>
                <c:ptCount val="4"/>
                <c:pt idx="0">
                  <c:v>2022年度</c:v>
                </c:pt>
                <c:pt idx="1">
                  <c:v>2023年度</c:v>
                </c:pt>
              </c:strCache>
            </c:strRef>
          </c:cat>
          <c:val>
            <c:numRef>
              <c:f>Sheet1!$B$2:$B$5</c:f>
              <c:numCache>
                <c:formatCode>General</c:formatCode>
                <c:ptCount val="4"/>
                <c:pt idx="0">
                  <c:v>393.27</c:v>
                </c:pt>
                <c:pt idx="1">
                  <c:v>424.98</c:v>
                </c:pt>
              </c:numCache>
            </c:numRef>
          </c:val>
        </c:ser>
        <c:ser>
          <c:idx val="1"/>
          <c:order val="1"/>
          <c:tx>
            <c:strRef>
              <c:f>Sheet1!$C$1</c:f>
              <c:strCache>
                <c:ptCount val="1"/>
                <c:pt idx="0">
                  <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2022年度</c:v>
                </c:pt>
                <c:pt idx="1">
                  <c:v>2023年度</c:v>
                </c:pt>
              </c:strCache>
            </c:strRef>
          </c:cat>
          <c:val>
            <c:numRef>
              <c:f>Sheet1!$C$2:$C$5</c:f>
              <c:numCache>
                <c:formatCode>General</c:formatCode>
                <c:ptCount val="4"/>
              </c:numCache>
            </c:numRef>
          </c:val>
        </c:ser>
        <c:ser>
          <c:idx val="2"/>
          <c:order val="2"/>
          <c:tx>
            <c:strRef>
              <c:f>Sheet1!$D$1</c:f>
              <c:strCache>
                <c:ptCount val="1"/>
                <c:pt idx="0">
                  <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2022年度</c:v>
                </c:pt>
                <c:pt idx="1">
                  <c:v>2023年度</c:v>
                </c:pt>
              </c:strCache>
            </c:strRef>
          </c:cat>
          <c:val>
            <c:numRef>
              <c:f>Sheet1!$D$2:$D$5</c:f>
              <c:numCache>
                <c:formatCode>General</c:formatCode>
                <c:ptCount val="4"/>
              </c:numCache>
            </c:numRef>
          </c:val>
        </c:ser>
        <c:dLbls>
          <c:showLegendKey val="0"/>
          <c:showVal val="1"/>
          <c:showCatName val="0"/>
          <c:showSerName val="0"/>
          <c:showPercent val="0"/>
          <c:showBubbleSize val="0"/>
        </c:dLbls>
        <c:gapWidth val="219"/>
        <c:overlap val="-27"/>
        <c:axId val="39161742"/>
        <c:axId val="334538263"/>
      </c:barChart>
      <c:catAx>
        <c:axId val="3916174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4538263"/>
        <c:crosses val="autoZero"/>
        <c:auto val="1"/>
        <c:lblAlgn val="ctr"/>
        <c:lblOffset val="100"/>
        <c:noMultiLvlLbl val="0"/>
      </c:catAx>
      <c:valAx>
        <c:axId val="334538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9161742"/>
        <c:crosses val="autoZero"/>
        <c:crossBetween val="between"/>
      </c:valAx>
      <c:spPr>
        <a:noFill/>
        <a:ln>
          <a:noFill/>
        </a:ln>
        <a:effectLst/>
      </c:spPr>
    </c:plotArea>
    <c:legend>
      <c:legendPos val="b"/>
      <c:legendEntry>
        <c:idx val="1"/>
        <c:delete val="1"/>
      </c:legendEntry>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accent1"/>
              </a:solidFill>
              <a:latin typeface="+mn-lt"/>
              <a:ea typeface="+mn-ea"/>
              <a:cs typeface="+mn-cs"/>
            </a:defRPr>
          </a:pPr>
        </a:p>
      </c:txPr>
    </c:title>
    <c:autoTitleDeleted val="0"/>
    <c:plotArea>
      <c:layout/>
      <c:pieChart>
        <c:varyColors val="1"/>
        <c:ser>
          <c:idx val="0"/>
          <c:order val="0"/>
          <c:tx>
            <c:strRef>
              <c:f>Sheet1!$B$1</c:f>
              <c:strCache>
                <c:ptCount val="1"/>
                <c:pt idx="0">
                  <c:v>一般公共预算财政拨款支出结构图 单位：万元</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elete val="1"/>
          </c:dLbls>
          <c:cat>
            <c:strRef>
              <c:f>Sheet1!$A$2:$A$6</c:f>
              <c:strCache>
                <c:ptCount val="5"/>
                <c:pt idx="0">
                  <c:v>一般公共服务支出</c:v>
                </c:pt>
                <c:pt idx="1">
                  <c:v>文化旅游体育与传媒支出</c:v>
                </c:pt>
                <c:pt idx="2">
                  <c:v>社会保障和就业支出</c:v>
                </c:pt>
                <c:pt idx="3">
                  <c:v>卫生健康支出</c:v>
                </c:pt>
                <c:pt idx="4">
                  <c:v>住房保障支出</c:v>
                </c:pt>
              </c:strCache>
            </c:strRef>
          </c:cat>
          <c:val>
            <c:numRef>
              <c:f>Sheet1!$B$2:$B$6</c:f>
              <c:numCache>
                <c:formatCode>General</c:formatCode>
                <c:ptCount val="5"/>
                <c:pt idx="0">
                  <c:v>43.04</c:v>
                </c:pt>
                <c:pt idx="1">
                  <c:v>286.06</c:v>
                </c:pt>
                <c:pt idx="2">
                  <c:v>57.41</c:v>
                </c:pt>
                <c:pt idx="3">
                  <c:v>12.76</c:v>
                </c:pt>
                <c:pt idx="4">
                  <c:v>25.7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081"/>
          <c:y val="0.878666666666667"/>
          <c:w val="0.838"/>
          <c:h val="0.116333333333333"/>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cap="none" spc="20" baseline="0">
                <a:solidFill>
                  <a:schemeClr val="accent1"/>
                </a:solidFill>
                <a:latin typeface="+mn-lt"/>
                <a:ea typeface="+mn-ea"/>
                <a:cs typeface="+mn-cs"/>
              </a:defRPr>
            </a:pPr>
            <a:r>
              <a:rPr>
                <a:solidFill>
                  <a:schemeClr val="accent1"/>
                </a:solidFill>
              </a:rPr>
              <a:t>三公经费支出决算结构图</a:t>
            </a:r>
            <a:endParaRPr>
              <a:solidFill>
                <a:schemeClr val="accent1"/>
              </a:solidFill>
            </a:endParaRPr>
          </a:p>
        </c:rich>
      </c:tx>
      <c:layout/>
      <c:overlay val="0"/>
      <c:spPr>
        <a:noFill/>
        <a:ln>
          <a:noFill/>
        </a:ln>
        <a:effectLst/>
      </c:spPr>
    </c:title>
    <c:autoTitleDeleted val="0"/>
    <c:plotArea>
      <c:layout/>
      <c:pieChart>
        <c:varyColors val="1"/>
        <c:ser>
          <c:idx val="0"/>
          <c:order val="0"/>
          <c:tx>
            <c:strRef>
              <c:f>Sheet1!$B$1</c:f>
              <c:strCache>
                <c:ptCount val="1"/>
                <c:pt idx="0">
                  <c:v>销售额</c:v>
                </c:pt>
              </c:strCache>
            </c:strRef>
          </c:tx>
          <c:spPr/>
          <c:explosion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Sheet1!$A$2:$A$4</c:f>
              <c:strCache>
                <c:ptCount val="3"/>
                <c:pt idx="0">
                  <c:v>公务用车运行维护费</c:v>
                </c:pt>
                <c:pt idx="1">
                  <c:v>公务接待费</c:v>
                </c:pt>
                <c:pt idx="2">
                  <c:v>因公出国（境）费</c:v>
                </c:pt>
              </c:strCache>
            </c:strRef>
          </c:cat>
          <c:val>
            <c:numRef>
              <c:f>Sheet1!$B$2:$B$4</c:f>
              <c:numCache>
                <c:formatCode>General</c:formatCode>
                <c:ptCount val="3"/>
                <c:pt idx="0">
                  <c:v>0</c:v>
                </c:pt>
                <c:pt idx="1">
                  <c:v>0.06</c:v>
                </c:pt>
                <c:pt idx="2">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34</Pages>
  <Words>8013</Words>
  <Characters>8579</Characters>
  <Lines>0</Lines>
  <Paragraphs>0</Paragraphs>
  <TotalTime>34</TotalTime>
  <ScaleCrop>false</ScaleCrop>
  <LinksUpToDate>false</LinksUpToDate>
  <CharactersWithSpaces>8659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2023-10-13T06:26:00Z</dcterms:created>
  <dc:creator>cx</dc:creator>
  <cp:lastModifiedBy>碧云天</cp:lastModifiedBy>
  <cp:lastPrinted>2023-10-26T03:53:00Z</cp:lastPrinted>
  <dcterms:modified xsi:type="dcterms:W3CDTF">2024-10-24T00:41:08Z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162D8DC159484A60857CDB5864454D81_13</vt:lpwstr>
  </property>
</Properties>
</file>