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80" w:lineRule="exact"/>
        <w:ind w:firstLine="883" w:firstLineChars="200"/>
        <w:contextualSpacing/>
        <w:jc w:val="center"/>
        <w:rPr>
          <w:rFonts w:ascii="宋体"/>
          <w:b/>
          <w:sz w:val="44"/>
          <w:szCs w:val="44"/>
          <w:shd w:val="clear" w:color="auto" w:fill="FFFFFF"/>
        </w:rPr>
      </w:pPr>
    </w:p>
    <w:p>
      <w:pPr>
        <w:keepNext w:val="0"/>
        <w:keepLines w:val="0"/>
        <w:pageBreakBefore w:val="0"/>
        <w:widowControl/>
        <w:kinsoku/>
        <w:wordWrap/>
        <w:overflowPunct/>
        <w:topLinePunct w:val="0"/>
        <w:autoSpaceDE/>
        <w:autoSpaceDN/>
        <w:bidi w:val="0"/>
        <w:adjustRightInd/>
        <w:snapToGrid/>
        <w:spacing w:line="600" w:lineRule="exact"/>
        <w:contextualSpacing/>
        <w:jc w:val="center"/>
        <w:textAlignment w:val="auto"/>
        <w:rPr>
          <w:rFonts w:hint="eastAsia" w:ascii="黑体" w:hAnsi="黑体" w:eastAsia="黑体" w:cs="黑体"/>
          <w:sz w:val="44"/>
          <w:szCs w:val="44"/>
          <w:shd w:val="clear" w:color="auto" w:fill="FFFFFF"/>
        </w:rPr>
      </w:pPr>
      <w:r>
        <w:rPr>
          <w:rFonts w:hint="eastAsia" w:ascii="方正小标宋简体" w:hAnsi="宋体" w:eastAsia="方正小标宋简体"/>
          <w:sz w:val="44"/>
          <w:szCs w:val="44"/>
          <w:shd w:val="clear" w:color="auto" w:fill="FFFFFF"/>
          <w:lang w:val="en-US" w:eastAsia="zh-CN"/>
        </w:rPr>
        <w:t xml:space="preserve">   </w:t>
      </w:r>
      <w:r>
        <w:rPr>
          <w:rFonts w:hint="eastAsia" w:ascii="黑体" w:hAnsi="黑体" w:eastAsia="黑体" w:cs="黑体"/>
          <w:sz w:val="44"/>
          <w:szCs w:val="44"/>
          <w:shd w:val="clear" w:color="auto" w:fill="FFFFFF"/>
          <w:lang w:val="en-US" w:eastAsia="zh-CN"/>
        </w:rPr>
        <w:t xml:space="preserve"> </w:t>
      </w:r>
      <w:r>
        <w:rPr>
          <w:rFonts w:hint="eastAsia" w:ascii="黑体" w:hAnsi="黑体" w:eastAsia="黑体" w:cs="黑体"/>
          <w:sz w:val="44"/>
          <w:szCs w:val="44"/>
          <w:shd w:val="clear" w:color="auto" w:fill="FFFFFF"/>
          <w:lang w:eastAsia="zh-CN"/>
        </w:rPr>
        <w:t>峨边彝族自治县融媒体中心</w:t>
      </w:r>
      <w:r>
        <w:rPr>
          <w:rFonts w:hint="eastAsia" w:ascii="黑体" w:hAnsi="黑体" w:eastAsia="黑体" w:cs="黑体"/>
          <w:sz w:val="44"/>
          <w:szCs w:val="44"/>
          <w:shd w:val="clear" w:color="auto" w:fill="FFFFFF"/>
          <w:lang w:val="en-US" w:eastAsia="zh-CN"/>
        </w:rPr>
        <w:t>2022年度</w:t>
      </w:r>
      <w:r>
        <w:rPr>
          <w:rFonts w:hint="eastAsia" w:ascii="黑体" w:hAnsi="黑体" w:eastAsia="黑体" w:cs="黑体"/>
          <w:sz w:val="44"/>
          <w:szCs w:val="44"/>
          <w:shd w:val="clear" w:color="auto" w:fill="FFFFFF"/>
        </w:rPr>
        <w:t>部门整体绩效自评报告</w:t>
      </w:r>
    </w:p>
    <w:p>
      <w:pPr>
        <w:widowControl/>
        <w:adjustRightInd w:val="0"/>
        <w:snapToGrid w:val="0"/>
        <w:spacing w:line="580" w:lineRule="exact"/>
        <w:ind w:firstLine="660" w:firstLineChars="200"/>
        <w:contextualSpacing/>
        <w:jc w:val="left"/>
        <w:rPr>
          <w:rFonts w:ascii="方正仿宋_GBK" w:hAnsi="宋体" w:eastAsia="方正仿宋_GBK" w:cs="宋体"/>
          <w:color w:val="000000"/>
          <w:kern w:val="0"/>
          <w:sz w:val="33"/>
          <w:szCs w:val="33"/>
          <w:shd w:val="clear" w:color="auto" w:fill="FFFFFF"/>
        </w:rPr>
      </w:pPr>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left"/>
        <w:textAlignment w:val="auto"/>
        <w:rPr>
          <w:rFonts w:ascii="黑体" w:hAnsi="黑体" w:eastAsia="黑体" w:cs="宋体"/>
          <w:color w:val="000000"/>
          <w:kern w:val="0"/>
          <w:szCs w:val="32"/>
          <w:shd w:val="clear" w:color="auto" w:fill="FFFFFF"/>
          <w:lang w:val="zh-CN"/>
        </w:rPr>
      </w:pPr>
      <w:r>
        <w:rPr>
          <w:rFonts w:hint="eastAsia" w:ascii="黑体" w:hAnsi="黑体" w:eastAsia="黑体" w:cs="宋体"/>
          <w:color w:val="000000"/>
          <w:kern w:val="0"/>
          <w:szCs w:val="32"/>
          <w:shd w:val="clear" w:color="auto" w:fill="FFFFFF"/>
        </w:rPr>
        <w:t>一、</w:t>
      </w:r>
      <w:r>
        <w:rPr>
          <w:rFonts w:hint="eastAsia" w:ascii="黑体" w:hAnsi="黑体" w:eastAsia="黑体" w:cs="宋体"/>
          <w:color w:val="000000"/>
          <w:kern w:val="0"/>
          <w:szCs w:val="32"/>
          <w:shd w:val="clear" w:color="auto" w:fill="FFFFFF"/>
          <w:lang w:val="zh-CN"/>
        </w:rPr>
        <w:t>部门基本情况</w:t>
      </w:r>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left"/>
        <w:textAlignment w:val="auto"/>
        <w:rPr>
          <w:rFonts w:hint="eastAsia" w:ascii="仿宋_GB2312" w:hAnsi="仿宋_GB2312" w:eastAsia="仿宋_GB2312" w:cs="仿宋_GB2312"/>
          <w:color w:val="000000"/>
          <w:kern w:val="0"/>
          <w:szCs w:val="32"/>
          <w:shd w:val="clear" w:color="auto" w:fill="FFFFFF"/>
          <w:lang w:val="zh-CN"/>
        </w:rPr>
      </w:pPr>
      <w:r>
        <w:rPr>
          <w:rFonts w:hint="eastAsia" w:ascii="仿宋_GB2312" w:hAnsi="仿宋_GB2312" w:eastAsia="仿宋_GB2312" w:cs="仿宋_GB2312"/>
          <w:color w:val="000000"/>
          <w:kern w:val="0"/>
          <w:szCs w:val="32"/>
          <w:shd w:val="clear" w:color="auto" w:fill="FFFFFF"/>
          <w:lang w:val="zh-CN"/>
        </w:rPr>
        <w:t>（一）机构组成。</w:t>
      </w:r>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left"/>
        <w:textAlignment w:val="auto"/>
        <w:rPr>
          <w:rFonts w:hint="eastAsia" w:ascii="仿宋_GB2312" w:hAnsi="仿宋_GB2312" w:eastAsia="仿宋_GB2312" w:cs="仿宋_GB2312"/>
          <w:color w:val="000000"/>
          <w:kern w:val="0"/>
          <w:sz w:val="32"/>
          <w:szCs w:val="32"/>
          <w:shd w:val="clear" w:color="auto" w:fill="FFFFFF"/>
          <w:lang w:val="zh-CN"/>
        </w:rPr>
      </w:pPr>
      <w:r>
        <w:rPr>
          <w:rStyle w:val="12"/>
          <w:rFonts w:hint="eastAsia" w:ascii="仿宋_GB2312" w:hAnsi="仿宋_GB2312" w:eastAsia="仿宋_GB2312" w:cs="仿宋_GB2312"/>
          <w:b w:val="0"/>
          <w:bCs w:val="0"/>
          <w:i w:val="0"/>
          <w:iCs w:val="0"/>
          <w:caps w:val="0"/>
          <w:color w:val="333333"/>
          <w:spacing w:val="0"/>
          <w:sz w:val="32"/>
          <w:szCs w:val="32"/>
          <w:shd w:val="clear" w:fill="FFFFFF"/>
          <w:lang w:eastAsia="zh-CN"/>
        </w:rPr>
        <w:t>融媒体</w:t>
      </w:r>
      <w:r>
        <w:rPr>
          <w:rStyle w:val="12"/>
          <w:rFonts w:hint="eastAsia" w:ascii="仿宋_GB2312" w:hAnsi="仿宋_GB2312" w:eastAsia="仿宋_GB2312" w:cs="仿宋_GB2312"/>
          <w:b w:val="0"/>
          <w:bCs w:val="0"/>
          <w:i w:val="0"/>
          <w:iCs w:val="0"/>
          <w:caps w:val="0"/>
          <w:color w:val="333333"/>
          <w:spacing w:val="0"/>
          <w:sz w:val="32"/>
          <w:szCs w:val="32"/>
          <w:shd w:val="clear" w:fill="FFFFFF"/>
        </w:rPr>
        <w:t>预算单位1个，其中：行政单位</w:t>
      </w:r>
      <w:r>
        <w:rPr>
          <w:rStyle w:val="12"/>
          <w:rFonts w:hint="eastAsia" w:ascii="仿宋_GB2312" w:hAnsi="仿宋_GB2312" w:eastAsia="仿宋_GB2312" w:cs="仿宋_GB2312"/>
          <w:b w:val="0"/>
          <w:bCs w:val="0"/>
          <w:i w:val="0"/>
          <w:iCs w:val="0"/>
          <w:caps w:val="0"/>
          <w:color w:val="333333"/>
          <w:spacing w:val="0"/>
          <w:sz w:val="32"/>
          <w:szCs w:val="32"/>
          <w:shd w:val="clear" w:fill="FFFFFF"/>
          <w:lang w:val="en-US" w:eastAsia="zh-CN"/>
        </w:rPr>
        <w:t>0</w:t>
      </w:r>
      <w:r>
        <w:rPr>
          <w:rStyle w:val="12"/>
          <w:rFonts w:hint="eastAsia" w:ascii="仿宋_GB2312" w:hAnsi="仿宋_GB2312" w:eastAsia="仿宋_GB2312" w:cs="仿宋_GB2312"/>
          <w:b w:val="0"/>
          <w:bCs w:val="0"/>
          <w:i w:val="0"/>
          <w:iCs w:val="0"/>
          <w:caps w:val="0"/>
          <w:color w:val="333333"/>
          <w:spacing w:val="0"/>
          <w:sz w:val="32"/>
          <w:szCs w:val="32"/>
          <w:shd w:val="clear" w:fill="FFFFFF"/>
        </w:rPr>
        <w:t>个，事业单位</w:t>
      </w:r>
      <w:r>
        <w:rPr>
          <w:rStyle w:val="12"/>
          <w:rFonts w:hint="eastAsia" w:ascii="仿宋_GB2312" w:hAnsi="仿宋_GB2312" w:eastAsia="仿宋_GB2312" w:cs="仿宋_GB2312"/>
          <w:b w:val="0"/>
          <w:bCs w:val="0"/>
          <w:i w:val="0"/>
          <w:iCs w:val="0"/>
          <w:caps w:val="0"/>
          <w:color w:val="333333"/>
          <w:spacing w:val="0"/>
          <w:sz w:val="32"/>
          <w:szCs w:val="32"/>
          <w:shd w:val="clear" w:fill="FFFFFF"/>
          <w:lang w:val="en-US" w:eastAsia="zh-CN"/>
        </w:rPr>
        <w:t>1</w:t>
      </w:r>
      <w:r>
        <w:rPr>
          <w:rStyle w:val="12"/>
          <w:rFonts w:hint="eastAsia" w:ascii="仿宋_GB2312" w:hAnsi="仿宋_GB2312" w:eastAsia="仿宋_GB2312" w:cs="仿宋_GB2312"/>
          <w:b w:val="0"/>
          <w:bCs w:val="0"/>
          <w:i w:val="0"/>
          <w:iCs w:val="0"/>
          <w:caps w:val="0"/>
          <w:color w:val="333333"/>
          <w:spacing w:val="0"/>
          <w:sz w:val="32"/>
          <w:szCs w:val="32"/>
          <w:shd w:val="clear" w:fill="FFFFFF"/>
        </w:rPr>
        <w:t>个</w:t>
      </w:r>
    </w:p>
    <w:p>
      <w:pPr>
        <w:keepNext w:val="0"/>
        <w:keepLines w:val="0"/>
        <w:pageBreakBefore w:val="0"/>
        <w:widowControl/>
        <w:numPr>
          <w:ilvl w:val="0"/>
          <w:numId w:val="1"/>
        </w:numPr>
        <w:kinsoku/>
        <w:wordWrap/>
        <w:overflowPunct/>
        <w:topLinePunct w:val="0"/>
        <w:autoSpaceDE/>
        <w:autoSpaceDN/>
        <w:bidi w:val="0"/>
        <w:adjustRightInd w:val="0"/>
        <w:snapToGrid w:val="0"/>
        <w:spacing w:line="600" w:lineRule="exact"/>
        <w:ind w:firstLine="640" w:firstLineChars="200"/>
        <w:contextualSpacing/>
        <w:jc w:val="left"/>
        <w:textAlignment w:val="auto"/>
        <w:rPr>
          <w:rFonts w:hint="eastAsia" w:ascii="仿宋_GB2312" w:hAnsi="仿宋_GB2312" w:eastAsia="仿宋_GB2312" w:cs="仿宋_GB2312"/>
          <w:color w:val="000000"/>
          <w:kern w:val="0"/>
          <w:szCs w:val="32"/>
          <w:shd w:val="clear" w:color="auto" w:fill="FFFFFF"/>
          <w:lang w:val="zh-CN"/>
        </w:rPr>
      </w:pPr>
      <w:r>
        <w:rPr>
          <w:rFonts w:hint="eastAsia" w:ascii="仿宋_GB2312" w:hAnsi="仿宋_GB2312" w:eastAsia="仿宋_GB2312" w:cs="仿宋_GB2312"/>
          <w:color w:val="000000"/>
          <w:kern w:val="0"/>
          <w:szCs w:val="32"/>
          <w:shd w:val="clear" w:color="auto" w:fill="FFFFFF"/>
          <w:lang w:val="zh-CN"/>
        </w:rPr>
        <w:t>机构职能和人员概况。</w:t>
      </w:r>
    </w:p>
    <w:p>
      <w:pPr>
        <w:keepNext w:val="0"/>
        <w:keepLines w:val="0"/>
        <w:pageBreakBefore w:val="0"/>
        <w:widowControl/>
        <w:numPr>
          <w:ilvl w:val="0"/>
          <w:numId w:val="0"/>
        </w:numPr>
        <w:kinsoku/>
        <w:wordWrap/>
        <w:overflowPunct/>
        <w:topLinePunct w:val="0"/>
        <w:autoSpaceDE/>
        <w:autoSpaceDN/>
        <w:bidi w:val="0"/>
        <w:adjustRightInd w:val="0"/>
        <w:snapToGrid w:val="0"/>
        <w:spacing w:line="600" w:lineRule="exact"/>
        <w:ind w:firstLine="640" w:firstLineChars="200"/>
        <w:contextualSpacing/>
        <w:jc w:val="left"/>
        <w:textAlignment w:val="auto"/>
        <w:rPr>
          <w:rFonts w:hint="eastAsia" w:ascii="仿宋_GB2312" w:hAnsi="仿宋_GB2312" w:eastAsia="仿宋_GB2312" w:cs="仿宋_GB2312"/>
          <w:color w:val="000000"/>
          <w:kern w:val="0"/>
          <w:szCs w:val="32"/>
          <w:shd w:val="clear" w:color="auto" w:fill="FFFFFF"/>
          <w:lang w:val="zh-CN"/>
        </w:rPr>
      </w:pPr>
      <w:r>
        <w:rPr>
          <w:rFonts w:hint="eastAsia" w:ascii="仿宋_GB2312" w:hAnsi="仿宋_GB2312" w:eastAsia="仿宋_GB2312" w:cs="仿宋_GB2312"/>
          <w:color w:val="000000"/>
          <w:kern w:val="0"/>
          <w:szCs w:val="32"/>
          <w:shd w:val="clear" w:color="auto" w:fill="FFFFFF"/>
          <w:lang w:val="en-US" w:eastAsia="zh-CN"/>
        </w:rPr>
        <w:t>1.</w:t>
      </w:r>
      <w:r>
        <w:rPr>
          <w:rFonts w:hint="eastAsia" w:ascii="仿宋_GB2312" w:hAnsi="仿宋_GB2312" w:eastAsia="仿宋_GB2312" w:cs="仿宋_GB2312"/>
          <w:color w:val="000000"/>
          <w:kern w:val="0"/>
          <w:szCs w:val="32"/>
          <w:shd w:val="clear" w:color="auto" w:fill="FFFFFF"/>
          <w:lang w:val="zh-CN"/>
        </w:rPr>
        <w:t>贯彻落实党的理论、路线和各项宣传方针政策，把握新闻宣传基调，坚持正面宣传、团结鼓劲，为全县经济社会发展提供舆论支持；围绕县委、县政府中心工作，积极开展新闻网络内外宣传，落实全县新闻报道计划，完成上级下达的各项内外宣传和创优任务。</w:t>
      </w:r>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left"/>
        <w:textAlignment w:val="auto"/>
        <w:rPr>
          <w:rFonts w:hint="eastAsia" w:ascii="仿宋_GB2312" w:hAnsi="仿宋_GB2312" w:eastAsia="仿宋_GB2312" w:cs="仿宋_GB2312"/>
          <w:color w:val="000000"/>
          <w:kern w:val="0"/>
          <w:szCs w:val="32"/>
          <w:shd w:val="clear" w:color="auto" w:fill="FFFFFF"/>
          <w:lang w:val="zh-CN"/>
        </w:rPr>
      </w:pPr>
      <w:r>
        <w:rPr>
          <w:rFonts w:hint="eastAsia" w:ascii="仿宋_GB2312" w:hAnsi="仿宋_GB2312" w:eastAsia="仿宋_GB2312" w:cs="仿宋_GB2312"/>
          <w:color w:val="000000"/>
          <w:kern w:val="0"/>
          <w:szCs w:val="32"/>
          <w:shd w:val="clear" w:color="auto" w:fill="FFFFFF"/>
          <w:lang w:val="en-US" w:eastAsia="zh-CN"/>
        </w:rPr>
        <w:t>2.</w:t>
      </w:r>
      <w:r>
        <w:rPr>
          <w:rFonts w:hint="eastAsia" w:ascii="仿宋_GB2312" w:hAnsi="仿宋_GB2312" w:eastAsia="仿宋_GB2312" w:cs="仿宋_GB2312"/>
          <w:color w:val="000000"/>
          <w:kern w:val="0"/>
          <w:szCs w:val="32"/>
          <w:shd w:val="clear" w:color="auto" w:fill="FFFFFF"/>
          <w:lang w:val="zh-CN"/>
        </w:rPr>
        <w:t>负责全县新闻业务管理和对外通联工作，抓好全县新闻网络宣传阵地和人才队伍建设。</w:t>
      </w:r>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left"/>
        <w:textAlignment w:val="auto"/>
        <w:rPr>
          <w:rFonts w:hint="eastAsia" w:ascii="仿宋_GB2312" w:hAnsi="仿宋_GB2312" w:eastAsia="仿宋_GB2312" w:cs="仿宋_GB2312"/>
          <w:color w:val="000000"/>
          <w:kern w:val="0"/>
          <w:szCs w:val="32"/>
          <w:shd w:val="clear" w:color="auto" w:fill="FFFFFF"/>
          <w:lang w:val="zh-CN"/>
        </w:rPr>
      </w:pPr>
      <w:r>
        <w:rPr>
          <w:rFonts w:hint="eastAsia" w:ascii="仿宋_GB2312" w:hAnsi="仿宋_GB2312" w:eastAsia="仿宋_GB2312" w:cs="仿宋_GB2312"/>
          <w:color w:val="000000"/>
          <w:kern w:val="0"/>
          <w:szCs w:val="32"/>
          <w:shd w:val="clear" w:color="auto" w:fill="FFFFFF"/>
          <w:lang w:val="en-US" w:eastAsia="zh-CN"/>
        </w:rPr>
        <w:t>3.</w:t>
      </w:r>
      <w:r>
        <w:rPr>
          <w:rFonts w:hint="eastAsia" w:ascii="仿宋_GB2312" w:hAnsi="仿宋_GB2312" w:eastAsia="仿宋_GB2312" w:cs="仿宋_GB2312"/>
          <w:color w:val="000000"/>
          <w:kern w:val="0"/>
          <w:szCs w:val="32"/>
          <w:shd w:val="clear" w:color="auto" w:fill="FFFFFF"/>
          <w:lang w:val="zh-CN"/>
        </w:rPr>
        <w:t>协助配合上级媒体和新闻单位来县采访工作。</w:t>
      </w:r>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left"/>
        <w:textAlignment w:val="auto"/>
        <w:rPr>
          <w:rFonts w:hint="eastAsia" w:ascii="仿宋_GB2312" w:hAnsi="仿宋_GB2312" w:eastAsia="仿宋_GB2312" w:cs="仿宋_GB2312"/>
          <w:color w:val="000000"/>
          <w:kern w:val="0"/>
          <w:szCs w:val="32"/>
          <w:shd w:val="clear" w:color="auto" w:fill="FFFFFF"/>
          <w:lang w:val="zh-CN"/>
        </w:rPr>
      </w:pPr>
      <w:r>
        <w:rPr>
          <w:rFonts w:hint="eastAsia" w:ascii="仿宋_GB2312" w:hAnsi="仿宋_GB2312" w:eastAsia="仿宋_GB2312" w:cs="仿宋_GB2312"/>
          <w:color w:val="000000"/>
          <w:kern w:val="0"/>
          <w:szCs w:val="32"/>
          <w:shd w:val="clear" w:color="auto" w:fill="FFFFFF"/>
          <w:lang w:val="en-US" w:eastAsia="zh-CN"/>
        </w:rPr>
        <w:t>4.</w:t>
      </w:r>
      <w:r>
        <w:rPr>
          <w:rFonts w:hint="eastAsia" w:ascii="仿宋_GB2312" w:hAnsi="仿宋_GB2312" w:eastAsia="仿宋_GB2312" w:cs="仿宋_GB2312"/>
          <w:color w:val="000000"/>
          <w:kern w:val="0"/>
          <w:szCs w:val="32"/>
          <w:shd w:val="clear" w:color="auto" w:fill="FFFFFF"/>
          <w:lang w:val="zh-CN"/>
        </w:rPr>
        <w:t>负责与县内各乡镇各部门之间的沟通协调，负责县内各类具有传播功能的媒介资源管理工作，负责网络对话和舆情收集、引导工作。</w:t>
      </w:r>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left"/>
        <w:textAlignment w:val="auto"/>
        <w:rPr>
          <w:rFonts w:hint="eastAsia" w:ascii="仿宋_GB2312" w:hAnsi="仿宋_GB2312" w:eastAsia="仿宋_GB2312" w:cs="仿宋_GB2312"/>
          <w:color w:val="000000"/>
          <w:kern w:val="0"/>
          <w:szCs w:val="32"/>
          <w:shd w:val="clear" w:color="auto" w:fill="FFFFFF"/>
          <w:lang w:val="zh-CN"/>
        </w:rPr>
      </w:pPr>
      <w:r>
        <w:rPr>
          <w:rFonts w:hint="eastAsia" w:ascii="仿宋_GB2312" w:hAnsi="仿宋_GB2312" w:eastAsia="仿宋_GB2312" w:cs="仿宋_GB2312"/>
          <w:color w:val="000000"/>
          <w:kern w:val="0"/>
          <w:szCs w:val="32"/>
          <w:shd w:val="clear" w:color="auto" w:fill="FFFFFF"/>
          <w:lang w:val="en-US" w:eastAsia="zh-CN"/>
        </w:rPr>
        <w:t>5.</w:t>
      </w:r>
      <w:r>
        <w:rPr>
          <w:rFonts w:hint="eastAsia" w:ascii="仿宋_GB2312" w:hAnsi="仿宋_GB2312" w:eastAsia="仿宋_GB2312" w:cs="仿宋_GB2312"/>
          <w:color w:val="000000"/>
          <w:kern w:val="0"/>
          <w:szCs w:val="32"/>
          <w:shd w:val="clear" w:color="auto" w:fill="FFFFFF"/>
          <w:lang w:val="zh-CN"/>
        </w:rPr>
        <w:t>负责政府信息公开相关事宜。</w:t>
      </w:r>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left"/>
        <w:textAlignment w:val="auto"/>
        <w:rPr>
          <w:rFonts w:hint="eastAsia" w:ascii="仿宋_GB2312" w:hAnsi="仿宋_GB2312" w:eastAsia="仿宋_GB2312" w:cs="仿宋_GB2312"/>
          <w:color w:val="000000"/>
          <w:kern w:val="0"/>
          <w:szCs w:val="32"/>
          <w:shd w:val="clear" w:color="auto" w:fill="FFFFFF"/>
          <w:lang w:val="zh-CN"/>
        </w:rPr>
      </w:pPr>
      <w:r>
        <w:rPr>
          <w:rFonts w:hint="eastAsia" w:ascii="仿宋_GB2312" w:hAnsi="仿宋_GB2312" w:eastAsia="仿宋_GB2312" w:cs="仿宋_GB2312"/>
          <w:color w:val="000000"/>
          <w:kern w:val="0"/>
          <w:szCs w:val="32"/>
          <w:shd w:val="clear" w:color="auto" w:fill="FFFFFF"/>
          <w:lang w:val="en-US" w:eastAsia="zh-CN"/>
        </w:rPr>
        <w:t>6.</w:t>
      </w:r>
      <w:r>
        <w:rPr>
          <w:rFonts w:hint="eastAsia" w:ascii="仿宋_GB2312" w:hAnsi="仿宋_GB2312" w:eastAsia="仿宋_GB2312" w:cs="仿宋_GB2312"/>
          <w:color w:val="000000"/>
          <w:kern w:val="0"/>
          <w:szCs w:val="32"/>
          <w:shd w:val="clear" w:color="auto" w:fill="FFFFFF"/>
          <w:lang w:val="zh-CN"/>
        </w:rPr>
        <w:t>负责上级下发的各项网评、网宣任务。</w:t>
      </w:r>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left"/>
        <w:textAlignment w:val="auto"/>
        <w:rPr>
          <w:rFonts w:hint="eastAsia" w:ascii="仿宋_GB2312" w:hAnsi="仿宋_GB2312" w:eastAsia="仿宋_GB2312" w:cs="仿宋_GB2312"/>
          <w:color w:val="000000"/>
          <w:kern w:val="0"/>
          <w:szCs w:val="32"/>
          <w:shd w:val="clear" w:color="auto" w:fill="FFFFFF"/>
          <w:lang w:val="zh-CN"/>
        </w:rPr>
      </w:pPr>
      <w:r>
        <w:rPr>
          <w:rFonts w:hint="eastAsia" w:ascii="仿宋_GB2312" w:hAnsi="仿宋_GB2312" w:eastAsia="仿宋_GB2312" w:cs="仿宋_GB2312"/>
          <w:color w:val="000000"/>
          <w:kern w:val="0"/>
          <w:szCs w:val="32"/>
          <w:shd w:val="clear" w:color="auto" w:fill="FFFFFF"/>
          <w:lang w:val="en-US" w:eastAsia="zh-CN"/>
        </w:rPr>
        <w:t>7.</w:t>
      </w:r>
      <w:r>
        <w:rPr>
          <w:rFonts w:hint="eastAsia" w:ascii="仿宋_GB2312" w:hAnsi="仿宋_GB2312" w:eastAsia="仿宋_GB2312" w:cs="仿宋_GB2312"/>
          <w:color w:val="000000"/>
          <w:kern w:val="0"/>
          <w:szCs w:val="32"/>
          <w:shd w:val="clear" w:color="auto" w:fill="FFFFFF"/>
          <w:lang w:val="zh-CN"/>
        </w:rPr>
        <w:t>负责舆情分析研判，提供决策咨询。</w:t>
      </w:r>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left"/>
        <w:textAlignment w:val="auto"/>
        <w:rPr>
          <w:rFonts w:hint="default" w:ascii="楷体_GB2312" w:hAnsi="宋体" w:eastAsia="楷体_GB2312" w:cs="宋体"/>
          <w:color w:val="000000"/>
          <w:kern w:val="0"/>
          <w:szCs w:val="32"/>
          <w:shd w:val="clear" w:color="auto" w:fill="FFFFFF"/>
          <w:lang w:val="en-US" w:eastAsia="zh-CN"/>
        </w:rPr>
      </w:pPr>
      <w:r>
        <w:rPr>
          <w:rFonts w:hint="eastAsia" w:ascii="仿宋_GB2312" w:hAnsi="仿宋_GB2312" w:eastAsia="仿宋_GB2312" w:cs="仿宋_GB2312"/>
          <w:color w:val="000000"/>
          <w:kern w:val="0"/>
          <w:szCs w:val="32"/>
          <w:shd w:val="clear" w:color="auto" w:fill="FFFFFF"/>
          <w:lang w:val="en-US" w:eastAsia="zh-CN"/>
        </w:rPr>
        <w:t>8.</w:t>
      </w:r>
      <w:r>
        <w:rPr>
          <w:rFonts w:hint="eastAsia" w:ascii="仿宋_GB2312" w:hAnsi="仿宋_GB2312" w:eastAsia="仿宋_GB2312" w:cs="仿宋_GB2312"/>
          <w:color w:val="000000"/>
          <w:kern w:val="0"/>
          <w:szCs w:val="32"/>
          <w:shd w:val="clear" w:color="auto" w:fill="FFFFFF"/>
          <w:lang w:val="zh-CN"/>
        </w:rPr>
        <w:t>完成县委县政府交办的其他工作任务。</w:t>
      </w:r>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left"/>
        <w:textAlignment w:val="auto"/>
        <w:rPr>
          <w:rFonts w:hint="eastAsia" w:ascii="仿宋_GB2312" w:hAnsi="仿宋_GB2312" w:eastAsia="仿宋_GB2312" w:cs="仿宋_GB2312"/>
          <w:color w:val="000000"/>
          <w:kern w:val="0"/>
          <w:szCs w:val="32"/>
          <w:shd w:val="clear" w:color="auto" w:fill="FFFFFF"/>
          <w:lang w:val="zh-CN"/>
        </w:rPr>
      </w:pPr>
      <w:r>
        <w:rPr>
          <w:rFonts w:hint="eastAsia" w:ascii="仿宋_GB2312" w:hAnsi="仿宋_GB2312" w:eastAsia="仿宋_GB2312" w:cs="仿宋_GB2312"/>
          <w:color w:val="000000"/>
          <w:kern w:val="0"/>
          <w:szCs w:val="32"/>
          <w:shd w:val="clear" w:color="auto" w:fill="FFFFFF"/>
          <w:lang w:val="en-US" w:eastAsia="zh-CN"/>
        </w:rPr>
        <w:t>9.</w:t>
      </w:r>
      <w:r>
        <w:rPr>
          <w:rFonts w:hint="eastAsia" w:ascii="仿宋_GB2312" w:hAnsi="仿宋_GB2312" w:eastAsia="仿宋_GB2312" w:cs="仿宋_GB2312"/>
          <w:color w:val="000000"/>
          <w:kern w:val="0"/>
          <w:szCs w:val="32"/>
          <w:shd w:val="clear" w:color="auto" w:fill="FFFFFF"/>
          <w:lang w:val="zh-CN"/>
        </w:rPr>
        <w:t>县融媒体中心总编制1</w:t>
      </w:r>
      <w:r>
        <w:rPr>
          <w:rFonts w:hint="eastAsia" w:ascii="仿宋_GB2312" w:hAnsi="仿宋_GB2312" w:eastAsia="仿宋_GB2312" w:cs="仿宋_GB2312"/>
          <w:color w:val="000000"/>
          <w:kern w:val="0"/>
          <w:szCs w:val="32"/>
          <w:shd w:val="clear" w:color="auto" w:fill="FFFFFF"/>
          <w:lang w:val="en-US" w:eastAsia="zh-CN"/>
        </w:rPr>
        <w:t>9</w:t>
      </w:r>
      <w:r>
        <w:rPr>
          <w:rFonts w:hint="eastAsia" w:ascii="仿宋_GB2312" w:hAnsi="仿宋_GB2312" w:eastAsia="仿宋_GB2312" w:cs="仿宋_GB2312"/>
          <w:color w:val="000000"/>
          <w:kern w:val="0"/>
          <w:szCs w:val="32"/>
          <w:shd w:val="clear" w:color="auto" w:fill="FFFFFF"/>
          <w:lang w:val="zh-CN"/>
        </w:rPr>
        <w:t>名，其中：行政编制0名，事业编制18名。在职人员总数18名，其中：行政0名，事业18名。离休0名。</w:t>
      </w:r>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left"/>
        <w:textAlignment w:val="auto"/>
        <w:rPr>
          <w:rFonts w:hint="eastAsia" w:ascii="仿宋_GB2312" w:hAnsi="仿宋_GB2312" w:eastAsia="仿宋_GB2312" w:cs="仿宋_GB2312"/>
          <w:color w:val="0000FF"/>
          <w:kern w:val="0"/>
          <w:szCs w:val="32"/>
          <w:shd w:val="clear" w:color="auto" w:fill="FFFFFF"/>
          <w:lang w:val="zh-CN"/>
        </w:rPr>
      </w:pPr>
      <w:r>
        <w:rPr>
          <w:rFonts w:hint="eastAsia" w:ascii="仿宋_GB2312" w:hAnsi="仿宋_GB2312" w:eastAsia="仿宋_GB2312" w:cs="仿宋_GB2312"/>
          <w:color w:val="000000" w:themeColor="text1"/>
          <w:kern w:val="0"/>
          <w:szCs w:val="32"/>
          <w:highlight w:val="none"/>
          <w:shd w:val="clear" w:color="auto" w:fill="FFFFFF"/>
          <w:lang w:val="zh-CN"/>
        </w:rPr>
        <w:t>（三）年度主要工作任务</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600" w:lineRule="exact"/>
        <w:ind w:left="0" w:right="0" w:firstLine="640" w:firstLineChars="200"/>
        <w:jc w:val="both"/>
        <w:textAlignment w:val="auto"/>
        <w:rPr>
          <w:rFonts w:hint="eastAsia" w:ascii="仿宋_GB2312" w:hAnsi="仿宋_GB2312" w:eastAsia="仿宋_GB2312" w:cs="仿宋_GB2312"/>
          <w:b w:val="0"/>
          <w:bCs w:val="0"/>
          <w:i w:val="0"/>
          <w:iCs w:val="0"/>
          <w:caps w:val="0"/>
          <w:color w:val="333333"/>
          <w:spacing w:val="0"/>
          <w:kern w:val="0"/>
          <w:sz w:val="32"/>
          <w:szCs w:val="32"/>
          <w:shd w:val="clear" w:fill="FFFFFF"/>
          <w:lang w:val="en-US" w:eastAsia="zh-CN" w:bidi="ar"/>
        </w:rPr>
      </w:pPr>
      <w:r>
        <w:rPr>
          <w:rFonts w:hint="eastAsia" w:ascii="仿宋_GB2312" w:hAnsi="仿宋_GB2312" w:eastAsia="仿宋_GB2312" w:cs="仿宋_GB2312"/>
          <w:b w:val="0"/>
          <w:bCs w:val="0"/>
          <w:i w:val="0"/>
          <w:iCs w:val="0"/>
          <w:caps w:val="0"/>
          <w:color w:val="333333"/>
          <w:spacing w:val="0"/>
          <w:kern w:val="0"/>
          <w:sz w:val="32"/>
          <w:szCs w:val="32"/>
          <w:shd w:val="clear" w:fill="FFFFFF"/>
          <w:lang w:val="en-US" w:eastAsia="zh-CN" w:bidi="ar"/>
        </w:rPr>
        <w:t>1、夯实基石强化党建工作</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600" w:lineRule="exact"/>
        <w:ind w:left="0" w:right="0" w:firstLine="640" w:firstLineChars="200"/>
        <w:jc w:val="both"/>
        <w:textAlignment w:val="auto"/>
        <w:rPr>
          <w:rFonts w:hint="eastAsia" w:ascii="仿宋_GB2312" w:hAnsi="仿宋_GB2312" w:eastAsia="仿宋_GB2312" w:cs="仿宋_GB2312"/>
          <w:color w:val="auto"/>
          <w:kern w:val="0"/>
          <w:sz w:val="32"/>
          <w:szCs w:val="32"/>
          <w:lang w:val="en-US" w:eastAsia="zh-CN" w:bidi="ar"/>
        </w:rPr>
      </w:pPr>
      <w:r>
        <w:rPr>
          <w:rFonts w:hint="eastAsia" w:ascii="仿宋_GB2312" w:hAnsi="仿宋_GB2312" w:eastAsia="仿宋_GB2312" w:cs="仿宋_GB2312"/>
          <w:color w:val="auto"/>
          <w:kern w:val="0"/>
          <w:sz w:val="32"/>
          <w:szCs w:val="32"/>
          <w:lang w:val="en-US" w:eastAsia="zh-CN" w:bidi="ar"/>
        </w:rPr>
        <w:t>今年以来，中心坚持把意识形态作为党的建设重要内容，列入党建工作要点，与业务工作紧密结合，同部署、同落实。充分利用各种会议，深入学习习近平新时代中国特色社会主义思想，全面系统学习党的十九大及历次全会精神，学习党的二十大暨二十届一次会议精神，认真学习贯彻习近平总书记来川视察重要指示精神，深入学习《习近平法治思想学习纲要》《中国共产党宣传工作条例》《关于加快推进媒体深度融合发展的意见》和《中国共产党宣传工作简史》等，不断增强“四个意识”、坚定“四个自信”、做到“两个维护”，全面提升融媒队伍的政治素质。同时，认真履行全面从严治党主体责任，加强廉政建设，定期召开“三会一课”，落实党员开展“双报到”工作，筑牢“一名党员就是一面旗帜、一个支部就是一座堡垒”意识，强化党建引领。</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600" w:lineRule="exact"/>
        <w:ind w:left="0" w:right="0" w:firstLine="640" w:firstLineChars="200"/>
        <w:jc w:val="both"/>
        <w:textAlignment w:val="auto"/>
        <w:rPr>
          <w:rFonts w:hint="eastAsia" w:ascii="仿宋_GB2312" w:hAnsi="仿宋_GB2312" w:eastAsia="仿宋_GB2312" w:cs="仿宋_GB2312"/>
          <w:b w:val="0"/>
          <w:bCs w:val="0"/>
          <w:i w:val="0"/>
          <w:iCs w:val="0"/>
          <w:caps w:val="0"/>
          <w:color w:val="333333"/>
          <w:spacing w:val="0"/>
          <w:kern w:val="0"/>
          <w:sz w:val="32"/>
          <w:szCs w:val="32"/>
          <w:shd w:val="clear" w:fill="FFFFFF"/>
          <w:lang w:val="en-US" w:eastAsia="zh-CN" w:bidi="ar"/>
        </w:rPr>
      </w:pPr>
      <w:r>
        <w:rPr>
          <w:rFonts w:hint="eastAsia" w:ascii="仿宋_GB2312" w:hAnsi="仿宋_GB2312" w:eastAsia="仿宋_GB2312" w:cs="仿宋_GB2312"/>
          <w:b w:val="0"/>
          <w:bCs w:val="0"/>
          <w:i w:val="0"/>
          <w:iCs w:val="0"/>
          <w:caps w:val="0"/>
          <w:color w:val="333333"/>
          <w:spacing w:val="0"/>
          <w:kern w:val="0"/>
          <w:sz w:val="32"/>
          <w:szCs w:val="32"/>
          <w:shd w:val="clear" w:fill="FFFFFF"/>
          <w:lang w:val="en-US" w:eastAsia="zh-CN" w:bidi="ar"/>
        </w:rPr>
        <w:t>2、突出主题加大宣传力度</w:t>
      </w:r>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left"/>
        <w:textAlignment w:val="auto"/>
        <w:rPr>
          <w:rFonts w:hint="eastAsia" w:ascii="仿宋_GB2312" w:hAnsi="仿宋_GB2312" w:eastAsia="仿宋_GB2312" w:cs="仿宋_GB2312"/>
          <w:color w:val="auto"/>
          <w:kern w:val="0"/>
          <w:sz w:val="32"/>
          <w:szCs w:val="32"/>
          <w:lang w:val="en-US" w:eastAsia="zh-CN" w:bidi="ar"/>
        </w:rPr>
      </w:pPr>
      <w:r>
        <w:rPr>
          <w:rFonts w:hint="eastAsia" w:ascii="仿宋_GB2312" w:hAnsi="仿宋_GB2312" w:eastAsia="仿宋_GB2312" w:cs="仿宋_GB2312"/>
          <w:color w:val="auto"/>
          <w:kern w:val="0"/>
          <w:sz w:val="32"/>
          <w:szCs w:val="32"/>
          <w:lang w:val="en-US" w:eastAsia="zh-CN" w:bidi="ar"/>
        </w:rPr>
        <w:t>坚决贯彻落实党中央以及省委、市委、县委重大决策部署，充分利用中心媒体全平台，牢牢把握正确的政治方向和舆论导向，</w:t>
      </w:r>
      <w:r>
        <w:rPr>
          <w:rFonts w:hint="eastAsia" w:ascii="仿宋_GB2312" w:hAnsi="仿宋_GB2312" w:eastAsia="仿宋_GB2312" w:cs="仿宋_GB2312"/>
          <w:kern w:val="0"/>
          <w:sz w:val="32"/>
          <w:szCs w:val="32"/>
          <w:lang w:val="en-US" w:eastAsia="zh-CN" w:bidi="ar"/>
        </w:rPr>
        <w:t>紧扣县委政府重点工作，整合中心客户端APP“爱峨边”、广播电视台、新闻网、政务微信峨边在线、短视频号等九个宣传平台，</w:t>
      </w:r>
      <w:r>
        <w:rPr>
          <w:rFonts w:hint="eastAsia" w:ascii="仿宋_GB2312" w:hAnsi="仿宋_GB2312" w:eastAsia="仿宋_GB2312" w:cs="仿宋_GB2312"/>
          <w:color w:val="auto"/>
          <w:kern w:val="0"/>
          <w:sz w:val="32"/>
          <w:szCs w:val="32"/>
          <w:lang w:val="en-US" w:eastAsia="zh-CN" w:bidi="ar"/>
        </w:rPr>
        <w:t>有效发挥新闻宣传主阵地作用，聚焦党的二十大胜利召开、乡村振兴、全域旅游、“奋进新征程、建功新时代”大调研暨我为群众办实事“百日攻坚”行动等重点工作开展宣传，积极协调中央、省、市主流媒体，加大对外宣传力度，本年度共被采用853篇，《喜迎二十大 奋进新征程—沿着“三河”看变化》短视频系列获市好新闻奖。内宣上，客户端APP爱峨边注册用户41660人，累计使用340000余人次，全年刊发信息4047篇、完成直播40场次，峨边广播电视台播出视频新闻125组594条，峨边新闻网刊发信息1306余篇，峨边在线刊发信息1963条，抖音、快手短视频平台累计发布量203条，浏览量200W+，政务微博“今日峨边”累计发布或转发共127条，总浏览量10K+，为生态强县美丽峨边高质量发展营造良好的舆论氛围。</w:t>
      </w:r>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left"/>
        <w:textAlignment w:val="auto"/>
        <w:rPr>
          <w:rFonts w:hint="eastAsia" w:ascii="仿宋_GB2312" w:hAnsi="仿宋_GB2312" w:eastAsia="仿宋_GB2312" w:cs="仿宋_GB2312"/>
          <w:color w:val="000000"/>
          <w:kern w:val="0"/>
          <w:szCs w:val="32"/>
          <w:shd w:val="clear" w:color="auto" w:fill="FFFFFF"/>
          <w:lang w:val="zh-CN"/>
        </w:rPr>
      </w:pPr>
      <w:r>
        <w:rPr>
          <w:rFonts w:hint="eastAsia" w:ascii="仿宋_GB2312" w:hAnsi="仿宋_GB2312" w:eastAsia="仿宋_GB2312" w:cs="仿宋_GB2312"/>
          <w:color w:val="000000"/>
          <w:kern w:val="0"/>
          <w:szCs w:val="32"/>
          <w:shd w:val="clear" w:color="auto" w:fill="FFFFFF"/>
          <w:lang w:val="zh-CN"/>
        </w:rPr>
        <w:t>（四）部门整体支出绩效目标。</w:t>
      </w:r>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left"/>
        <w:textAlignment w:val="auto"/>
        <w:rPr>
          <w:rFonts w:hint="eastAsia" w:ascii="仿宋_GB2312" w:hAnsi="仿宋_GB2312" w:eastAsia="仿宋_GB2312" w:cs="仿宋_GB2312"/>
          <w:color w:val="000000"/>
          <w:kern w:val="0"/>
          <w:szCs w:val="32"/>
          <w:shd w:val="clear" w:color="auto" w:fill="FFFFFF"/>
          <w:lang w:val="zh-CN"/>
        </w:rPr>
      </w:pPr>
      <w:r>
        <w:rPr>
          <w:rFonts w:hint="eastAsia" w:ascii="仿宋_GB2312" w:hAnsi="仿宋_GB2312" w:eastAsia="仿宋_GB2312" w:cs="仿宋_GB2312"/>
          <w:color w:val="000000"/>
          <w:kern w:val="0"/>
          <w:szCs w:val="32"/>
          <w:shd w:val="clear" w:color="auto" w:fill="FFFFFF"/>
          <w:lang w:val="zh-CN"/>
        </w:rPr>
        <w:t>我单位实行预算管理制度，根据财政局每年下发文件进行相应的预算管理编制和提交。严格预算执行，及时向财政局反映本部门预算执行情况，依法纠正违反预算的行为。将单位预算管理活动与社会和人民的切身利益相结合，根据社会需求和人民需要进行合理预算管理工作，使预算管理计划成为行政事业单位建设社会、服务大众的方针导向。执行预算绩效管理，编制整体支出和项目支出绩效申报，使单位预算管理的最大效用，实现预算管理的目标与效果。</w:t>
      </w:r>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left"/>
        <w:textAlignment w:val="auto"/>
        <w:rPr>
          <w:rFonts w:ascii="黑体" w:hAnsi="黑体" w:eastAsia="黑体" w:cs="宋体"/>
          <w:color w:val="000000"/>
          <w:kern w:val="0"/>
          <w:szCs w:val="32"/>
          <w:shd w:val="clear" w:color="auto" w:fill="FFFFFF"/>
        </w:rPr>
      </w:pPr>
      <w:r>
        <w:rPr>
          <w:rFonts w:hint="eastAsia" w:ascii="黑体" w:hAnsi="黑体" w:eastAsia="黑体" w:cs="宋体"/>
          <w:color w:val="000000"/>
          <w:kern w:val="0"/>
          <w:szCs w:val="32"/>
          <w:shd w:val="clear" w:color="auto" w:fill="FFFFFF"/>
        </w:rPr>
        <w:t>二、部门财政资金收支情况</w:t>
      </w:r>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left"/>
        <w:textAlignment w:val="auto"/>
        <w:rPr>
          <w:rFonts w:hint="eastAsia" w:ascii="仿宋_GB2312" w:hAnsi="仿宋_GB2312" w:eastAsia="仿宋_GB2312" w:cs="仿宋_GB2312"/>
          <w:color w:val="000000"/>
          <w:kern w:val="0"/>
          <w:sz w:val="32"/>
          <w:szCs w:val="32"/>
          <w:shd w:val="clear" w:color="auto" w:fill="FFFFFF"/>
          <w:lang w:val="zh-CN"/>
        </w:rPr>
      </w:pPr>
      <w:r>
        <w:rPr>
          <w:rFonts w:hint="eastAsia" w:ascii="仿宋_GB2312" w:hAnsi="仿宋_GB2312" w:eastAsia="仿宋_GB2312" w:cs="仿宋_GB2312"/>
          <w:color w:val="000000"/>
          <w:kern w:val="0"/>
          <w:sz w:val="32"/>
          <w:szCs w:val="32"/>
          <w:shd w:val="clear" w:color="auto" w:fill="FFFFFF"/>
          <w:lang w:val="zh-CN"/>
        </w:rPr>
        <w:t>（一）部门财政资金收入情况。</w:t>
      </w:r>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left"/>
        <w:textAlignment w:val="auto"/>
        <w:rPr>
          <w:rFonts w:hint="eastAsia" w:ascii="仿宋_GB2312" w:hAnsi="仿宋_GB2312" w:eastAsia="仿宋_GB2312" w:cs="仿宋_GB2312"/>
          <w:color w:val="000000"/>
          <w:kern w:val="0"/>
          <w:sz w:val="32"/>
          <w:szCs w:val="32"/>
          <w:shd w:val="clear" w:color="auto" w:fill="FFFFFF"/>
          <w:lang w:val="zh-CN"/>
        </w:rPr>
      </w:pPr>
      <w:r>
        <w:rPr>
          <w:rFonts w:hint="eastAsia" w:ascii="仿宋_GB2312" w:hAnsi="仿宋_GB2312" w:eastAsia="仿宋_GB2312" w:cs="仿宋_GB2312"/>
          <w:color w:val="000000"/>
          <w:kern w:val="0"/>
          <w:sz w:val="32"/>
          <w:szCs w:val="32"/>
          <w:shd w:val="clear" w:color="auto" w:fill="FFFFFF"/>
          <w:lang w:val="zh-CN"/>
        </w:rPr>
        <w:t>本单位202</w:t>
      </w:r>
      <w:r>
        <w:rPr>
          <w:rFonts w:hint="eastAsia" w:ascii="仿宋_GB2312" w:hAnsi="仿宋_GB2312" w:eastAsia="仿宋_GB2312" w:cs="仿宋_GB2312"/>
          <w:color w:val="000000"/>
          <w:kern w:val="0"/>
          <w:sz w:val="32"/>
          <w:szCs w:val="32"/>
          <w:shd w:val="clear" w:color="auto" w:fill="FFFFFF"/>
          <w:lang w:val="en-US" w:eastAsia="zh-CN"/>
        </w:rPr>
        <w:t>2</w:t>
      </w:r>
      <w:r>
        <w:rPr>
          <w:rFonts w:hint="eastAsia" w:ascii="仿宋_GB2312" w:hAnsi="仿宋_GB2312" w:eastAsia="仿宋_GB2312" w:cs="仿宋_GB2312"/>
          <w:color w:val="000000"/>
          <w:kern w:val="0"/>
          <w:sz w:val="32"/>
          <w:szCs w:val="32"/>
          <w:shd w:val="clear" w:color="auto" w:fill="FFFFFF"/>
          <w:lang w:val="zh-CN"/>
        </w:rPr>
        <w:t>年财政拨款预算收入</w:t>
      </w:r>
      <w:r>
        <w:rPr>
          <w:rFonts w:hint="eastAsia" w:ascii="仿宋_GB2312" w:hAnsi="仿宋_GB2312" w:eastAsia="仿宋_GB2312" w:cs="仿宋_GB2312"/>
          <w:color w:val="000000"/>
          <w:kern w:val="0"/>
          <w:sz w:val="32"/>
          <w:szCs w:val="32"/>
          <w:shd w:val="clear" w:color="auto" w:fill="FFFFFF"/>
          <w:lang w:val="en-US" w:eastAsia="zh-CN"/>
        </w:rPr>
        <w:t>425.97</w:t>
      </w:r>
      <w:r>
        <w:rPr>
          <w:rFonts w:hint="eastAsia" w:ascii="仿宋_GB2312" w:hAnsi="仿宋_GB2312" w:eastAsia="仿宋_GB2312" w:cs="仿宋_GB2312"/>
          <w:color w:val="000000"/>
          <w:kern w:val="0"/>
          <w:sz w:val="32"/>
          <w:szCs w:val="32"/>
          <w:shd w:val="clear" w:color="auto" w:fill="FFFFFF"/>
          <w:lang w:val="zh-CN"/>
        </w:rPr>
        <w:t>万元，其中上级资金  0万元，县级资金</w:t>
      </w:r>
      <w:r>
        <w:rPr>
          <w:rFonts w:hint="eastAsia" w:ascii="仿宋_GB2312" w:hAnsi="仿宋_GB2312" w:eastAsia="仿宋_GB2312" w:cs="仿宋_GB2312"/>
          <w:color w:val="000000"/>
          <w:kern w:val="0"/>
          <w:sz w:val="32"/>
          <w:szCs w:val="32"/>
          <w:shd w:val="clear" w:color="auto" w:fill="FFFFFF"/>
          <w:lang w:val="en-US" w:eastAsia="zh-CN"/>
        </w:rPr>
        <w:t>425.97</w:t>
      </w:r>
      <w:r>
        <w:rPr>
          <w:rFonts w:hint="eastAsia" w:ascii="仿宋_GB2312" w:hAnsi="仿宋_GB2312" w:eastAsia="仿宋_GB2312" w:cs="仿宋_GB2312"/>
          <w:color w:val="000000"/>
          <w:kern w:val="0"/>
          <w:sz w:val="32"/>
          <w:szCs w:val="32"/>
          <w:shd w:val="clear" w:color="auto" w:fill="FFFFFF"/>
          <w:lang w:val="zh-CN"/>
        </w:rPr>
        <w:t>万元。</w:t>
      </w:r>
    </w:p>
    <w:p>
      <w:pPr>
        <w:keepNext w:val="0"/>
        <w:keepLines w:val="0"/>
        <w:pageBreakBefore w:val="0"/>
        <w:widowControl/>
        <w:numPr>
          <w:ilvl w:val="0"/>
          <w:numId w:val="1"/>
        </w:numPr>
        <w:kinsoku/>
        <w:wordWrap/>
        <w:overflowPunct/>
        <w:topLinePunct w:val="0"/>
        <w:autoSpaceDE/>
        <w:autoSpaceDN/>
        <w:bidi w:val="0"/>
        <w:adjustRightInd w:val="0"/>
        <w:snapToGrid w:val="0"/>
        <w:spacing w:line="600" w:lineRule="exact"/>
        <w:ind w:left="0" w:leftChars="0" w:firstLine="640" w:firstLineChars="200"/>
        <w:contextualSpacing/>
        <w:jc w:val="left"/>
        <w:textAlignment w:val="auto"/>
        <w:rPr>
          <w:rFonts w:hint="eastAsia" w:ascii="仿宋_GB2312" w:hAnsi="仿宋_GB2312" w:eastAsia="仿宋_GB2312" w:cs="仿宋_GB2312"/>
          <w:color w:val="000000"/>
          <w:kern w:val="0"/>
          <w:sz w:val="32"/>
          <w:szCs w:val="32"/>
          <w:shd w:val="clear" w:color="auto" w:fill="FFFFFF"/>
          <w:lang w:val="zh-CN"/>
        </w:rPr>
      </w:pPr>
      <w:r>
        <w:rPr>
          <w:rFonts w:hint="eastAsia" w:ascii="仿宋_GB2312" w:hAnsi="仿宋_GB2312" w:eastAsia="仿宋_GB2312" w:cs="仿宋_GB2312"/>
          <w:color w:val="000000"/>
          <w:kern w:val="0"/>
          <w:sz w:val="32"/>
          <w:szCs w:val="32"/>
          <w:shd w:val="clear" w:color="auto" w:fill="FFFFFF"/>
          <w:lang w:val="zh-CN"/>
        </w:rPr>
        <w:t>部门财政资金支出情况。</w:t>
      </w:r>
    </w:p>
    <w:p>
      <w:pPr>
        <w:keepNext w:val="0"/>
        <w:keepLines w:val="0"/>
        <w:pageBreakBefore w:val="0"/>
        <w:widowControl/>
        <w:numPr>
          <w:ilvl w:val="0"/>
          <w:numId w:val="0"/>
        </w:numPr>
        <w:kinsoku/>
        <w:wordWrap/>
        <w:overflowPunct/>
        <w:topLinePunct w:val="0"/>
        <w:autoSpaceDE/>
        <w:autoSpaceDN/>
        <w:bidi w:val="0"/>
        <w:adjustRightInd w:val="0"/>
        <w:snapToGrid w:val="0"/>
        <w:spacing w:line="600" w:lineRule="exact"/>
        <w:ind w:firstLine="640" w:firstLineChars="200"/>
        <w:contextualSpacing/>
        <w:jc w:val="left"/>
        <w:textAlignment w:val="auto"/>
        <w:rPr>
          <w:rFonts w:hint="default" w:ascii="仿宋_GB2312" w:hAnsi="仿宋_GB2312" w:eastAsia="仿宋_GB2312" w:cs="仿宋_GB2312"/>
          <w:color w:val="000000"/>
          <w:kern w:val="0"/>
          <w:sz w:val="32"/>
          <w:szCs w:val="32"/>
          <w:shd w:val="clear" w:color="auto" w:fill="FFFFFF"/>
          <w:lang w:val="en-US" w:eastAsia="zh-CN"/>
        </w:rPr>
      </w:pPr>
      <w:r>
        <w:rPr>
          <w:rFonts w:hint="eastAsia" w:ascii="仿宋_GB2312" w:hAnsi="仿宋_GB2312" w:eastAsia="仿宋_GB2312" w:cs="仿宋_GB2312"/>
          <w:color w:val="000000"/>
          <w:kern w:val="0"/>
          <w:sz w:val="32"/>
          <w:szCs w:val="32"/>
          <w:shd w:val="clear" w:color="auto" w:fill="FFFFFF"/>
          <w:lang w:val="zh-CN"/>
        </w:rPr>
        <w:t>基本支出</w:t>
      </w:r>
      <w:r>
        <w:rPr>
          <w:rFonts w:hint="eastAsia" w:ascii="仿宋_GB2312" w:hAnsi="仿宋_GB2312" w:eastAsia="仿宋_GB2312" w:cs="仿宋_GB2312"/>
          <w:color w:val="000000"/>
          <w:kern w:val="0"/>
          <w:sz w:val="32"/>
          <w:szCs w:val="32"/>
          <w:shd w:val="clear" w:color="auto" w:fill="FFFFFF"/>
          <w:lang w:val="en-US" w:eastAsia="zh-CN"/>
        </w:rPr>
        <w:t>308.8</w:t>
      </w:r>
      <w:r>
        <w:rPr>
          <w:rFonts w:hint="eastAsia" w:ascii="仿宋_GB2312" w:hAnsi="仿宋_GB2312" w:eastAsia="仿宋_GB2312" w:cs="仿宋_GB2312"/>
          <w:color w:val="000000"/>
          <w:kern w:val="0"/>
          <w:sz w:val="32"/>
          <w:szCs w:val="32"/>
          <w:shd w:val="clear" w:color="auto" w:fill="FFFFFF"/>
          <w:lang w:val="zh-CN"/>
        </w:rPr>
        <w:t>万元，项目支出1</w:t>
      </w:r>
      <w:r>
        <w:rPr>
          <w:rFonts w:hint="eastAsia" w:ascii="仿宋_GB2312" w:hAnsi="仿宋_GB2312" w:eastAsia="仿宋_GB2312" w:cs="仿宋_GB2312"/>
          <w:color w:val="000000"/>
          <w:kern w:val="0"/>
          <w:sz w:val="32"/>
          <w:szCs w:val="32"/>
          <w:shd w:val="clear" w:color="auto" w:fill="FFFFFF"/>
          <w:lang w:val="en-US" w:eastAsia="zh-CN"/>
        </w:rPr>
        <w:t>17.17</w:t>
      </w:r>
      <w:r>
        <w:rPr>
          <w:rFonts w:hint="eastAsia" w:ascii="仿宋_GB2312" w:hAnsi="仿宋_GB2312" w:eastAsia="仿宋_GB2312" w:cs="仿宋_GB2312"/>
          <w:color w:val="000000"/>
          <w:kern w:val="0"/>
          <w:sz w:val="32"/>
          <w:szCs w:val="32"/>
          <w:shd w:val="clear" w:color="auto" w:fill="FFFFFF"/>
          <w:lang w:val="zh-CN"/>
        </w:rPr>
        <w:t>万元</w:t>
      </w:r>
      <w:r>
        <w:rPr>
          <w:rFonts w:hint="eastAsia" w:ascii="仿宋_GB2312" w:hAnsi="仿宋_GB2312" w:eastAsia="仿宋_GB2312" w:cs="仿宋_GB2312"/>
          <w:color w:val="000000"/>
          <w:kern w:val="0"/>
          <w:sz w:val="32"/>
          <w:szCs w:val="32"/>
          <w:shd w:val="clear" w:color="auto" w:fill="FFFFFF"/>
          <w:lang w:val="en-US" w:eastAsia="zh-CN"/>
        </w:rPr>
        <w:t>,其中项目7个，具体支出为：爱峨边APP运营维护项目20万元、安全播出保障项目12.79万元、峨边广播电台FM88.0项目20万元、对外宣传栏目项目17.28万元、峨边在线项目14.4万元。政务微信峨边在线22.9万元、情系峨边脱贫助力彝区振兴9.8万元。</w:t>
      </w:r>
    </w:p>
    <w:p>
      <w:pPr>
        <w:keepNext w:val="0"/>
        <w:keepLines w:val="0"/>
        <w:pageBreakBefore w:val="0"/>
        <w:widowControl/>
        <w:numPr>
          <w:ilvl w:val="0"/>
          <w:numId w:val="1"/>
        </w:numPr>
        <w:kinsoku/>
        <w:wordWrap/>
        <w:overflowPunct/>
        <w:topLinePunct w:val="0"/>
        <w:autoSpaceDE/>
        <w:autoSpaceDN/>
        <w:bidi w:val="0"/>
        <w:adjustRightInd w:val="0"/>
        <w:snapToGrid w:val="0"/>
        <w:spacing w:line="600" w:lineRule="exact"/>
        <w:ind w:left="0" w:leftChars="0" w:firstLine="640" w:firstLineChars="200"/>
        <w:contextualSpacing/>
        <w:jc w:val="left"/>
        <w:textAlignment w:val="auto"/>
        <w:rPr>
          <w:rFonts w:hint="eastAsia" w:ascii="仿宋_GB2312" w:hAnsi="仿宋_GB2312" w:eastAsia="仿宋_GB2312" w:cs="仿宋_GB2312"/>
          <w:color w:val="000000"/>
          <w:kern w:val="0"/>
          <w:sz w:val="32"/>
          <w:szCs w:val="32"/>
          <w:shd w:val="clear" w:color="auto" w:fill="FFFFFF"/>
          <w:lang w:val="zh-CN"/>
        </w:rPr>
      </w:pPr>
      <w:r>
        <w:rPr>
          <w:rFonts w:hint="eastAsia" w:ascii="仿宋_GB2312" w:hAnsi="仿宋_GB2312" w:eastAsia="仿宋_GB2312" w:cs="仿宋_GB2312"/>
          <w:color w:val="000000"/>
          <w:kern w:val="0"/>
          <w:sz w:val="32"/>
          <w:szCs w:val="32"/>
          <w:shd w:val="clear" w:color="auto" w:fill="FFFFFF"/>
          <w:lang w:val="zh-CN"/>
        </w:rPr>
        <w:t>部门财政资金结转结余情况。</w:t>
      </w:r>
    </w:p>
    <w:p>
      <w:pPr>
        <w:keepNext w:val="0"/>
        <w:keepLines w:val="0"/>
        <w:pageBreakBefore w:val="0"/>
        <w:widowControl/>
        <w:numPr>
          <w:ilvl w:val="0"/>
          <w:numId w:val="0"/>
        </w:numPr>
        <w:kinsoku/>
        <w:wordWrap/>
        <w:overflowPunct/>
        <w:topLinePunct w:val="0"/>
        <w:autoSpaceDE/>
        <w:autoSpaceDN/>
        <w:bidi w:val="0"/>
        <w:adjustRightInd w:val="0"/>
        <w:snapToGrid w:val="0"/>
        <w:spacing w:line="600" w:lineRule="exact"/>
        <w:ind w:leftChars="200"/>
        <w:contextualSpacing/>
        <w:jc w:val="left"/>
        <w:textAlignment w:val="auto"/>
        <w:rPr>
          <w:rFonts w:hint="default" w:ascii="楷体_GB2312" w:hAnsi="宋体" w:eastAsia="楷体_GB2312" w:cs="宋体"/>
          <w:color w:val="000000"/>
          <w:kern w:val="0"/>
          <w:szCs w:val="32"/>
          <w:shd w:val="clear" w:color="auto" w:fill="FFFFFF"/>
          <w:lang w:val="en-US" w:eastAsia="zh-CN"/>
        </w:rPr>
      </w:pPr>
      <w:r>
        <w:rPr>
          <w:rFonts w:hint="eastAsia" w:ascii="仿宋_GB2312" w:hAnsi="仿宋_GB2312" w:eastAsia="仿宋_GB2312" w:cs="仿宋_GB2312"/>
          <w:color w:val="000000"/>
          <w:kern w:val="0"/>
          <w:sz w:val="32"/>
          <w:szCs w:val="32"/>
          <w:shd w:val="clear" w:color="auto" w:fill="FFFFFF"/>
          <w:lang w:val="zh-CN"/>
        </w:rPr>
        <w:t>本单位</w:t>
      </w:r>
      <w:r>
        <w:rPr>
          <w:rFonts w:hint="eastAsia" w:ascii="仿宋_GB2312" w:hAnsi="仿宋_GB2312" w:eastAsia="仿宋_GB2312" w:cs="仿宋_GB2312"/>
          <w:color w:val="000000"/>
          <w:kern w:val="0"/>
          <w:sz w:val="32"/>
          <w:szCs w:val="32"/>
          <w:shd w:val="clear" w:color="auto" w:fill="FFFFFF"/>
          <w:lang w:val="en-US" w:eastAsia="zh-CN"/>
        </w:rPr>
        <w:t>2022年财政资金结转0万元，结余资金0万元。</w:t>
      </w:r>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left"/>
        <w:textAlignment w:val="auto"/>
        <w:rPr>
          <w:rFonts w:ascii="黑体" w:hAnsi="黑体" w:eastAsia="黑体" w:cs="宋体"/>
          <w:color w:val="000000"/>
          <w:kern w:val="0"/>
          <w:szCs w:val="32"/>
          <w:shd w:val="clear" w:color="auto" w:fill="FFFFFF"/>
        </w:rPr>
      </w:pPr>
      <w:r>
        <w:rPr>
          <w:rFonts w:hint="eastAsia" w:ascii="黑体" w:hAnsi="黑体" w:eastAsia="黑体" w:cs="宋体"/>
          <w:color w:val="000000"/>
          <w:kern w:val="0"/>
          <w:szCs w:val="32"/>
          <w:shd w:val="clear" w:color="auto" w:fill="FFFFFF"/>
        </w:rPr>
        <w:t>三、部门整体绩效管理情况</w:t>
      </w:r>
      <w:bookmarkStart w:id="0" w:name="_GoBack"/>
      <w:bookmarkEnd w:id="0"/>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both"/>
        <w:textAlignment w:val="auto"/>
        <w:rPr>
          <w:rFonts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（一）部门整体履职绩效分析。</w:t>
      </w:r>
    </w:p>
    <w:p>
      <w:pPr>
        <w:keepNext w:val="0"/>
        <w:keepLines w:val="0"/>
        <w:pageBreakBefore w:val="0"/>
        <w:kinsoku/>
        <w:wordWrap/>
        <w:overflowPunct/>
        <w:topLinePunct w:val="0"/>
        <w:autoSpaceDE/>
        <w:autoSpaceDN/>
        <w:bidi w:val="0"/>
        <w:spacing w:line="600" w:lineRule="exact"/>
        <w:ind w:firstLine="640"/>
        <w:contextualSpacing/>
        <w:jc w:val="both"/>
        <w:textAlignment w:val="auto"/>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本单位按照财政要求结合单位实际制定了切实可行的部门绩效目标，</w:t>
      </w:r>
      <w:r>
        <w:rPr>
          <w:rFonts w:hint="eastAsia" w:ascii="仿宋_GB2312" w:hAnsi="仿宋_GB2312" w:eastAsia="仿宋_GB2312" w:cs="仿宋_GB2312"/>
          <w:color w:val="auto"/>
          <w:kern w:val="0"/>
          <w:sz w:val="32"/>
          <w:szCs w:val="32"/>
        </w:rPr>
        <w:t>绩效目标是建设项目库、编制部门预算、实施绩效监控、开展绩效评价的重要基础和依据。进一步加强预算绩效管理，提高</w:t>
      </w:r>
      <w:r>
        <w:rPr>
          <w:rFonts w:hint="eastAsia" w:ascii="仿宋_GB2312" w:hAnsi="仿宋_GB2312" w:eastAsia="仿宋_GB2312" w:cs="仿宋_GB2312"/>
          <w:color w:val="auto"/>
          <w:kern w:val="0"/>
          <w:sz w:val="32"/>
          <w:szCs w:val="32"/>
          <w:lang w:eastAsia="zh-CN"/>
        </w:rPr>
        <w:t>县级</w:t>
      </w:r>
      <w:r>
        <w:rPr>
          <w:rFonts w:hint="eastAsia" w:ascii="仿宋_GB2312" w:hAnsi="仿宋_GB2312" w:eastAsia="仿宋_GB2312" w:cs="仿宋_GB2312"/>
          <w:color w:val="auto"/>
          <w:kern w:val="0"/>
          <w:sz w:val="32"/>
          <w:szCs w:val="32"/>
        </w:rPr>
        <w:t>预算绩效目标管理的科学性、规范性和有效性</w:t>
      </w:r>
      <w:r>
        <w:rPr>
          <w:rFonts w:hint="eastAsia" w:ascii="仿宋_GB2312" w:hAnsi="仿宋_GB2312" w:eastAsia="仿宋_GB2312" w:cs="仿宋_GB2312"/>
          <w:color w:val="auto"/>
          <w:kern w:val="0"/>
          <w:sz w:val="32"/>
          <w:szCs w:val="32"/>
          <w:lang w:eastAsia="zh-CN"/>
        </w:rPr>
        <w:t>，为本单位准确编制年初预算提供了依据。在日常支出中</w:t>
      </w:r>
      <w:r>
        <w:rPr>
          <w:rFonts w:hint="eastAsia" w:ascii="仿宋_GB2312" w:hAnsi="仿宋_GB2312" w:eastAsia="仿宋_GB2312" w:cs="仿宋_GB2312"/>
          <w:color w:val="auto"/>
          <w:kern w:val="0"/>
          <w:sz w:val="32"/>
          <w:szCs w:val="32"/>
          <w:lang w:val="en-US" w:eastAsia="zh-CN"/>
        </w:rPr>
        <w:t>我单位</w:t>
      </w:r>
      <w:r>
        <w:rPr>
          <w:rFonts w:hint="eastAsia" w:ascii="仿宋_GB2312" w:hAnsi="仿宋_GB2312" w:eastAsia="仿宋_GB2312" w:cs="仿宋_GB2312"/>
          <w:color w:val="auto"/>
          <w:kern w:val="0"/>
          <w:sz w:val="32"/>
          <w:szCs w:val="32"/>
          <w:lang w:val="en-US"/>
        </w:rPr>
        <w:t>加强专项资金管理，专款专用，不虚列项目</w:t>
      </w:r>
      <w:r>
        <w:rPr>
          <w:rFonts w:hint="eastAsia" w:ascii="仿宋_GB2312" w:hAnsi="仿宋_GB2312" w:eastAsia="仿宋_GB2312" w:cs="仿宋_GB2312"/>
          <w:color w:val="auto"/>
          <w:kern w:val="0"/>
          <w:sz w:val="32"/>
          <w:szCs w:val="32"/>
          <w:lang w:val="en-US" w:eastAsia="zh-CN"/>
        </w:rPr>
        <w:t>支出</w:t>
      </w:r>
      <w:r>
        <w:rPr>
          <w:rFonts w:hint="eastAsia" w:ascii="仿宋_GB2312" w:hAnsi="仿宋_GB2312" w:eastAsia="仿宋_GB2312" w:cs="仿宋_GB2312"/>
          <w:color w:val="auto"/>
          <w:kern w:val="0"/>
          <w:sz w:val="32"/>
          <w:szCs w:val="32"/>
          <w:lang w:val="en-US"/>
        </w:rPr>
        <w:t>，不截留、挤占、挪用、浪费、套取、转移专项资金。</w:t>
      </w:r>
      <w:r>
        <w:rPr>
          <w:rFonts w:hint="eastAsia" w:ascii="仿宋_GB2312" w:hAnsi="仿宋_GB2312" w:eastAsia="仿宋_GB2312" w:cs="仿宋_GB2312"/>
          <w:color w:val="auto"/>
          <w:kern w:val="0"/>
          <w:sz w:val="32"/>
          <w:szCs w:val="32"/>
          <w:lang w:val="en-US" w:eastAsia="zh-CN"/>
        </w:rPr>
        <w:t>本单位还</w:t>
      </w:r>
      <w:r>
        <w:rPr>
          <w:rFonts w:hint="eastAsia" w:ascii="仿宋_GB2312" w:hAnsi="仿宋_GB2312" w:eastAsia="仿宋_GB2312" w:cs="仿宋_GB2312"/>
          <w:color w:val="auto"/>
          <w:kern w:val="0"/>
          <w:sz w:val="32"/>
          <w:szCs w:val="32"/>
          <w:lang w:val="en-US"/>
        </w:rPr>
        <w:t>建立健全内部控制制度和内部稽核、审批、审查制度，完善内部支出管理，强化内部约束，不断降低</w:t>
      </w:r>
      <w:r>
        <w:rPr>
          <w:rFonts w:hint="eastAsia" w:ascii="仿宋_GB2312" w:hAnsi="仿宋_GB2312" w:eastAsia="仿宋_GB2312" w:cs="仿宋_GB2312"/>
          <w:color w:val="auto"/>
          <w:kern w:val="0"/>
          <w:sz w:val="32"/>
          <w:szCs w:val="32"/>
          <w:lang w:val="en-US" w:eastAsia="zh-CN"/>
        </w:rPr>
        <w:t>本单位</w:t>
      </w:r>
      <w:r>
        <w:rPr>
          <w:rFonts w:hint="eastAsia" w:ascii="仿宋_GB2312" w:hAnsi="仿宋_GB2312" w:eastAsia="仿宋_GB2312" w:cs="仿宋_GB2312"/>
          <w:color w:val="auto"/>
          <w:kern w:val="0"/>
          <w:sz w:val="32"/>
          <w:szCs w:val="32"/>
          <w:lang w:val="en-US"/>
        </w:rPr>
        <w:t>运行成本。各项支出符合国家的现行规定，不擅自提高补贴标准，不巧立名目、</w:t>
      </w:r>
      <w:r>
        <w:rPr>
          <w:rFonts w:hint="eastAsia" w:ascii="仿宋_GB2312" w:hAnsi="仿宋_GB2312" w:eastAsia="仿宋_GB2312" w:cs="仿宋_GB2312"/>
          <w:color w:val="auto"/>
          <w:kern w:val="0"/>
          <w:sz w:val="32"/>
          <w:szCs w:val="32"/>
          <w:lang w:val="en-US" w:eastAsia="zh-CN"/>
        </w:rPr>
        <w:t>不</w:t>
      </w:r>
      <w:r>
        <w:rPr>
          <w:rFonts w:hint="eastAsia" w:ascii="仿宋_GB2312" w:hAnsi="仿宋_GB2312" w:eastAsia="仿宋_GB2312" w:cs="仿宋_GB2312"/>
          <w:color w:val="auto"/>
          <w:kern w:val="0"/>
          <w:sz w:val="32"/>
          <w:szCs w:val="32"/>
          <w:lang w:val="en-US"/>
        </w:rPr>
        <w:t>变相扩大个人补贴范围；不随意提高差旅费、会议费等报销标准</w:t>
      </w:r>
      <w:r>
        <w:rPr>
          <w:rFonts w:hint="eastAsia" w:ascii="仿宋_GB2312" w:hAnsi="仿宋_GB2312" w:eastAsia="仿宋_GB2312" w:cs="仿宋_GB2312"/>
          <w:color w:val="auto"/>
          <w:kern w:val="0"/>
          <w:sz w:val="32"/>
          <w:szCs w:val="32"/>
          <w:lang w:val="en-US" w:eastAsia="zh-CN"/>
        </w:rPr>
        <w:t>，严格控制支出。年初在制定预算时针对本年度工作开展实际需要以及结合上年度资金使用情况进行了动态调整，使资金充分发挥有效作用更好地</w:t>
      </w:r>
      <w:r>
        <w:rPr>
          <w:rFonts w:hint="eastAsia" w:ascii="仿宋_GB2312" w:hAnsi="仿宋_GB2312" w:cs="仿宋_GB2312"/>
          <w:color w:val="auto"/>
          <w:kern w:val="0"/>
          <w:sz w:val="32"/>
          <w:szCs w:val="32"/>
          <w:lang w:val="en-US" w:eastAsia="zh-CN"/>
        </w:rPr>
        <w:t>为</w:t>
      </w:r>
      <w:r>
        <w:rPr>
          <w:rFonts w:hint="eastAsia" w:ascii="仿宋_GB2312" w:hAnsi="仿宋_GB2312" w:eastAsia="仿宋_GB2312" w:cs="仿宋_GB2312"/>
          <w:color w:val="auto"/>
          <w:kern w:val="0"/>
          <w:sz w:val="32"/>
          <w:szCs w:val="32"/>
          <w:lang w:val="en-US" w:eastAsia="zh-CN"/>
        </w:rPr>
        <w:t>各项工作</w:t>
      </w:r>
      <w:r>
        <w:rPr>
          <w:rFonts w:hint="eastAsia" w:ascii="仿宋_GB2312" w:hAnsi="仿宋_GB2312" w:cs="仿宋_GB2312"/>
          <w:color w:val="auto"/>
          <w:kern w:val="0"/>
          <w:sz w:val="32"/>
          <w:szCs w:val="32"/>
          <w:lang w:val="en-US" w:eastAsia="zh-CN"/>
        </w:rPr>
        <w:t>服务，</w:t>
      </w:r>
      <w:r>
        <w:rPr>
          <w:rFonts w:hint="eastAsia" w:ascii="仿宋_GB2312" w:hAnsi="仿宋_GB2312" w:eastAsia="仿宋_GB2312" w:cs="仿宋_GB2312"/>
          <w:color w:val="auto"/>
          <w:kern w:val="0"/>
          <w:sz w:val="32"/>
          <w:szCs w:val="32"/>
          <w:lang w:val="en-US" w:eastAsia="zh-CN"/>
        </w:rPr>
        <w:t>使预算工作有序、圆满完成，无违规现象。</w:t>
      </w:r>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both"/>
        <w:textAlignment w:val="auto"/>
        <w:rPr>
          <w:rFonts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（二）特定目标类项目绩效分析。</w:t>
      </w:r>
    </w:p>
    <w:p>
      <w:pPr>
        <w:keepNext w:val="0"/>
        <w:keepLines w:val="0"/>
        <w:pageBreakBefore w:val="0"/>
        <w:kinsoku/>
        <w:wordWrap/>
        <w:overflowPunct/>
        <w:topLinePunct w:val="0"/>
        <w:autoSpaceDE/>
        <w:autoSpaceDN/>
        <w:bidi w:val="0"/>
        <w:spacing w:line="600" w:lineRule="exact"/>
        <w:ind w:firstLine="640"/>
        <w:contextualSpacing/>
        <w:jc w:val="both"/>
        <w:textAlignment w:val="auto"/>
        <w:rPr>
          <w:rFonts w:hint="eastAsia" w:ascii="仿宋_GB2312" w:hAnsi="仿宋_GB2312" w:eastAsia="仿宋_GB2312" w:cs="仿宋_GB2312"/>
          <w:color w:val="000000"/>
          <w:kern w:val="0"/>
          <w:sz w:val="32"/>
          <w:szCs w:val="32"/>
          <w:shd w:val="clear" w:color="auto" w:fill="FFFFFF"/>
          <w:lang w:val="zh-CN"/>
        </w:rPr>
      </w:pPr>
      <w:r>
        <w:rPr>
          <w:rFonts w:hint="eastAsia" w:ascii="仿宋_GB2312" w:hAnsi="仿宋_GB2312" w:eastAsia="仿宋_GB2312" w:cs="仿宋_GB2312"/>
          <w:color w:val="auto"/>
          <w:kern w:val="0"/>
          <w:sz w:val="32"/>
          <w:szCs w:val="32"/>
          <w:lang w:val="en-US" w:eastAsia="zh-CN"/>
        </w:rPr>
        <w:t>2022年我单位结合业务工作需要制定了特定目标类项目年初预算，各项目按照计划有序实施，在实施过程中进行了事前、事中及事后自查和监督，确保了所有项目有序、规范开展并严格进行了项目验收工作，按照项目实施进度支付经费，项目实际完成任务量和效果达到规划预期情况。2022年本单位无100万以上项目。</w:t>
      </w:r>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left"/>
        <w:textAlignment w:val="auto"/>
        <w:rPr>
          <w:rFonts w:hint="eastAsia" w:ascii="仿宋_GB2312" w:hAnsi="仿宋_GB2312" w:eastAsia="仿宋_GB2312" w:cs="仿宋_GB2312"/>
          <w:color w:val="000000"/>
          <w:kern w:val="0"/>
          <w:sz w:val="32"/>
          <w:szCs w:val="32"/>
          <w:shd w:val="clear" w:color="auto" w:fill="FFFFFF"/>
          <w:lang w:val="zh-CN"/>
        </w:rPr>
      </w:pPr>
      <w:r>
        <w:rPr>
          <w:rFonts w:hint="eastAsia" w:ascii="仿宋_GB2312" w:hAnsi="仿宋_GB2312" w:eastAsia="仿宋_GB2312" w:cs="仿宋_GB2312"/>
          <w:color w:val="000000"/>
          <w:kern w:val="0"/>
          <w:sz w:val="32"/>
          <w:szCs w:val="32"/>
          <w:shd w:val="clear" w:color="auto" w:fill="FFFFFF"/>
          <w:lang w:val="zh-CN"/>
        </w:rPr>
        <w:t>（三）结果应用情况。</w:t>
      </w:r>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both"/>
        <w:textAlignment w:val="auto"/>
        <w:rPr>
          <w:rFonts w:ascii="仿宋_GB2312" w:hAnsi="宋体" w:eastAsia="仿宋_GB2312" w:cs="宋体"/>
          <w:color w:val="000000"/>
          <w:kern w:val="0"/>
          <w:szCs w:val="32"/>
          <w:shd w:val="clear" w:color="auto" w:fill="FFFFFF"/>
          <w:lang w:val="zh-CN"/>
        </w:rPr>
      </w:pPr>
      <w:r>
        <w:rPr>
          <w:rFonts w:hint="eastAsia" w:ascii="仿宋_GB2312" w:hAnsi="仿宋_GB2312" w:eastAsia="仿宋_GB2312" w:cs="仿宋_GB2312"/>
          <w:color w:val="auto"/>
          <w:kern w:val="0"/>
          <w:sz w:val="32"/>
          <w:szCs w:val="32"/>
          <w:lang w:val="zh-CN" w:eastAsia="zh-CN"/>
        </w:rPr>
        <w:t>本单位按照严格、真实的原则对本部门整体支出绩效情况进行自评，对取得的成效和存在的问题进行仔细分析并提出下一步整改方案，同时按照财政要求在规定的时间点在规定的网站对绩效目标和自评进行公开，并对相关部门反馈的评价结果和应用结果进行及时整改，逐步完善部门整体预算绩效管理工作。</w:t>
      </w:r>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left"/>
        <w:textAlignment w:val="auto"/>
        <w:rPr>
          <w:rFonts w:ascii="黑体" w:hAnsi="黑体" w:eastAsia="黑体" w:cs="宋体"/>
          <w:color w:val="000000"/>
          <w:kern w:val="0"/>
          <w:szCs w:val="32"/>
          <w:shd w:val="clear" w:color="auto" w:fill="FFFFFF"/>
        </w:rPr>
      </w:pPr>
      <w:r>
        <w:rPr>
          <w:rFonts w:hint="eastAsia" w:ascii="黑体" w:hAnsi="黑体" w:eastAsia="黑体" w:cs="宋体"/>
          <w:color w:val="000000"/>
          <w:kern w:val="0"/>
          <w:szCs w:val="32"/>
          <w:shd w:val="clear" w:color="auto" w:fill="FFFFFF"/>
        </w:rPr>
        <w:t>四、评价结论及建议</w:t>
      </w:r>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left"/>
        <w:textAlignment w:val="auto"/>
        <w:rPr>
          <w:rFonts w:hint="eastAsia" w:ascii="仿宋_GB2312" w:hAnsi="仿宋_GB2312" w:eastAsia="仿宋_GB2312" w:cs="仿宋_GB2312"/>
          <w:color w:val="000000"/>
          <w:kern w:val="0"/>
          <w:szCs w:val="32"/>
          <w:shd w:val="clear" w:color="auto" w:fill="FFFFFF"/>
          <w:lang w:val="zh-CN"/>
        </w:rPr>
      </w:pPr>
      <w:r>
        <w:rPr>
          <w:rFonts w:hint="eastAsia" w:ascii="仿宋_GB2312" w:hAnsi="仿宋_GB2312" w:eastAsia="仿宋_GB2312" w:cs="仿宋_GB2312"/>
          <w:color w:val="000000"/>
          <w:kern w:val="0"/>
          <w:szCs w:val="32"/>
          <w:shd w:val="clear" w:color="auto" w:fill="FFFFFF"/>
          <w:lang w:val="zh-CN"/>
        </w:rPr>
        <w:t>（一）评价结论。</w:t>
      </w:r>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left"/>
        <w:textAlignment w:val="auto"/>
        <w:rPr>
          <w:rFonts w:hint="eastAsia" w:ascii="仿宋_GB2312" w:hAnsi="仿宋_GB2312" w:eastAsia="仿宋_GB2312" w:cs="仿宋_GB2312"/>
          <w:color w:val="000000"/>
          <w:kern w:val="0"/>
          <w:szCs w:val="32"/>
          <w:shd w:val="clear" w:color="auto" w:fill="FFFFFF"/>
          <w:lang w:val="zh-CN"/>
        </w:rPr>
      </w:pPr>
      <w:r>
        <w:rPr>
          <w:rFonts w:hint="eastAsia" w:ascii="仿宋_GB2312" w:hAnsi="仿宋_GB2312" w:eastAsia="仿宋_GB2312" w:cs="仿宋_GB2312"/>
          <w:color w:val="000000"/>
          <w:kern w:val="0"/>
          <w:szCs w:val="32"/>
          <w:shd w:val="clear" w:color="auto" w:fill="FFFFFF"/>
          <w:lang w:val="zh-CN"/>
        </w:rPr>
        <w:t>根据《峨边彝族自治县财政局 关于开展20</w:t>
      </w:r>
      <w:r>
        <w:rPr>
          <w:rFonts w:hint="eastAsia" w:ascii="仿宋_GB2312" w:hAnsi="仿宋_GB2312" w:eastAsia="仿宋_GB2312" w:cs="仿宋_GB2312"/>
          <w:color w:val="000000"/>
          <w:kern w:val="0"/>
          <w:szCs w:val="32"/>
          <w:shd w:val="clear" w:color="auto" w:fill="FFFFFF"/>
          <w:lang w:val="en-US" w:eastAsia="zh-CN"/>
        </w:rPr>
        <w:t>22</w:t>
      </w:r>
      <w:r>
        <w:rPr>
          <w:rFonts w:hint="eastAsia" w:ascii="仿宋_GB2312" w:hAnsi="仿宋_GB2312" w:eastAsia="仿宋_GB2312" w:cs="仿宋_GB2312"/>
          <w:color w:val="000000"/>
          <w:kern w:val="0"/>
          <w:szCs w:val="32"/>
          <w:shd w:val="clear" w:color="auto" w:fill="FFFFFF"/>
          <w:lang w:val="zh-CN"/>
        </w:rPr>
        <w:t>年财政绩效评价工作的通知》文件精神，</w:t>
      </w:r>
      <w:r>
        <w:rPr>
          <w:rFonts w:hint="eastAsia" w:ascii="仿宋_GB2312" w:hAnsi="仿宋_GB2312" w:eastAsia="仿宋_GB2312" w:cs="仿宋_GB2312"/>
          <w:color w:val="000000"/>
          <w:kern w:val="0"/>
          <w:szCs w:val="32"/>
          <w:shd w:val="clear" w:color="auto" w:fill="FFFFFF"/>
          <w:lang w:val="en-US" w:eastAsia="zh-CN"/>
        </w:rPr>
        <w:t>县融媒体中心认真组织开展了部门整体支出绩效评价工作，绩效评价</w:t>
      </w:r>
      <w:r>
        <w:rPr>
          <w:rFonts w:hint="eastAsia" w:ascii="仿宋_GB2312" w:hAnsi="仿宋_GB2312" w:eastAsia="仿宋_GB2312" w:cs="仿宋_GB2312"/>
          <w:color w:val="000000"/>
          <w:kern w:val="0"/>
          <w:szCs w:val="32"/>
          <w:shd w:val="clear" w:color="auto" w:fill="FFFFFF"/>
          <w:lang w:val="zh-CN"/>
        </w:rPr>
        <w:t>得分：</w:t>
      </w:r>
      <w:r>
        <w:rPr>
          <w:rFonts w:hint="eastAsia" w:ascii="仿宋_GB2312" w:hAnsi="仿宋_GB2312" w:eastAsia="仿宋_GB2312" w:cs="仿宋_GB2312"/>
          <w:color w:val="000000"/>
          <w:kern w:val="0"/>
          <w:szCs w:val="32"/>
          <w:shd w:val="clear" w:color="auto" w:fill="FFFFFF"/>
          <w:lang w:val="en-US" w:eastAsia="zh-CN"/>
        </w:rPr>
        <w:t>96</w:t>
      </w:r>
      <w:r>
        <w:rPr>
          <w:rFonts w:hint="eastAsia" w:ascii="仿宋_GB2312" w:hAnsi="仿宋_GB2312" w:eastAsia="仿宋_GB2312" w:cs="仿宋_GB2312"/>
          <w:color w:val="000000"/>
          <w:kern w:val="0"/>
          <w:szCs w:val="32"/>
          <w:shd w:val="clear" w:color="auto" w:fill="FFFFFF"/>
          <w:lang w:val="zh-CN"/>
        </w:rPr>
        <w:t>分。</w:t>
      </w:r>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left"/>
        <w:textAlignment w:val="auto"/>
        <w:rPr>
          <w:rFonts w:hint="eastAsia" w:ascii="仿宋_GB2312" w:hAnsi="仿宋_GB2312" w:eastAsia="仿宋_GB2312" w:cs="仿宋_GB2312"/>
          <w:color w:val="000000"/>
          <w:kern w:val="0"/>
          <w:szCs w:val="32"/>
          <w:shd w:val="clear" w:color="auto" w:fill="FFFFFF"/>
          <w:lang w:val="zh-CN"/>
        </w:rPr>
      </w:pPr>
      <w:r>
        <w:rPr>
          <w:rFonts w:hint="eastAsia" w:ascii="仿宋_GB2312" w:hAnsi="仿宋_GB2312" w:eastAsia="仿宋_GB2312" w:cs="仿宋_GB2312"/>
          <w:color w:val="000000"/>
          <w:kern w:val="0"/>
          <w:szCs w:val="32"/>
          <w:shd w:val="clear" w:color="auto" w:fill="FFFFFF"/>
          <w:lang w:val="zh-CN"/>
        </w:rPr>
        <w:t>（二）存在问题。</w:t>
      </w:r>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left"/>
        <w:textAlignment w:val="auto"/>
        <w:rPr>
          <w:rFonts w:hint="eastAsia" w:ascii="仿宋_GB2312" w:hAnsi="仿宋_GB2312" w:eastAsia="仿宋_GB2312" w:cs="仿宋_GB2312"/>
          <w:color w:val="000000"/>
          <w:kern w:val="0"/>
          <w:szCs w:val="32"/>
          <w:shd w:val="clear" w:color="auto" w:fill="FFFFFF"/>
          <w:lang w:val="en-US" w:eastAsia="zh-CN"/>
        </w:rPr>
      </w:pPr>
      <w:r>
        <w:rPr>
          <w:rFonts w:hint="eastAsia" w:ascii="仿宋_GB2312" w:hAnsi="仿宋_GB2312" w:eastAsia="仿宋_GB2312" w:cs="仿宋_GB2312"/>
          <w:color w:val="000000"/>
          <w:kern w:val="0"/>
          <w:szCs w:val="32"/>
          <w:shd w:val="clear" w:color="auto" w:fill="FFFFFF"/>
          <w:lang w:val="zh-CN"/>
        </w:rPr>
        <w:t>预算不够细化、精准。</w:t>
      </w:r>
    </w:p>
    <w:p>
      <w:pPr>
        <w:keepNext w:val="0"/>
        <w:keepLines w:val="0"/>
        <w:pageBreakBefore w:val="0"/>
        <w:widowControl/>
        <w:numPr>
          <w:ilvl w:val="0"/>
          <w:numId w:val="2"/>
        </w:numPr>
        <w:kinsoku/>
        <w:wordWrap/>
        <w:overflowPunct/>
        <w:topLinePunct w:val="0"/>
        <w:autoSpaceDE/>
        <w:autoSpaceDN/>
        <w:bidi w:val="0"/>
        <w:adjustRightInd w:val="0"/>
        <w:snapToGrid w:val="0"/>
        <w:spacing w:line="600" w:lineRule="exact"/>
        <w:ind w:firstLine="640" w:firstLineChars="200"/>
        <w:contextualSpacing/>
        <w:jc w:val="left"/>
        <w:textAlignment w:val="auto"/>
        <w:rPr>
          <w:rFonts w:hint="eastAsia" w:ascii="仿宋_GB2312" w:hAnsi="仿宋_GB2312" w:eastAsia="仿宋_GB2312" w:cs="仿宋_GB2312"/>
          <w:color w:val="000000"/>
          <w:kern w:val="0"/>
          <w:szCs w:val="32"/>
          <w:shd w:val="clear" w:color="auto" w:fill="FFFFFF"/>
          <w:lang w:val="zh-CN"/>
        </w:rPr>
      </w:pPr>
      <w:r>
        <w:rPr>
          <w:rFonts w:hint="eastAsia" w:ascii="仿宋_GB2312" w:hAnsi="仿宋_GB2312" w:eastAsia="仿宋_GB2312" w:cs="仿宋_GB2312"/>
          <w:color w:val="000000"/>
          <w:kern w:val="0"/>
          <w:szCs w:val="32"/>
          <w:shd w:val="clear" w:color="auto" w:fill="FFFFFF"/>
          <w:lang w:val="zh-CN"/>
        </w:rPr>
        <w:t>改进建议。</w:t>
      </w:r>
      <w:r>
        <w:rPr>
          <w:rFonts w:hint="eastAsia" w:ascii="仿宋_GB2312" w:hAnsi="仿宋_GB2312" w:eastAsia="仿宋_GB2312" w:cs="仿宋_GB2312"/>
          <w:color w:val="000000"/>
          <w:kern w:val="0"/>
          <w:szCs w:val="32"/>
          <w:shd w:val="clear" w:color="auto" w:fill="FFFFFF"/>
          <w:lang w:val="en-US" w:eastAsia="zh-CN"/>
        </w:rPr>
        <w:t xml:space="preserve"> </w:t>
      </w:r>
    </w:p>
    <w:p>
      <w:pPr>
        <w:keepNext w:val="0"/>
        <w:keepLines w:val="0"/>
        <w:pageBreakBefore w:val="0"/>
        <w:widowControl/>
        <w:numPr>
          <w:ilvl w:val="0"/>
          <w:numId w:val="0"/>
        </w:numPr>
        <w:kinsoku/>
        <w:wordWrap/>
        <w:overflowPunct/>
        <w:topLinePunct w:val="0"/>
        <w:autoSpaceDE/>
        <w:autoSpaceDN/>
        <w:bidi w:val="0"/>
        <w:adjustRightInd w:val="0"/>
        <w:snapToGrid w:val="0"/>
        <w:spacing w:line="600" w:lineRule="exact"/>
        <w:ind w:firstLine="640" w:firstLineChars="200"/>
        <w:contextualSpacing/>
        <w:jc w:val="left"/>
        <w:textAlignment w:val="auto"/>
        <w:rPr>
          <w:rFonts w:hint="eastAsia" w:ascii="仿宋_GB2312" w:hAnsi="仿宋_GB2312" w:eastAsia="仿宋_GB2312" w:cs="仿宋_GB2312"/>
          <w:color w:val="000000"/>
          <w:kern w:val="0"/>
          <w:szCs w:val="32"/>
          <w:shd w:val="clear" w:color="auto" w:fill="FFFFFF"/>
          <w:lang w:val="zh-CN"/>
        </w:rPr>
      </w:pPr>
      <w:r>
        <w:rPr>
          <w:rFonts w:hint="eastAsia" w:ascii="仿宋_GB2312" w:hAnsi="仿宋_GB2312" w:eastAsia="仿宋_GB2312" w:cs="仿宋_GB2312"/>
          <w:color w:val="000000"/>
          <w:kern w:val="0"/>
          <w:szCs w:val="32"/>
          <w:shd w:val="clear" w:color="auto" w:fill="FFFFFF"/>
          <w:lang w:val="zh-CN"/>
        </w:rPr>
        <w:t>1、认真做好预算的编制，细化预算编制工作，优先保障</w:t>
      </w:r>
      <w:r>
        <w:rPr>
          <w:rFonts w:hint="eastAsia" w:ascii="仿宋_GB2312" w:hAnsi="仿宋_GB2312" w:eastAsia="仿宋_GB2312" w:cs="仿宋_GB2312"/>
          <w:color w:val="000000"/>
          <w:kern w:val="0"/>
          <w:szCs w:val="32"/>
          <w:shd w:val="clear" w:color="auto" w:fill="FFFFFF"/>
          <w:lang w:val="en-US" w:eastAsia="zh-CN"/>
        </w:rPr>
        <w:t>民生</w:t>
      </w:r>
      <w:r>
        <w:rPr>
          <w:rFonts w:hint="eastAsia" w:ascii="仿宋_GB2312" w:hAnsi="仿宋_GB2312" w:eastAsia="仿宋_GB2312" w:cs="仿宋_GB2312"/>
          <w:color w:val="000000"/>
          <w:kern w:val="0"/>
          <w:szCs w:val="32"/>
          <w:shd w:val="clear" w:color="auto" w:fill="FFFFFF"/>
          <w:lang w:val="zh-CN"/>
        </w:rPr>
        <w:t>费用支出项目。</w:t>
      </w:r>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left"/>
        <w:textAlignment w:val="auto"/>
        <w:rPr>
          <w:rFonts w:hint="eastAsia" w:ascii="仿宋_GB2312" w:hAnsi="仿宋_GB2312" w:eastAsia="仿宋_GB2312" w:cs="仿宋_GB2312"/>
          <w:color w:val="000000"/>
          <w:kern w:val="0"/>
          <w:szCs w:val="32"/>
          <w:shd w:val="clear" w:color="auto" w:fill="FFFFFF"/>
          <w:lang w:val="en-US" w:eastAsia="zh-CN"/>
        </w:rPr>
      </w:pPr>
      <w:r>
        <w:rPr>
          <w:rFonts w:hint="eastAsia" w:ascii="仿宋_GB2312" w:hAnsi="仿宋_GB2312" w:eastAsia="仿宋_GB2312" w:cs="仿宋_GB2312"/>
          <w:color w:val="000000"/>
          <w:kern w:val="0"/>
          <w:szCs w:val="32"/>
          <w:shd w:val="clear" w:color="auto" w:fill="FFFFFF"/>
          <w:lang w:val="zh-CN"/>
        </w:rPr>
        <w:t>2、加强财务管理，严格财务审批，完善内控制度建设，提高资金使用效能。</w:t>
      </w:r>
    </w:p>
    <w:p>
      <w:pPr>
        <w:keepNext w:val="0"/>
        <w:keepLines w:val="0"/>
        <w:pageBreakBefore w:val="0"/>
        <w:widowControl/>
        <w:numPr>
          <w:ilvl w:val="0"/>
          <w:numId w:val="0"/>
        </w:numPr>
        <w:kinsoku/>
        <w:wordWrap/>
        <w:overflowPunct/>
        <w:topLinePunct w:val="0"/>
        <w:autoSpaceDE/>
        <w:autoSpaceDN/>
        <w:bidi w:val="0"/>
        <w:adjustRightInd w:val="0"/>
        <w:snapToGrid w:val="0"/>
        <w:spacing w:line="600" w:lineRule="exact"/>
        <w:ind w:firstLine="640" w:firstLineChars="200"/>
        <w:contextualSpacing/>
        <w:jc w:val="both"/>
        <w:textAlignment w:val="auto"/>
        <w:rPr>
          <w:rFonts w:hint="eastAsia" w:ascii="仿宋_GB2312" w:hAnsi="仿宋_GB2312" w:eastAsia="仿宋_GB2312" w:cs="仿宋_GB2312"/>
          <w:color w:val="auto"/>
          <w:kern w:val="0"/>
          <w:szCs w:val="32"/>
          <w:shd w:val="clear" w:color="auto" w:fill="FFFFFF"/>
          <w:lang w:val="en-US" w:eastAsia="zh-CN"/>
        </w:rPr>
      </w:pPr>
      <w:r>
        <w:rPr>
          <w:rFonts w:hint="eastAsia" w:ascii="仿宋_GB2312" w:hAnsi="仿宋_GB2312" w:eastAsia="仿宋_GB2312" w:cs="仿宋_GB2312"/>
          <w:color w:val="auto"/>
          <w:kern w:val="0"/>
          <w:szCs w:val="32"/>
          <w:shd w:val="clear" w:color="auto" w:fill="FFFFFF"/>
          <w:lang w:val="en-US" w:eastAsia="zh-CN"/>
        </w:rPr>
        <w:t>3、完善管理制度，进一步加强资产管理；</w:t>
      </w:r>
    </w:p>
    <w:p>
      <w:pPr>
        <w:keepNext w:val="0"/>
        <w:keepLines w:val="0"/>
        <w:pageBreakBefore w:val="0"/>
        <w:widowControl/>
        <w:numPr>
          <w:ilvl w:val="0"/>
          <w:numId w:val="0"/>
        </w:numPr>
        <w:kinsoku/>
        <w:wordWrap/>
        <w:overflowPunct/>
        <w:topLinePunct w:val="0"/>
        <w:autoSpaceDE/>
        <w:autoSpaceDN/>
        <w:bidi w:val="0"/>
        <w:adjustRightInd w:val="0"/>
        <w:snapToGrid w:val="0"/>
        <w:spacing w:line="600" w:lineRule="exact"/>
        <w:ind w:firstLine="640" w:firstLineChars="200"/>
        <w:contextualSpacing/>
        <w:jc w:val="both"/>
        <w:textAlignment w:val="auto"/>
        <w:rPr>
          <w:rFonts w:hint="eastAsia" w:ascii="仿宋_GB2312" w:hAnsi="仿宋_GB2312" w:eastAsia="仿宋_GB2312" w:cs="仿宋_GB2312"/>
          <w:color w:val="000000"/>
          <w:kern w:val="0"/>
          <w:szCs w:val="32"/>
          <w:shd w:val="clear" w:color="auto" w:fill="FFFFFF"/>
          <w:lang w:val="en-US" w:eastAsia="zh-CN"/>
        </w:rPr>
      </w:pPr>
      <w:r>
        <w:rPr>
          <w:rFonts w:hint="eastAsia" w:ascii="仿宋_GB2312" w:hAnsi="仿宋_GB2312" w:eastAsia="仿宋_GB2312" w:cs="仿宋_GB2312"/>
          <w:color w:val="auto"/>
          <w:kern w:val="0"/>
          <w:szCs w:val="32"/>
          <w:shd w:val="clear" w:color="auto" w:fill="FFFFFF"/>
          <w:lang w:val="en-US" w:eastAsia="zh-CN"/>
        </w:rPr>
        <w:t>4、加强财务专业知识学习培训。</w:t>
      </w:r>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left"/>
        <w:textAlignment w:val="auto"/>
        <w:rPr>
          <w:rFonts w:ascii="楷体_GB2312" w:hAnsi="宋体" w:eastAsia="楷体_GB2312" w:cs="宋体"/>
          <w:color w:val="000000"/>
          <w:kern w:val="0"/>
          <w:szCs w:val="32"/>
          <w:shd w:val="clear" w:color="auto" w:fill="FFFFFF"/>
          <w:lang w:val="zh-CN"/>
        </w:rPr>
      </w:pPr>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left"/>
        <w:textAlignment w:val="auto"/>
        <w:rPr>
          <w:rFonts w:ascii="楷体_GB2312" w:hAnsi="宋体" w:eastAsia="楷体_GB2312" w:cs="宋体"/>
          <w:color w:val="000000"/>
          <w:kern w:val="0"/>
          <w:szCs w:val="32"/>
          <w:shd w:val="clear" w:color="auto" w:fill="FFFFFF"/>
          <w:lang w:val="zh-CN"/>
        </w:rPr>
      </w:pPr>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left"/>
        <w:textAlignment w:val="auto"/>
        <w:rPr>
          <w:rFonts w:ascii="楷体_GB2312" w:hAnsi="宋体" w:eastAsia="楷体_GB2312" w:cs="宋体"/>
          <w:color w:val="000000"/>
          <w:kern w:val="0"/>
          <w:szCs w:val="32"/>
          <w:shd w:val="clear" w:color="auto" w:fill="FFFFFF"/>
          <w:lang w:val="zh-CN"/>
        </w:rPr>
      </w:pPr>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left"/>
        <w:textAlignment w:val="auto"/>
        <w:rPr>
          <w:rFonts w:ascii="楷体_GB2312" w:hAnsi="宋体" w:eastAsia="楷体_GB2312" w:cs="宋体"/>
          <w:color w:val="000000"/>
          <w:kern w:val="0"/>
          <w:szCs w:val="32"/>
          <w:shd w:val="clear" w:color="auto" w:fill="FFFFFF"/>
          <w:lang w:val="zh-CN"/>
        </w:rPr>
      </w:pPr>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left"/>
        <w:textAlignment w:val="auto"/>
        <w:rPr>
          <w:rFonts w:ascii="楷体_GB2312" w:hAnsi="宋体" w:eastAsia="楷体_GB2312" w:cs="宋体"/>
          <w:color w:val="000000"/>
          <w:kern w:val="0"/>
          <w:szCs w:val="32"/>
          <w:shd w:val="clear" w:color="auto" w:fill="FFFFFF"/>
          <w:lang w:val="zh-CN"/>
        </w:rPr>
      </w:pPr>
    </w:p>
    <w:p>
      <w:pPr>
        <w:keepNext w:val="0"/>
        <w:keepLines w:val="0"/>
        <w:pageBreakBefore w:val="0"/>
        <w:widowControl/>
        <w:kinsoku/>
        <w:wordWrap/>
        <w:overflowPunct/>
        <w:topLinePunct w:val="0"/>
        <w:autoSpaceDE/>
        <w:autoSpaceDN/>
        <w:bidi w:val="0"/>
        <w:adjustRightInd w:val="0"/>
        <w:snapToGrid w:val="0"/>
        <w:spacing w:line="600" w:lineRule="exact"/>
        <w:ind w:firstLine="2560" w:firstLineChars="800"/>
        <w:contextualSpacing/>
        <w:jc w:val="center"/>
        <w:textAlignment w:val="auto"/>
        <w:rPr>
          <w:rFonts w:hint="eastAsia" w:ascii="仿宋_GB2312" w:hAnsi="仿宋_GB2312" w:eastAsia="仿宋_GB2312" w:cs="仿宋_GB2312"/>
          <w:color w:val="000000"/>
          <w:kern w:val="0"/>
          <w:szCs w:val="32"/>
          <w:shd w:val="clear" w:color="auto" w:fill="FFFFFF"/>
          <w:lang w:val="en-US" w:eastAsia="zh-CN"/>
        </w:rPr>
      </w:pPr>
      <w:r>
        <w:rPr>
          <w:rFonts w:hint="eastAsia" w:ascii="仿宋_GB2312" w:hAnsi="仿宋_GB2312" w:eastAsia="仿宋_GB2312" w:cs="仿宋_GB2312"/>
          <w:color w:val="000000"/>
          <w:kern w:val="0"/>
          <w:szCs w:val="32"/>
          <w:shd w:val="clear" w:color="auto" w:fill="FFFFFF"/>
          <w:lang w:val="en-US" w:eastAsia="zh-CN"/>
        </w:rPr>
        <w:t xml:space="preserve">  </w:t>
      </w:r>
      <w:r>
        <w:rPr>
          <w:rFonts w:hint="eastAsia" w:ascii="仿宋_GB2312" w:hAnsi="仿宋_GB2312" w:eastAsia="仿宋_GB2312" w:cs="仿宋_GB2312"/>
          <w:color w:val="000000"/>
          <w:kern w:val="0"/>
          <w:szCs w:val="32"/>
          <w:shd w:val="clear" w:color="auto" w:fill="FFFFFF"/>
          <w:lang w:val="zh-CN"/>
        </w:rPr>
        <w:t>峨边彝族自治县融媒体中心</w:t>
      </w:r>
    </w:p>
    <w:p>
      <w:pPr>
        <w:keepNext w:val="0"/>
        <w:keepLines w:val="0"/>
        <w:pageBreakBefore w:val="0"/>
        <w:widowControl/>
        <w:kinsoku/>
        <w:wordWrap/>
        <w:overflowPunct/>
        <w:topLinePunct w:val="0"/>
        <w:autoSpaceDE/>
        <w:autoSpaceDN/>
        <w:bidi w:val="0"/>
        <w:adjustRightInd w:val="0"/>
        <w:snapToGrid w:val="0"/>
        <w:spacing w:line="600" w:lineRule="exact"/>
        <w:ind w:firstLine="5440" w:firstLineChars="1700"/>
        <w:contextualSpacing/>
        <w:jc w:val="both"/>
        <w:textAlignment w:val="auto"/>
        <w:rPr>
          <w:rFonts w:hint="eastAsia" w:ascii="仿宋_GB2312" w:hAnsi="仿宋_GB2312" w:eastAsia="仿宋_GB2312" w:cs="仿宋_GB2312"/>
          <w:color w:val="000000"/>
          <w:kern w:val="0"/>
          <w:szCs w:val="32"/>
          <w:shd w:val="clear" w:color="auto" w:fill="FFFFFF"/>
          <w:lang w:val="en-US" w:eastAsia="zh-CN"/>
        </w:rPr>
      </w:pPr>
      <w:r>
        <w:rPr>
          <w:rFonts w:hint="eastAsia" w:ascii="仿宋_GB2312" w:hAnsi="仿宋_GB2312" w:eastAsia="仿宋_GB2312" w:cs="仿宋_GB2312"/>
          <w:color w:val="000000"/>
          <w:kern w:val="0"/>
          <w:szCs w:val="32"/>
          <w:shd w:val="clear" w:color="auto" w:fill="FFFFFF"/>
          <w:lang w:val="en-US" w:eastAsia="zh-CN"/>
        </w:rPr>
        <w:t>2023年7月4日</w:t>
      </w:r>
    </w:p>
    <w:sectPr>
      <w:headerReference r:id="rId3" w:type="default"/>
      <w:footerReference r:id="rId4" w:type="even"/>
      <w:pgSz w:w="11906" w:h="16838"/>
      <w:pgMar w:top="907" w:right="1361" w:bottom="851" w:left="1361" w:header="851" w:footer="992" w:gutter="0"/>
      <w:pgNumType w:fmt="numberInDash" w:start="12"/>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
    <w:altName w:val="Times New Roman"/>
    <w:panose1 w:val="00000000000000000000"/>
    <w:charset w:val="00"/>
    <w:family w:val="roman"/>
    <w:pitch w:val="default"/>
    <w:sig w:usb0="00000000" w:usb1="00000000" w:usb2="00000000" w:usb3="00000000" w:csb0="00000000" w:csb1="00000000"/>
  </w:font>
  <w:font w:name="方正小标宋简体">
    <w:panose1 w:val="02010601030101010101"/>
    <w:charset w:val="86"/>
    <w:family w:val="script"/>
    <w:pitch w:val="default"/>
    <w:sig w:usb0="00000001" w:usb1="080E0000" w:usb2="00000000" w:usb3="00000000" w:csb0="00040000" w:csb1="00000000"/>
  </w:font>
  <w:font w:name="方正仿宋_GBK">
    <w:altName w:val="Arial Unicode MS"/>
    <w:panose1 w:val="03000509000000000000"/>
    <w:charset w:val="86"/>
    <w:family w:val="auto"/>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sz w:val="28"/>
        <w:szCs w:val="28"/>
        <w:lang w:val="zh-CN"/>
      </w:rPr>
      <w:t>-</w:t>
    </w:r>
    <w:r>
      <w:rPr>
        <w:rFonts w:ascii="宋体" w:hAnsi="宋体"/>
        <w:sz w:val="28"/>
        <w:szCs w:val="28"/>
      </w:rPr>
      <w:t xml:space="preserve"> 12 -</w:t>
    </w:r>
    <w:r>
      <w:rPr>
        <w:rFonts w:ascii="宋体" w:hAnsi="宋体"/>
        <w:sz w:val="28"/>
        <w:szCs w:val="28"/>
      </w:rPr>
      <w:fldChar w:fldCharType="end"/>
    </w:r>
  </w:p>
  <w:p>
    <w:pPr>
      <w:pStyle w:val="6"/>
      <w:tabs>
        <w:tab w:val="right" w:pos="9184"/>
        <w:tab w:val="clear" w:pos="4153"/>
        <w:tab w:val="clear" w:pos="8306"/>
      </w:tabs>
      <w:rPr>
        <w:rFonts w:ascii="宋体"/>
        <w:sz w:val="28"/>
        <w:szCs w:val="2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67CBBE7"/>
    <w:multiLevelType w:val="singleLevel"/>
    <w:tmpl w:val="967CBBE7"/>
    <w:lvl w:ilvl="0" w:tentative="0">
      <w:start w:val="2"/>
      <w:numFmt w:val="chineseCounting"/>
      <w:suff w:val="nothing"/>
      <w:lvlText w:val="（%1）"/>
      <w:lvlJc w:val="left"/>
      <w:rPr>
        <w:rFonts w:hint="eastAsia"/>
      </w:rPr>
    </w:lvl>
  </w:abstractNum>
  <w:abstractNum w:abstractNumId="1">
    <w:nsid w:val="FC77CE77"/>
    <w:multiLevelType w:val="singleLevel"/>
    <w:tmpl w:val="FC77CE77"/>
    <w:lvl w:ilvl="0" w:tentative="0">
      <w:start w:val="3"/>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NotTrackMoves/>
  <w:documentProtection w:enforcement="0"/>
  <w:defaultTabStop w:val="420"/>
  <w:drawingGridHorizontalSpacing w:val="160"/>
  <w:drawingGridVerticalSpacing w:val="435"/>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TNkYjUyODdiMjRjOTlmYzFkZDk5NjdjZTdiMmNkNjIifQ=="/>
  </w:docVars>
  <w:rsids>
    <w:rsidRoot w:val="00EC0174"/>
    <w:rsid w:val="00006E4D"/>
    <w:rsid w:val="00021652"/>
    <w:rsid w:val="00030311"/>
    <w:rsid w:val="00030782"/>
    <w:rsid w:val="00030B66"/>
    <w:rsid w:val="00052572"/>
    <w:rsid w:val="0006068D"/>
    <w:rsid w:val="0006102A"/>
    <w:rsid w:val="00065B0F"/>
    <w:rsid w:val="00065E7E"/>
    <w:rsid w:val="000820BB"/>
    <w:rsid w:val="0008241B"/>
    <w:rsid w:val="00092280"/>
    <w:rsid w:val="00097FAE"/>
    <w:rsid w:val="000A3233"/>
    <w:rsid w:val="000A7486"/>
    <w:rsid w:val="000A7CE3"/>
    <w:rsid w:val="000B04D6"/>
    <w:rsid w:val="000B15CE"/>
    <w:rsid w:val="000C40C6"/>
    <w:rsid w:val="000C79C1"/>
    <w:rsid w:val="000D208A"/>
    <w:rsid w:val="000E037E"/>
    <w:rsid w:val="000F659A"/>
    <w:rsid w:val="000F77B0"/>
    <w:rsid w:val="0010235D"/>
    <w:rsid w:val="00103A47"/>
    <w:rsid w:val="00106277"/>
    <w:rsid w:val="00106D4D"/>
    <w:rsid w:val="001119A2"/>
    <w:rsid w:val="001221D6"/>
    <w:rsid w:val="0012510A"/>
    <w:rsid w:val="00125F67"/>
    <w:rsid w:val="001261AE"/>
    <w:rsid w:val="001348A4"/>
    <w:rsid w:val="0014117C"/>
    <w:rsid w:val="00146FE8"/>
    <w:rsid w:val="0014767B"/>
    <w:rsid w:val="00147AED"/>
    <w:rsid w:val="00154C87"/>
    <w:rsid w:val="001769C6"/>
    <w:rsid w:val="00177AAF"/>
    <w:rsid w:val="00183850"/>
    <w:rsid w:val="00184D9F"/>
    <w:rsid w:val="001A4749"/>
    <w:rsid w:val="001A4842"/>
    <w:rsid w:val="001A5833"/>
    <w:rsid w:val="001C2158"/>
    <w:rsid w:val="001C51F2"/>
    <w:rsid w:val="001C73AB"/>
    <w:rsid w:val="001D2EA4"/>
    <w:rsid w:val="001F47CE"/>
    <w:rsid w:val="001F5776"/>
    <w:rsid w:val="0020620D"/>
    <w:rsid w:val="002069BC"/>
    <w:rsid w:val="002069EB"/>
    <w:rsid w:val="002201B0"/>
    <w:rsid w:val="00220900"/>
    <w:rsid w:val="0022307E"/>
    <w:rsid w:val="00224D05"/>
    <w:rsid w:val="002323A3"/>
    <w:rsid w:val="00236EF7"/>
    <w:rsid w:val="0024058A"/>
    <w:rsid w:val="002410C0"/>
    <w:rsid w:val="00252894"/>
    <w:rsid w:val="00253FA6"/>
    <w:rsid w:val="00254728"/>
    <w:rsid w:val="002550E7"/>
    <w:rsid w:val="002558D4"/>
    <w:rsid w:val="002560E2"/>
    <w:rsid w:val="00264CFA"/>
    <w:rsid w:val="00270DD7"/>
    <w:rsid w:val="00276F4A"/>
    <w:rsid w:val="00280BFB"/>
    <w:rsid w:val="00280C88"/>
    <w:rsid w:val="002973A4"/>
    <w:rsid w:val="002A0195"/>
    <w:rsid w:val="002B5B34"/>
    <w:rsid w:val="002B6906"/>
    <w:rsid w:val="002B7215"/>
    <w:rsid w:val="002C0AFD"/>
    <w:rsid w:val="002C59D0"/>
    <w:rsid w:val="002D1A18"/>
    <w:rsid w:val="002D6C79"/>
    <w:rsid w:val="002D76D5"/>
    <w:rsid w:val="002E1104"/>
    <w:rsid w:val="002E3FDD"/>
    <w:rsid w:val="00300EF4"/>
    <w:rsid w:val="00301353"/>
    <w:rsid w:val="00305FF6"/>
    <w:rsid w:val="00307568"/>
    <w:rsid w:val="00311506"/>
    <w:rsid w:val="00316ADB"/>
    <w:rsid w:val="00317623"/>
    <w:rsid w:val="00335F67"/>
    <w:rsid w:val="003361E9"/>
    <w:rsid w:val="00350A65"/>
    <w:rsid w:val="00352164"/>
    <w:rsid w:val="00357793"/>
    <w:rsid w:val="00361C85"/>
    <w:rsid w:val="00371352"/>
    <w:rsid w:val="00376753"/>
    <w:rsid w:val="0038541D"/>
    <w:rsid w:val="00387818"/>
    <w:rsid w:val="00391A13"/>
    <w:rsid w:val="00391FD0"/>
    <w:rsid w:val="003A44FC"/>
    <w:rsid w:val="003B3299"/>
    <w:rsid w:val="003D10A2"/>
    <w:rsid w:val="003D33B8"/>
    <w:rsid w:val="003D624D"/>
    <w:rsid w:val="003D719A"/>
    <w:rsid w:val="003F5EB7"/>
    <w:rsid w:val="003F7FE2"/>
    <w:rsid w:val="004004E7"/>
    <w:rsid w:val="00401C7A"/>
    <w:rsid w:val="00416E1A"/>
    <w:rsid w:val="00426A3F"/>
    <w:rsid w:val="004277D4"/>
    <w:rsid w:val="00461638"/>
    <w:rsid w:val="004706FA"/>
    <w:rsid w:val="00474D8D"/>
    <w:rsid w:val="00475CCD"/>
    <w:rsid w:val="00477266"/>
    <w:rsid w:val="004811BC"/>
    <w:rsid w:val="004838F2"/>
    <w:rsid w:val="00486492"/>
    <w:rsid w:val="00492CF6"/>
    <w:rsid w:val="004A4C9D"/>
    <w:rsid w:val="004C2078"/>
    <w:rsid w:val="004C228F"/>
    <w:rsid w:val="004C6A76"/>
    <w:rsid w:val="004E752F"/>
    <w:rsid w:val="004F1E37"/>
    <w:rsid w:val="00515198"/>
    <w:rsid w:val="00521C44"/>
    <w:rsid w:val="005274E1"/>
    <w:rsid w:val="00531DDF"/>
    <w:rsid w:val="00535FA6"/>
    <w:rsid w:val="00537DB9"/>
    <w:rsid w:val="00542AB7"/>
    <w:rsid w:val="0055358D"/>
    <w:rsid w:val="005540C8"/>
    <w:rsid w:val="00555809"/>
    <w:rsid w:val="00562165"/>
    <w:rsid w:val="005756AF"/>
    <w:rsid w:val="00575A4A"/>
    <w:rsid w:val="00591B6F"/>
    <w:rsid w:val="005A1DAF"/>
    <w:rsid w:val="005A67BD"/>
    <w:rsid w:val="005C17C8"/>
    <w:rsid w:val="005C2098"/>
    <w:rsid w:val="005C2E6C"/>
    <w:rsid w:val="005D0CCF"/>
    <w:rsid w:val="005D1C01"/>
    <w:rsid w:val="005D5BEE"/>
    <w:rsid w:val="005E297D"/>
    <w:rsid w:val="005E3F12"/>
    <w:rsid w:val="005F627E"/>
    <w:rsid w:val="0061652E"/>
    <w:rsid w:val="006205E9"/>
    <w:rsid w:val="00622D0B"/>
    <w:rsid w:val="006270DA"/>
    <w:rsid w:val="00630B75"/>
    <w:rsid w:val="00634DFF"/>
    <w:rsid w:val="00635337"/>
    <w:rsid w:val="0064265B"/>
    <w:rsid w:val="0064519C"/>
    <w:rsid w:val="0065082E"/>
    <w:rsid w:val="006512D0"/>
    <w:rsid w:val="006560A3"/>
    <w:rsid w:val="00656301"/>
    <w:rsid w:val="006600C9"/>
    <w:rsid w:val="006701CC"/>
    <w:rsid w:val="00671F58"/>
    <w:rsid w:val="006762A4"/>
    <w:rsid w:val="006900E7"/>
    <w:rsid w:val="006A00A8"/>
    <w:rsid w:val="006A482D"/>
    <w:rsid w:val="006B11E0"/>
    <w:rsid w:val="006B386A"/>
    <w:rsid w:val="006B7CB4"/>
    <w:rsid w:val="006C24D3"/>
    <w:rsid w:val="006C7917"/>
    <w:rsid w:val="006E51AE"/>
    <w:rsid w:val="0070081F"/>
    <w:rsid w:val="007018F5"/>
    <w:rsid w:val="00710897"/>
    <w:rsid w:val="00712F45"/>
    <w:rsid w:val="00734305"/>
    <w:rsid w:val="007370E1"/>
    <w:rsid w:val="00737684"/>
    <w:rsid w:val="007732A1"/>
    <w:rsid w:val="007739D4"/>
    <w:rsid w:val="00774C4A"/>
    <w:rsid w:val="00775421"/>
    <w:rsid w:val="00782BBB"/>
    <w:rsid w:val="007A0690"/>
    <w:rsid w:val="007A078F"/>
    <w:rsid w:val="007B34D4"/>
    <w:rsid w:val="007C0633"/>
    <w:rsid w:val="007D086C"/>
    <w:rsid w:val="007F1BE1"/>
    <w:rsid w:val="007F637D"/>
    <w:rsid w:val="007F707F"/>
    <w:rsid w:val="007F794C"/>
    <w:rsid w:val="007F7AC9"/>
    <w:rsid w:val="00803B42"/>
    <w:rsid w:val="008073EF"/>
    <w:rsid w:val="0081095C"/>
    <w:rsid w:val="00810C41"/>
    <w:rsid w:val="008212FF"/>
    <w:rsid w:val="0082593B"/>
    <w:rsid w:val="00827537"/>
    <w:rsid w:val="00830A05"/>
    <w:rsid w:val="0083462A"/>
    <w:rsid w:val="008468EA"/>
    <w:rsid w:val="00867140"/>
    <w:rsid w:val="00881134"/>
    <w:rsid w:val="008904F0"/>
    <w:rsid w:val="008B2F27"/>
    <w:rsid w:val="008B4A72"/>
    <w:rsid w:val="008B585E"/>
    <w:rsid w:val="008E0337"/>
    <w:rsid w:val="008E6C0C"/>
    <w:rsid w:val="008F1E63"/>
    <w:rsid w:val="008F3052"/>
    <w:rsid w:val="00901E19"/>
    <w:rsid w:val="009214F7"/>
    <w:rsid w:val="00921CD7"/>
    <w:rsid w:val="00940EB6"/>
    <w:rsid w:val="00944771"/>
    <w:rsid w:val="009601FC"/>
    <w:rsid w:val="00965426"/>
    <w:rsid w:val="0096654A"/>
    <w:rsid w:val="009711E4"/>
    <w:rsid w:val="00971572"/>
    <w:rsid w:val="00981E55"/>
    <w:rsid w:val="00986CEF"/>
    <w:rsid w:val="00987212"/>
    <w:rsid w:val="00992716"/>
    <w:rsid w:val="009A0E5F"/>
    <w:rsid w:val="009F1AF3"/>
    <w:rsid w:val="009F233E"/>
    <w:rsid w:val="00A024AB"/>
    <w:rsid w:val="00A050A5"/>
    <w:rsid w:val="00A05B8B"/>
    <w:rsid w:val="00A1372F"/>
    <w:rsid w:val="00A170EC"/>
    <w:rsid w:val="00A217B3"/>
    <w:rsid w:val="00A23D04"/>
    <w:rsid w:val="00A277D9"/>
    <w:rsid w:val="00A30CEB"/>
    <w:rsid w:val="00A31318"/>
    <w:rsid w:val="00A5432A"/>
    <w:rsid w:val="00A55F8A"/>
    <w:rsid w:val="00A9670E"/>
    <w:rsid w:val="00AA1423"/>
    <w:rsid w:val="00AB7996"/>
    <w:rsid w:val="00AC43C3"/>
    <w:rsid w:val="00AE2EAD"/>
    <w:rsid w:val="00AF77BE"/>
    <w:rsid w:val="00B00BB4"/>
    <w:rsid w:val="00B11CEE"/>
    <w:rsid w:val="00B23428"/>
    <w:rsid w:val="00B264BF"/>
    <w:rsid w:val="00B42E74"/>
    <w:rsid w:val="00B46874"/>
    <w:rsid w:val="00B50E8F"/>
    <w:rsid w:val="00B51151"/>
    <w:rsid w:val="00B523E4"/>
    <w:rsid w:val="00B52B4F"/>
    <w:rsid w:val="00B6108C"/>
    <w:rsid w:val="00B649AD"/>
    <w:rsid w:val="00B64B9C"/>
    <w:rsid w:val="00B67A3E"/>
    <w:rsid w:val="00B735CC"/>
    <w:rsid w:val="00B82C95"/>
    <w:rsid w:val="00B83F87"/>
    <w:rsid w:val="00B84DFD"/>
    <w:rsid w:val="00BB4E38"/>
    <w:rsid w:val="00BC3879"/>
    <w:rsid w:val="00BD0E0D"/>
    <w:rsid w:val="00BD41BC"/>
    <w:rsid w:val="00BD55AD"/>
    <w:rsid w:val="00BD7047"/>
    <w:rsid w:val="00BE0305"/>
    <w:rsid w:val="00BF15F0"/>
    <w:rsid w:val="00BF7DF9"/>
    <w:rsid w:val="00C03559"/>
    <w:rsid w:val="00C05395"/>
    <w:rsid w:val="00C22AD7"/>
    <w:rsid w:val="00C272C1"/>
    <w:rsid w:val="00C32A68"/>
    <w:rsid w:val="00C34282"/>
    <w:rsid w:val="00C35350"/>
    <w:rsid w:val="00C3564B"/>
    <w:rsid w:val="00C41851"/>
    <w:rsid w:val="00C53721"/>
    <w:rsid w:val="00C64D2E"/>
    <w:rsid w:val="00C70F97"/>
    <w:rsid w:val="00C7497C"/>
    <w:rsid w:val="00C757A2"/>
    <w:rsid w:val="00C75966"/>
    <w:rsid w:val="00C76577"/>
    <w:rsid w:val="00C80225"/>
    <w:rsid w:val="00C81349"/>
    <w:rsid w:val="00C93139"/>
    <w:rsid w:val="00CA08A0"/>
    <w:rsid w:val="00CA32D2"/>
    <w:rsid w:val="00CA4E07"/>
    <w:rsid w:val="00CA737D"/>
    <w:rsid w:val="00CB1EF5"/>
    <w:rsid w:val="00CC05D4"/>
    <w:rsid w:val="00CC7166"/>
    <w:rsid w:val="00CF5275"/>
    <w:rsid w:val="00CF6136"/>
    <w:rsid w:val="00D0023D"/>
    <w:rsid w:val="00D006C6"/>
    <w:rsid w:val="00D14A65"/>
    <w:rsid w:val="00D162B9"/>
    <w:rsid w:val="00D251E2"/>
    <w:rsid w:val="00D254F4"/>
    <w:rsid w:val="00D263A7"/>
    <w:rsid w:val="00D26B5D"/>
    <w:rsid w:val="00D33159"/>
    <w:rsid w:val="00D33A19"/>
    <w:rsid w:val="00D349F5"/>
    <w:rsid w:val="00D355B5"/>
    <w:rsid w:val="00D43DC3"/>
    <w:rsid w:val="00D51791"/>
    <w:rsid w:val="00D5281E"/>
    <w:rsid w:val="00D6531B"/>
    <w:rsid w:val="00D6612D"/>
    <w:rsid w:val="00D71AD9"/>
    <w:rsid w:val="00D73C02"/>
    <w:rsid w:val="00D77D81"/>
    <w:rsid w:val="00D8170D"/>
    <w:rsid w:val="00D872ED"/>
    <w:rsid w:val="00D913C6"/>
    <w:rsid w:val="00DA0236"/>
    <w:rsid w:val="00DA37F7"/>
    <w:rsid w:val="00DA5D51"/>
    <w:rsid w:val="00DA5E29"/>
    <w:rsid w:val="00DA61CA"/>
    <w:rsid w:val="00DB66BB"/>
    <w:rsid w:val="00DB73AF"/>
    <w:rsid w:val="00DC2865"/>
    <w:rsid w:val="00DD0894"/>
    <w:rsid w:val="00DD12DB"/>
    <w:rsid w:val="00DE1888"/>
    <w:rsid w:val="00DF1250"/>
    <w:rsid w:val="00DF6EF7"/>
    <w:rsid w:val="00E05454"/>
    <w:rsid w:val="00E074C3"/>
    <w:rsid w:val="00E23329"/>
    <w:rsid w:val="00E24D6D"/>
    <w:rsid w:val="00E341B2"/>
    <w:rsid w:val="00E42633"/>
    <w:rsid w:val="00E5699E"/>
    <w:rsid w:val="00E570E1"/>
    <w:rsid w:val="00E70BEA"/>
    <w:rsid w:val="00E72773"/>
    <w:rsid w:val="00E76739"/>
    <w:rsid w:val="00E81946"/>
    <w:rsid w:val="00E82BB7"/>
    <w:rsid w:val="00E86D13"/>
    <w:rsid w:val="00E936C2"/>
    <w:rsid w:val="00E95346"/>
    <w:rsid w:val="00EA0CEF"/>
    <w:rsid w:val="00EA2E2A"/>
    <w:rsid w:val="00EB79D2"/>
    <w:rsid w:val="00EC0174"/>
    <w:rsid w:val="00EC0839"/>
    <w:rsid w:val="00ED3EEB"/>
    <w:rsid w:val="00ED5749"/>
    <w:rsid w:val="00ED5FA3"/>
    <w:rsid w:val="00ED68C4"/>
    <w:rsid w:val="00ED6A4E"/>
    <w:rsid w:val="00ED72EA"/>
    <w:rsid w:val="00EE3A4F"/>
    <w:rsid w:val="00EF10C3"/>
    <w:rsid w:val="00EF3BD2"/>
    <w:rsid w:val="00F16BCE"/>
    <w:rsid w:val="00F45DA1"/>
    <w:rsid w:val="00F5267B"/>
    <w:rsid w:val="00F53E8B"/>
    <w:rsid w:val="00F663FD"/>
    <w:rsid w:val="00F743B0"/>
    <w:rsid w:val="00F82409"/>
    <w:rsid w:val="00F8264F"/>
    <w:rsid w:val="00F833E9"/>
    <w:rsid w:val="00F84580"/>
    <w:rsid w:val="00F873DA"/>
    <w:rsid w:val="00F95982"/>
    <w:rsid w:val="00FA006C"/>
    <w:rsid w:val="00FA190E"/>
    <w:rsid w:val="00FA288B"/>
    <w:rsid w:val="00FA2997"/>
    <w:rsid w:val="00FA2C71"/>
    <w:rsid w:val="00FB3345"/>
    <w:rsid w:val="00FD0228"/>
    <w:rsid w:val="00FD3BB7"/>
    <w:rsid w:val="00FE0D93"/>
    <w:rsid w:val="00FF2572"/>
    <w:rsid w:val="00FF32AD"/>
    <w:rsid w:val="01B83F92"/>
    <w:rsid w:val="03946B2A"/>
    <w:rsid w:val="092C7EA4"/>
    <w:rsid w:val="0B6131F9"/>
    <w:rsid w:val="0CE55864"/>
    <w:rsid w:val="14E263FD"/>
    <w:rsid w:val="159E329B"/>
    <w:rsid w:val="18D17537"/>
    <w:rsid w:val="19927F78"/>
    <w:rsid w:val="21AE59D8"/>
    <w:rsid w:val="26647834"/>
    <w:rsid w:val="286F56EA"/>
    <w:rsid w:val="293B10D5"/>
    <w:rsid w:val="2D527252"/>
    <w:rsid w:val="329102D6"/>
    <w:rsid w:val="39DD7430"/>
    <w:rsid w:val="3A9520B3"/>
    <w:rsid w:val="3B90603F"/>
    <w:rsid w:val="3DE562B7"/>
    <w:rsid w:val="3E6507EA"/>
    <w:rsid w:val="40A17D37"/>
    <w:rsid w:val="47550EBA"/>
    <w:rsid w:val="50BB3388"/>
    <w:rsid w:val="50D57136"/>
    <w:rsid w:val="53536F31"/>
    <w:rsid w:val="6636451A"/>
    <w:rsid w:val="6BE94116"/>
    <w:rsid w:val="6F9700B3"/>
    <w:rsid w:val="6FA977E3"/>
    <w:rsid w:val="753A448C"/>
    <w:rsid w:val="78916378"/>
    <w:rsid w:val="7B2D6919"/>
    <w:rsid w:val="7BC20073"/>
    <w:rsid w:val="7C631402"/>
    <w:rsid w:val="7DCC0F6E"/>
    <w:rsid w:val="7E140770"/>
    <w:rsid w:val="9BFF62CB"/>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qFormat="1"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0" w:semiHidden="0" w:name="Title" w:locked="1"/>
    <w:lsdException w:uiPriority="99" w:name="Closing" w:locked="1"/>
    <w:lsdException w:uiPriority="99" w:name="Signature" w:locked="1"/>
    <w:lsdException w:uiPriority="1"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0" w:semiHidden="0" w:name="Emphasis" w:locked="1"/>
    <w:lsdException w:qFormat="1" w:unhideWhenUsed="0" w:uiPriority="99" w:semiHidden="0" w:name="Document Map"/>
    <w:lsdException w:uiPriority="99" w:name="Plain Text" w:locked="1"/>
    <w:lsdException w:uiPriority="99" w:name="E-mail Signature" w:locked="1"/>
    <w:lsdException w:qFormat="1" w:unhideWhenUsed="0" w:uiPriority="0" w:semiHidden="0"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qFormat/>
    <w:locked/>
    <w:uiPriority w:val="0"/>
    <w:pPr>
      <w:spacing w:before="240" w:after="60"/>
      <w:jc w:val="center"/>
      <w:outlineLvl w:val="0"/>
    </w:pPr>
    <w:rPr>
      <w:rFonts w:ascii="Arial" w:hAnsi="Arial" w:cs="Arial"/>
      <w:b/>
      <w:bCs/>
      <w:sz w:val="32"/>
      <w:szCs w:val="32"/>
    </w:rPr>
  </w:style>
  <w:style w:type="paragraph" w:styleId="3">
    <w:name w:val="Document Map"/>
    <w:basedOn w:val="1"/>
    <w:link w:val="13"/>
    <w:qFormat/>
    <w:uiPriority w:val="99"/>
    <w:rPr>
      <w:rFonts w:ascii="宋体"/>
      <w:sz w:val="18"/>
      <w:szCs w:val="18"/>
    </w:rPr>
  </w:style>
  <w:style w:type="paragraph" w:styleId="4">
    <w:name w:val="annotation text"/>
    <w:basedOn w:val="1"/>
    <w:semiHidden/>
    <w:unhideWhenUsed/>
    <w:qFormat/>
    <w:locked/>
    <w:uiPriority w:val="99"/>
    <w:pPr>
      <w:jc w:val="left"/>
    </w:pPr>
  </w:style>
  <w:style w:type="paragraph" w:styleId="5">
    <w:name w:val="Balloon Text"/>
    <w:basedOn w:val="1"/>
    <w:link w:val="14"/>
    <w:semiHidden/>
    <w:qFormat/>
    <w:uiPriority w:val="99"/>
    <w:rPr>
      <w:sz w:val="18"/>
      <w:szCs w:val="18"/>
    </w:rPr>
  </w:style>
  <w:style w:type="paragraph" w:styleId="6">
    <w:name w:val="footer"/>
    <w:basedOn w:val="1"/>
    <w:link w:val="15"/>
    <w:qFormat/>
    <w:uiPriority w:val="99"/>
    <w:pPr>
      <w:tabs>
        <w:tab w:val="center" w:pos="4153"/>
        <w:tab w:val="right" w:pos="8306"/>
      </w:tabs>
      <w:snapToGrid w:val="0"/>
      <w:jc w:val="left"/>
    </w:pPr>
    <w:rPr>
      <w:sz w:val="18"/>
      <w:szCs w:val="18"/>
    </w:rPr>
  </w:style>
  <w:style w:type="paragraph" w:styleId="7">
    <w:name w:val="header"/>
    <w:basedOn w:val="1"/>
    <w:link w:val="16"/>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page number"/>
    <w:qFormat/>
    <w:uiPriority w:val="99"/>
    <w:rPr>
      <w:rFonts w:cs="Times New Roman"/>
    </w:rPr>
  </w:style>
  <w:style w:type="character" w:styleId="12">
    <w:name w:val="Emphasis"/>
    <w:basedOn w:val="10"/>
    <w:qFormat/>
    <w:locked/>
    <w:uiPriority w:val="0"/>
    <w:rPr>
      <w:i/>
    </w:rPr>
  </w:style>
  <w:style w:type="character" w:customStyle="1" w:styleId="13">
    <w:name w:val="文档结构图 Char"/>
    <w:link w:val="3"/>
    <w:qFormat/>
    <w:locked/>
    <w:uiPriority w:val="99"/>
    <w:rPr>
      <w:rFonts w:ascii="宋体" w:cs="Times New Roman"/>
      <w:kern w:val="2"/>
      <w:sz w:val="18"/>
      <w:szCs w:val="18"/>
    </w:rPr>
  </w:style>
  <w:style w:type="character" w:customStyle="1" w:styleId="14">
    <w:name w:val="批注框文本 Char"/>
    <w:link w:val="5"/>
    <w:semiHidden/>
    <w:qFormat/>
    <w:locked/>
    <w:uiPriority w:val="99"/>
    <w:rPr>
      <w:rFonts w:cs="Times New Roman"/>
      <w:sz w:val="2"/>
    </w:rPr>
  </w:style>
  <w:style w:type="character" w:customStyle="1" w:styleId="15">
    <w:name w:val="页脚 Char"/>
    <w:link w:val="6"/>
    <w:qFormat/>
    <w:locked/>
    <w:uiPriority w:val="99"/>
    <w:rPr>
      <w:rFonts w:cs="Times New Roman"/>
      <w:kern w:val="2"/>
      <w:sz w:val="18"/>
      <w:szCs w:val="18"/>
    </w:rPr>
  </w:style>
  <w:style w:type="character" w:customStyle="1" w:styleId="16">
    <w:name w:val="页眉 Char"/>
    <w:link w:val="7"/>
    <w:semiHidden/>
    <w:qFormat/>
    <w:locked/>
    <w:uiPriority w:val="99"/>
    <w:rPr>
      <w:rFonts w:cs="Times New Roman"/>
      <w:sz w:val="18"/>
      <w:szCs w:val="18"/>
    </w:rPr>
  </w:style>
  <w:style w:type="paragraph" w:customStyle="1" w:styleId="17">
    <w:name w:val="四号正文"/>
    <w:basedOn w:val="1"/>
    <w:link w:val="18"/>
    <w:qFormat/>
    <w:uiPriority w:val="99"/>
    <w:pPr>
      <w:spacing w:line="360" w:lineRule="auto"/>
    </w:pPr>
    <w:rPr>
      <w:rFonts w:ascii="??" w:hAnsi="??" w:cs="宋体"/>
      <w:color w:val="000000"/>
      <w:kern w:val="0"/>
      <w:sz w:val="28"/>
      <w:szCs w:val="21"/>
    </w:rPr>
  </w:style>
  <w:style w:type="character" w:customStyle="1" w:styleId="18">
    <w:name w:val="四号正文 Char"/>
    <w:link w:val="17"/>
    <w:qFormat/>
    <w:locked/>
    <w:uiPriority w:val="99"/>
    <w:rPr>
      <w:rFonts w:ascii="??" w:hAnsi="??" w:eastAsia="宋体" w:cs="宋体"/>
      <w:color w:val="000000"/>
      <w:sz w:val="21"/>
      <w:szCs w:val="21"/>
      <w:lang w:val="en-US" w:eastAsia="zh-CN" w:bidi="ar-SA"/>
    </w:rPr>
  </w:style>
  <w:style w:type="paragraph" w:customStyle="1" w:styleId="19">
    <w:name w:val="a"/>
    <w:basedOn w:val="1"/>
    <w:qFormat/>
    <w:uiPriority w:val="99"/>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PSZX</Company>
  <Pages>3</Pages>
  <Words>1115</Words>
  <Characters>1176</Characters>
  <Lines>3</Lines>
  <Paragraphs>1</Paragraphs>
  <TotalTime>42</TotalTime>
  <ScaleCrop>false</ScaleCrop>
  <LinksUpToDate>false</LinksUpToDate>
  <CharactersWithSpaces>1179</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2020-05-28T09:28:00Z</dcterms:created>
  <dc:creator>陈萍</dc:creator>
  <cp:lastModifiedBy>Administrator</cp:lastModifiedBy>
  <cp:lastPrinted>2022-03-15T02:17:00Z</cp:lastPrinted>
  <dcterms:modified xsi:type="dcterms:W3CDTF">2023-07-06T07:41:02Z</dcterms:modified>
  <dc:title>区域性就业培训基地建设项目</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ICV">
    <vt:lpwstr>53B7F86B27C64309879EEE75FFE498EF</vt:lpwstr>
  </property>
</Properties>
</file>