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ascii="方正黑体_GBK" w:hAnsi="宋体" w:eastAsia="方正黑体_GBK"/>
          <w:sz w:val="33"/>
          <w:szCs w:val="33"/>
          <w:lang w:val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附件</w:t>
      </w:r>
      <w:r>
        <w:rPr>
          <w:rFonts w:hint="eastAsia" w:eastAsia="方正黑体_GBK"/>
          <w:sz w:val="33"/>
          <w:szCs w:val="33"/>
        </w:rPr>
        <w:t>3</w:t>
      </w:r>
    </w:p>
    <w:p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>
      <w:pPr>
        <w:widowControl/>
        <w:spacing w:line="580" w:lineRule="exact"/>
        <w:contextualSpacing/>
        <w:jc w:val="center"/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峨边彝族自治县融媒体中心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整体支出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绩效自评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报告</w:t>
      </w:r>
    </w:p>
    <w:p>
      <w:pPr>
        <w:widowControl/>
        <w:spacing w:line="580" w:lineRule="exact"/>
        <w:ind w:firstLine="640" w:firstLineChars="200"/>
        <w:contextualSpacing/>
        <w:jc w:val="center"/>
        <w:rPr>
          <w:rFonts w:ascii="仿宋_GB2312" w:hAnsi="宋体" w:eastAsia="仿宋_GB2312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60" w:firstLineChars="200"/>
        <w:contextualSpacing/>
        <w:jc w:val="left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融媒体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预算单位1个，其中：行政单位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个，事业单位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</w:t>
      </w: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机构职能。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贯彻落实党的理论、路线和各项宣传方针政策，把握新闻宣传基调，坚持正面宣传、团结鼓劲，为全县经济社会发展提供舆论支持；围绕县委、县政府中心工作，积极开展新闻网络内外宣传，落实全县新闻报道计划，完成上级下达的各项内外宣传和创优任务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42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（2）负责全县新闻业务管理和对外通联工作，抓好全县新闻网络宣传阵地和人才队伍建设。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（3）协助配合上级媒体和新闻单位来县采访工作。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（4）负责与县内各乡镇各部门之间的沟通协调，负责县内各类具有传播功能的媒介资源管理工作，负责网络对话和舆情收集、引导工作。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（5）负责政府信息公开相关事宜。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（6）负责上级下发的各项网评、网宣任务。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（7）负责舆情分析研判，提供决策咨询。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（8）完成县委县政府交办的其他工作任务。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</w:p>
    <w:p>
      <w:pPr>
        <w:widowControl/>
        <w:numPr>
          <w:ilvl w:val="0"/>
          <w:numId w:val="1"/>
        </w:numPr>
        <w:tabs>
          <w:tab w:val="left" w:pos="3840"/>
        </w:tabs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人员概况。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县融媒体中心总编制18名，其中：行政编制0名，事业编制18名。在职人员总数18名，其中：行政0名，事业18名。离休0名</w:t>
      </w:r>
      <w:r>
        <w:rPr>
          <w:rStyle w:val="13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widowControl/>
        <w:numPr>
          <w:ilvl w:val="0"/>
          <w:numId w:val="0"/>
        </w:numPr>
        <w:tabs>
          <w:tab w:val="left" w:pos="3840"/>
        </w:tabs>
        <w:adjustRightInd w:val="0"/>
        <w:snapToGrid w:val="0"/>
        <w:spacing w:line="580" w:lineRule="exact"/>
        <w:ind w:left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（一）部门财政资金收入情况。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left"/>
        <w:textAlignment w:val="auto"/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本单位2021年财政拨款预算收入390.98万元，其中上级资金  0万元，县级资金390.98万元。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(二）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部门财政资金支出情况。</w:t>
      </w:r>
    </w:p>
    <w:p>
      <w:pPr>
        <w:pStyle w:val="2"/>
        <w:numPr>
          <w:ilvl w:val="0"/>
          <w:numId w:val="0"/>
        </w:numPr>
        <w:ind w:firstLine="320" w:firstLineChars="100"/>
        <w:jc w:val="both"/>
        <w:rPr>
          <w:rFonts w:hint="default" w:eastAsia="仿宋_GB2312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zh-CN" w:eastAsia="zh-CN" w:bidi="ar"/>
        </w:rPr>
        <w:t>基本支出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219.93万元，项目支出171.05万元，其中项8个，具体支出为:第一书记及驻村工作队经费0.64万元，爱峨边APP运营维护项目29万元，安全播出保障经费19.1万元，政府批示{2019}143号解决县级媒体中心建设办公场地装修经费105.67万元，政府批示{2021]20号解决《峨边脱贫攻坚纪念馆》2.2万元，政府批示[2021】22号解决《致力绿色崛起建设美丽峨边》十三五宣传片制作经费6.5万元，政府批示{2021}21号解决“决战贫困圆梦小康”宣传制作等相关经费6.5万元，移风易俗工作经费1.44万元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（一）部门预算管理。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我单位实行预算管理制度，根据财政局每年下发文件进行相应的预算管理编制和提交。严格预算执行，及时向财政局反映本部门预算执行情况，依法纠正违反预算的行为。将单位预算管理活动与社会和人民的切身利益相结合，根据社会需求和人民需要进行合理预算管理工作，使预算管理计划成为行政事业单位建设社会、服务大众的方针导向。执行预算绩效管理，编制整体支出和项目支出绩效申报，使单位预算管理的最大效用，实现预算管理的目标与效果。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（二）项目预算管理。</w:t>
      </w:r>
    </w:p>
    <w:p>
      <w:pPr>
        <w:pStyle w:val="2"/>
        <w:rPr>
          <w:rFonts w:hint="eastAsia" w:ascii="仿宋" w:hAnsi="仿宋" w:eastAsia="仿宋" w:cs="仿宋"/>
          <w:b w:val="0"/>
          <w:bCs/>
          <w:lang w:val="zh-CN"/>
        </w:rPr>
      </w:pPr>
      <w:r>
        <w:rPr>
          <w:rFonts w:hint="eastAsia" w:ascii="仿宋" w:hAnsi="仿宋" w:eastAsia="仿宋" w:cs="仿宋"/>
          <w:b w:val="0"/>
          <w:bCs/>
          <w:lang w:val="zh-CN"/>
        </w:rPr>
        <w:t>县融媒体中心2021年项目支出为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171.05</w:t>
      </w:r>
      <w:r>
        <w:rPr>
          <w:rFonts w:hint="eastAsia" w:ascii="仿宋" w:hAnsi="仿宋" w:eastAsia="仿宋" w:cs="仿宋"/>
          <w:b w:val="0"/>
          <w:bCs/>
          <w:lang w:val="zh-CN"/>
        </w:rPr>
        <w:t>万元，预算项目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lang w:val="zh-CN"/>
        </w:rPr>
        <w:t>个。</w:t>
      </w:r>
    </w:p>
    <w:p>
      <w:pPr>
        <w:pStyle w:val="2"/>
        <w:numPr>
          <w:ilvl w:val="0"/>
          <w:numId w:val="3"/>
        </w:numPr>
        <w:jc w:val="left"/>
        <w:rPr>
          <w:rFonts w:hint="eastAsia" w:ascii="仿宋" w:hAnsi="仿宋" w:eastAsia="仿宋" w:cs="仿宋"/>
          <w:b w:val="0"/>
          <w:bCs/>
          <w:lang w:val="zh-CN"/>
        </w:rPr>
      </w:pPr>
      <w:r>
        <w:rPr>
          <w:rFonts w:hint="eastAsia" w:ascii="仿宋" w:hAnsi="仿宋" w:eastAsia="仿宋" w:cs="仿宋"/>
          <w:b w:val="0"/>
          <w:bCs/>
          <w:lang w:val="zh-CN"/>
        </w:rPr>
        <w:t>爱峨边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APP运营项目</w:t>
      </w:r>
      <w:r>
        <w:rPr>
          <w:rFonts w:hint="eastAsia" w:ascii="仿宋" w:hAnsi="仿宋" w:eastAsia="仿宋" w:cs="仿宋"/>
          <w:b w:val="0"/>
          <w:bCs/>
          <w:lang w:val="zh-CN"/>
        </w:rPr>
        <w:t>：2021年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APP运营项目</w:t>
      </w:r>
      <w:r>
        <w:rPr>
          <w:rFonts w:hint="eastAsia" w:ascii="仿宋" w:hAnsi="仿宋" w:eastAsia="仿宋" w:cs="仿宋"/>
          <w:b w:val="0"/>
          <w:bCs/>
          <w:lang w:val="zh-CN"/>
        </w:rPr>
        <w:t>经费支出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/>
          <w:lang w:val="zh-CN"/>
        </w:rPr>
        <w:t>万元，完成了网络资源服务，技术、培训服务，媒体平台推广服务，等保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lang w:val="zh-CN"/>
        </w:rPr>
        <w:t>二级测评服务费，大数据舆情服务。</w:t>
      </w:r>
    </w:p>
    <w:p>
      <w:pPr>
        <w:pStyle w:val="2"/>
        <w:numPr>
          <w:ilvl w:val="0"/>
          <w:numId w:val="3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/>
          <w:lang w:val="zh-CN"/>
        </w:rPr>
      </w:pPr>
      <w:r>
        <w:rPr>
          <w:rFonts w:hint="eastAsia" w:ascii="仿宋" w:hAnsi="仿宋" w:eastAsia="仿宋" w:cs="仿宋"/>
          <w:b w:val="0"/>
          <w:bCs/>
          <w:lang w:val="zh-CN"/>
        </w:rPr>
        <w:t>安全播出经费：2021年机房安全播出经费支出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19.1</w:t>
      </w:r>
      <w:r>
        <w:rPr>
          <w:rFonts w:hint="eastAsia" w:ascii="仿宋" w:hAnsi="仿宋" w:eastAsia="仿宋" w:cs="仿宋"/>
          <w:b w:val="0"/>
          <w:bCs/>
          <w:lang w:val="zh-CN"/>
        </w:rPr>
        <w:t>万元，完成了2021年播出系统正常运行及保障全县城乡居民正常收听、收看电视，确保中心机房用电安全、网络畅通以及设备安全服务。</w:t>
      </w:r>
    </w:p>
    <w:p>
      <w:pPr>
        <w:numPr>
          <w:ilvl w:val="0"/>
          <w:numId w:val="0"/>
        </w:numPr>
        <w:ind w:leftChars="0"/>
        <w:rPr>
          <w:rFonts w:hint="eastAsia"/>
          <w:lang w:val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3.政府批示{2019}143号解决县级媒体中心建设办公场地装修经费:2021年底完成了项目验收及资金拨付105.67万元，中心办公场地装修建设面积440平方米、办公环境文化软装及绿化、主线电路改造等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4. 政府批示{2021]20号解决《峨边脱贫攻坚纪念馆》:2021峨边脱贫攻坚纪念馆拍摄制作经费2.2万元，完成了影片时长达到7分钟以上、输出格式为mp4、分辨率1920*1080像素、码率不低于25m/秒等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ab/>
      </w:r>
    </w:p>
    <w:p>
      <w:pPr>
        <w:pStyle w:val="2"/>
        <w:jc w:val="both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政府批示[2021】22号解决《致力绿色崛起建设美丽峨边》十三五宣传片制作经费6.5万元，2021年圆满完成了6/16/22分钟三个版本、mp4格式、1920*1080,25m/秒，24帧/秒，700kbps等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6.政府批示{2021}21号解决“决战贫困圆梦小康”宣传制作等相关经费6.5万元，2021年圆梦完成了成片14分钟版，8分钟和7分钟现场汇报版等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移风易俗工作经费1.44万元，完成了特困户家具床垫更换和提供全村环境卫生清洁装备等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ab/>
      </w:r>
    </w:p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8.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第一书记及驻村工作队经费0.64万元，保障了第一书记及驻村工作队正常运行。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/>
        <w:numPr>
          <w:ilvl w:val="0"/>
          <w:numId w:val="4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结果应用情况。</w:t>
      </w:r>
    </w:p>
    <w:p>
      <w:pPr>
        <w:pStyle w:val="2"/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1.信息公开：在规定时间内将报告于政府门户网站上进行公开，对于今年的绩效评价结果，我会将严格用于明年度的预算安排。</w:t>
      </w:r>
    </w:p>
    <w:p>
      <w:pPr>
        <w:pStyle w:val="2"/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2.自评质量：2021年部门预算编制合理，各项目标按计划、进度执行，各项经费开支按预算实施，财政收支平衡，达到预期绩效目标。</w:t>
      </w:r>
    </w:p>
    <w:p>
      <w:pPr>
        <w:pStyle w:val="2"/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3.整改反馈：经过自查，内部控制制度存在不完善等问题，本单位立即进行了修改、完善，保证制度的建立健全。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>
      <w:pPr>
        <w:pStyle w:val="2"/>
        <w:jc w:val="left"/>
        <w:rPr>
          <w:rFonts w:hint="eastAsia" w:ascii="仿宋" w:hAnsi="仿宋" w:eastAsia="仿宋" w:cs="仿宋"/>
          <w:b w:val="0"/>
          <w:bCs/>
          <w:lang w:val="zh-CN"/>
        </w:rPr>
      </w:pPr>
      <w:r>
        <w:rPr>
          <w:rFonts w:hint="eastAsia" w:ascii="仿宋" w:hAnsi="仿宋" w:eastAsia="仿宋" w:cs="仿宋"/>
          <w:b w:val="0"/>
          <w:bCs/>
          <w:lang w:val="zh-CN"/>
        </w:rPr>
        <w:t>县融媒体中心根据《峨边彝族自治县财政局关于开展2022年部门整体、项目和政策支出绩效评价工作的通知》文件精神，认真组织开展了对本部门整体支出绩效评价工作，经对本部门整体绩效综合自评，绩效评价得分：9</w:t>
      </w:r>
      <w:r>
        <w:rPr>
          <w:rFonts w:hint="eastAsia" w:ascii="仿宋" w:hAnsi="仿宋" w:eastAsia="仿宋" w:cs="仿宋"/>
          <w:b w:val="0"/>
          <w:bCs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lang w:val="zh-CN"/>
        </w:rPr>
        <w:t>分，评价结果：优。</w:t>
      </w:r>
    </w:p>
    <w:p>
      <w:pPr>
        <w:widowControl/>
        <w:numPr>
          <w:ilvl w:val="0"/>
          <w:numId w:val="5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存在问题。</w:t>
      </w:r>
    </w:p>
    <w:p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lang w:val="zh-CN"/>
        </w:rPr>
      </w:pPr>
      <w:r>
        <w:rPr>
          <w:rFonts w:hint="eastAsia" w:ascii="仿宋" w:hAnsi="仿宋" w:eastAsia="仿宋" w:cs="仿宋"/>
          <w:b w:val="0"/>
          <w:bCs/>
          <w:lang w:val="zh-CN"/>
        </w:rPr>
        <w:t>预算编制有待更精准。预算编制与实际支出项目有的仍存在细微差异</w:t>
      </w:r>
    </w:p>
    <w:p>
      <w:pPr>
        <w:widowControl/>
        <w:numPr>
          <w:ilvl w:val="0"/>
          <w:numId w:val="5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改进建议。</w:t>
      </w:r>
    </w:p>
    <w:p>
      <w:pPr>
        <w:pStyle w:val="2"/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 w:val="0"/>
          <w:bCs/>
          <w:lang w:val="zh-CN"/>
        </w:rPr>
      </w:pPr>
      <w:r>
        <w:rPr>
          <w:rFonts w:hint="eastAsia" w:ascii="仿宋" w:hAnsi="仿宋" w:eastAsia="仿宋" w:cs="仿宋"/>
          <w:b w:val="0"/>
          <w:bCs/>
          <w:lang w:val="zh-CN"/>
        </w:rPr>
        <w:t>1.加大对资金的预算精准度和使用前瞻性预算。</w:t>
      </w:r>
    </w:p>
    <w:p>
      <w:pPr>
        <w:pStyle w:val="2"/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 w:val="0"/>
          <w:bCs/>
          <w:lang w:val="zh-CN"/>
        </w:rPr>
      </w:pPr>
      <w:r>
        <w:rPr>
          <w:rFonts w:hint="eastAsia" w:ascii="仿宋" w:hAnsi="仿宋" w:eastAsia="仿宋" w:cs="仿宋"/>
          <w:b w:val="0"/>
          <w:bCs/>
          <w:lang w:val="zh-CN"/>
        </w:rPr>
        <w:t>2.进一步完善各项内部控制制度，加大对资金风险点的排查。</w:t>
      </w:r>
    </w:p>
    <w:p>
      <w:pPr>
        <w:rPr>
          <w:rFonts w:hint="eastAsia" w:ascii="仿宋" w:hAnsi="仿宋" w:eastAsia="仿宋" w:cs="仿宋"/>
          <w:b w:val="0"/>
          <w:bCs/>
          <w:lang w:val="zh-CN"/>
        </w:rPr>
      </w:pPr>
    </w:p>
    <w:p>
      <w:pPr>
        <w:pStyle w:val="2"/>
        <w:rPr>
          <w:rFonts w:hint="eastAsia" w:ascii="仿宋" w:hAnsi="仿宋" w:eastAsia="仿宋" w:cs="仿宋"/>
          <w:b w:val="0"/>
          <w:bCs/>
          <w:lang w:val="zh-CN"/>
        </w:rPr>
      </w:pPr>
    </w:p>
    <w:p>
      <w:pPr>
        <w:rPr>
          <w:rFonts w:hint="eastAsia" w:ascii="仿宋" w:hAnsi="仿宋" w:eastAsia="仿宋" w:cs="仿宋"/>
          <w:b w:val="0"/>
          <w:bCs/>
          <w:lang w:val="zh-CN"/>
        </w:rPr>
      </w:pPr>
    </w:p>
    <w:p>
      <w:pPr>
        <w:pStyle w:val="2"/>
        <w:jc w:val="right"/>
        <w:rPr>
          <w:rFonts w:hint="eastAsia" w:ascii="仿宋" w:hAnsi="仿宋" w:eastAsia="仿宋" w:cs="仿宋"/>
          <w:b w:val="0"/>
          <w:bCs/>
          <w:lang w:val="zh-CN"/>
        </w:rPr>
      </w:pPr>
      <w:r>
        <w:rPr>
          <w:rFonts w:hint="eastAsia" w:ascii="仿宋" w:hAnsi="仿宋" w:eastAsia="仿宋" w:cs="仿宋"/>
          <w:b w:val="0"/>
          <w:bCs/>
          <w:lang w:val="zh-CN"/>
        </w:rPr>
        <w:t>峨边彝族自治县融媒体中心</w:t>
      </w:r>
    </w:p>
    <w:p>
      <w:pPr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2022年7月24日</w:t>
      </w: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601C2"/>
    <w:multiLevelType w:val="singleLevel"/>
    <w:tmpl w:val="8E1601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972DF8"/>
    <w:multiLevelType w:val="singleLevel"/>
    <w:tmpl w:val="B2972DF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8F40CD6"/>
    <w:multiLevelType w:val="singleLevel"/>
    <w:tmpl w:val="B8F40C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743193E"/>
    <w:multiLevelType w:val="singleLevel"/>
    <w:tmpl w:val="E74319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16B381D"/>
    <w:multiLevelType w:val="singleLevel"/>
    <w:tmpl w:val="016B381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VhZThhOTg5ZGZmNTgwOTZlZTYxY2IwZWE5ODY2ZGI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13B365D"/>
    <w:rsid w:val="03946B2A"/>
    <w:rsid w:val="0BB423A1"/>
    <w:rsid w:val="172C5EB9"/>
    <w:rsid w:val="19927F78"/>
    <w:rsid w:val="1A4C32C6"/>
    <w:rsid w:val="21AE59D8"/>
    <w:rsid w:val="286F56EA"/>
    <w:rsid w:val="2D527252"/>
    <w:rsid w:val="329102D6"/>
    <w:rsid w:val="3632486B"/>
    <w:rsid w:val="3A9520B3"/>
    <w:rsid w:val="3DBD4858"/>
    <w:rsid w:val="3DE562B7"/>
    <w:rsid w:val="3E555789"/>
    <w:rsid w:val="3E6507EA"/>
    <w:rsid w:val="42B056AB"/>
    <w:rsid w:val="47550EBA"/>
    <w:rsid w:val="4C5020DB"/>
    <w:rsid w:val="50BB3388"/>
    <w:rsid w:val="5D094A6B"/>
    <w:rsid w:val="5D6A7433"/>
    <w:rsid w:val="61DE02CD"/>
    <w:rsid w:val="6636451A"/>
    <w:rsid w:val="6BE94116"/>
    <w:rsid w:val="6EB42E26"/>
    <w:rsid w:val="6FDA2517"/>
    <w:rsid w:val="78916378"/>
    <w:rsid w:val="795310F0"/>
    <w:rsid w:val="7BC20073"/>
    <w:rsid w:val="7C631402"/>
    <w:rsid w:val="7DCC0F6E"/>
    <w:rsid w:val="7E140770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hint="default" w:ascii="Arial" w:hAnsi="Arial" w:cs="Arial"/>
      <w:b/>
      <w:sz w:val="32"/>
      <w:szCs w:val="32"/>
    </w:rPr>
  </w:style>
  <w:style w:type="paragraph" w:styleId="3">
    <w:name w:val="Document Map"/>
    <w:basedOn w:val="1"/>
    <w:link w:val="14"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semiHidden/>
    <w:unhideWhenUsed/>
    <w:locked/>
    <w:uiPriority w:val="99"/>
    <w:pPr>
      <w:jc w:val="left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basedOn w:val="11"/>
    <w:qFormat/>
    <w:locked/>
    <w:uiPriority w:val="0"/>
    <w:rPr>
      <w:i/>
    </w:rPr>
  </w:style>
  <w:style w:type="character" w:customStyle="1" w:styleId="14">
    <w:name w:val="文档结构图 Char"/>
    <w:link w:val="3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5">
    <w:name w:val="批注框文本 Char"/>
    <w:link w:val="5"/>
    <w:semiHidden/>
    <w:qFormat/>
    <w:locked/>
    <w:uiPriority w:val="99"/>
    <w:rPr>
      <w:rFonts w:cs="Times New Roman"/>
      <w:sz w:val="2"/>
    </w:rPr>
  </w:style>
  <w:style w:type="character" w:customStyle="1" w:styleId="16">
    <w:name w:val="页脚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眉 Char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四号正文"/>
    <w:basedOn w:val="1"/>
    <w:link w:val="19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9">
    <w:name w:val="四号正文 Char"/>
    <w:link w:val="18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20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4</Pages>
  <Words>1856</Words>
  <Characters>2073</Characters>
  <Lines>2</Lines>
  <Paragraphs>1</Paragraphs>
  <TotalTime>1</TotalTime>
  <ScaleCrop>false</ScaleCrop>
  <LinksUpToDate>false</LinksUpToDate>
  <CharactersWithSpaces>2094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Administrator</cp:lastModifiedBy>
  <cp:lastPrinted>2022-03-15T02:17:00Z</cp:lastPrinted>
  <dcterms:modified xsi:type="dcterms:W3CDTF">2022-08-11T06:43:25Z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13E040D2EC1D419CB411240EF31CC47F</vt:lpwstr>
  </property>
</Properties>
</file>