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eastAsia" w:eastAsia="方正黑体_GBK"/>
          <w:sz w:val="33"/>
          <w:szCs w:val="33"/>
        </w:rPr>
      </w:pPr>
      <w:r>
        <w:rPr>
          <w:rFonts w:hint="eastAsia" w:ascii="方正黑体_GBK" w:hAnsi="SimSun" w:eastAsia="方正黑体_GBK"/>
          <w:sz w:val="33"/>
          <w:szCs w:val="33"/>
          <w:lang w:val="zh-CN"/>
        </w:rPr>
        <w:t>附件</w:t>
      </w:r>
      <w:r>
        <w:rPr>
          <w:rFonts w:hint="eastAsia" w:ascii="方正黑体_GBK" w:hAnsi="SimSun" w:eastAsia="方正黑体_GBK"/>
          <w:sz w:val="33"/>
          <w:szCs w:val="33"/>
          <w:lang w:val="en-US" w:eastAsia="zh-CN"/>
        </w:rPr>
        <w:t>2</w:t>
      </w:r>
    </w:p>
    <w:p>
      <w:pPr>
        <w:spacing w:line="580" w:lineRule="exact"/>
        <w:contextualSpacing/>
        <w:rPr>
          <w:rFonts w:hint="eastAsia" w:eastAsia="方正黑体_GBK"/>
          <w:sz w:val="33"/>
          <w:szCs w:val="33"/>
          <w:lang w:val="en-US" w:eastAsia="zh-CN"/>
        </w:rPr>
      </w:pPr>
      <w:r>
        <w:rPr>
          <w:rFonts w:hint="eastAsia" w:eastAsia="方正黑体_GBK"/>
          <w:sz w:val="33"/>
          <w:szCs w:val="33"/>
          <w:lang w:val="en-US" w:eastAsia="zh-CN"/>
        </w:rPr>
        <w:t xml:space="preserve"> </w:t>
      </w:r>
    </w:p>
    <w:p>
      <w:pPr>
        <w:widowControl/>
        <w:spacing w:line="580" w:lineRule="exact"/>
        <w:contextualSpacing/>
        <w:jc w:val="center"/>
        <w:rPr>
          <w:rFonts w:hint="eastAsia" w:ascii="SimSun" w:hAnsi="SimSun" w:eastAsia="SimSun"/>
          <w:b/>
          <w:sz w:val="44"/>
          <w:szCs w:val="44"/>
          <w:shd w:val="clear" w:color="auto" w:fill="FFFFFF"/>
          <w:lang w:eastAsia="zh-CN"/>
        </w:rPr>
      </w:pPr>
      <w:r>
        <w:rPr>
          <w:rFonts w:hint="eastAsia" w:ascii="SimSun" w:hAnsi="SimSun" w:eastAsia="SimSun"/>
          <w:b/>
          <w:sz w:val="44"/>
          <w:szCs w:val="44"/>
          <w:shd w:val="clear" w:color="auto" w:fill="FFFFFF"/>
          <w:lang w:eastAsia="zh-CN"/>
        </w:rPr>
        <w:t>中共峨边彝族自治县委宣传部</w:t>
      </w:r>
    </w:p>
    <w:p>
      <w:pPr>
        <w:widowControl/>
        <w:spacing w:line="580" w:lineRule="exact"/>
        <w:contextualSpacing/>
        <w:jc w:val="center"/>
        <w:rPr>
          <w:rFonts w:ascii="SimSun" w:hAnsi="SimSun" w:eastAsia="SimSun"/>
          <w:b/>
          <w:sz w:val="44"/>
          <w:szCs w:val="44"/>
          <w:shd w:val="clear" w:color="auto" w:fill="FFFFFF"/>
        </w:rPr>
      </w:pPr>
      <w:r>
        <w:rPr>
          <w:rFonts w:hint="eastAsia" w:ascii="SimSun" w:hAnsi="SimSun" w:eastAsia="SimSun"/>
          <w:b/>
          <w:sz w:val="44"/>
          <w:szCs w:val="44"/>
          <w:shd w:val="clear" w:color="auto" w:fill="FFFFFF"/>
        </w:rPr>
        <w:t>20</w:t>
      </w:r>
      <w:r>
        <w:rPr>
          <w:rFonts w:hint="eastAsia" w:ascii="SimSun" w:hAnsi="SimSun" w:eastAsia="SimSun"/>
          <w:b/>
          <w:sz w:val="44"/>
          <w:szCs w:val="44"/>
          <w:shd w:val="clear" w:color="auto" w:fill="FFFFFF"/>
          <w:lang w:val="en-US" w:eastAsia="zh-CN"/>
        </w:rPr>
        <w:t>2</w:t>
      </w:r>
      <w:r>
        <w:rPr>
          <w:rFonts w:hint="eastAsia" w:ascii="SimSun" w:hAnsi="SimSun"/>
          <w:b/>
          <w:sz w:val="44"/>
          <w:szCs w:val="44"/>
          <w:shd w:val="clear" w:color="auto" w:fill="FFFFFF"/>
          <w:lang w:val="en-US" w:eastAsia="zh-CN"/>
        </w:rPr>
        <w:t>2</w:t>
      </w:r>
      <w:r>
        <w:rPr>
          <w:rFonts w:hint="eastAsia" w:ascii="SimSun" w:hAnsi="SimSun" w:eastAsia="SimSun"/>
          <w:b/>
          <w:sz w:val="44"/>
          <w:szCs w:val="44"/>
          <w:shd w:val="clear" w:color="auto" w:fill="FFFFFF"/>
        </w:rPr>
        <w:t>年度整体支出绩效评价报告</w:t>
      </w:r>
    </w:p>
    <w:p>
      <w:pPr>
        <w:spacing w:line="580" w:lineRule="exact"/>
        <w:contextualSpacing/>
        <w:rPr>
          <w:rFonts w:hint="eastAsia" w:eastAsia="方正黑体_GBK"/>
          <w:sz w:val="33"/>
          <w:szCs w:val="33"/>
          <w:lang w:val="en-US" w:eastAsia="zh-CN"/>
        </w:rPr>
      </w:pPr>
    </w:p>
    <w:p>
      <w:pPr>
        <w:widowControl/>
        <w:adjustRightInd w:val="0"/>
        <w:snapToGrid w:val="0"/>
        <w:spacing w:line="580" w:lineRule="exact"/>
        <w:contextualSpacing/>
        <w:jc w:val="left"/>
        <w:rPr>
          <w:rFonts w:hint="eastAsia" w:ascii="FangSong" w:hAnsi="FangSong" w:eastAsia="FangSong" w:cs="FangSong"/>
          <w:color w:val="000000"/>
          <w:kern w:val="0"/>
          <w:sz w:val="32"/>
          <w:szCs w:val="32"/>
          <w:shd w:val="clear" w:color="auto" w:fill="FFFFFF"/>
          <w:lang w:val="zh-CN" w:eastAsia="zh-CN"/>
        </w:rPr>
      </w:pPr>
      <w:r>
        <w:rPr>
          <w:rFonts w:hint="eastAsia" w:ascii="FangSong" w:hAnsi="FangSong" w:eastAsia="FangSong" w:cs="FangSong"/>
          <w:color w:val="000000"/>
          <w:kern w:val="0"/>
          <w:sz w:val="32"/>
          <w:szCs w:val="32"/>
          <w:shd w:val="clear" w:color="auto" w:fill="FFFFFF"/>
          <w:lang w:val="zh-CN" w:eastAsia="zh-CN"/>
        </w:rPr>
        <w:t>县财政局：</w:t>
      </w:r>
    </w:p>
    <w:p>
      <w:pPr>
        <w:widowControl/>
        <w:adjustRightInd w:val="0"/>
        <w:snapToGrid w:val="0"/>
        <w:spacing w:line="580" w:lineRule="exact"/>
        <w:ind w:firstLine="640" w:firstLineChars="200"/>
        <w:contextualSpacing/>
        <w:jc w:val="left"/>
        <w:rPr>
          <w:rFonts w:hint="eastAsia" w:ascii="FangSong" w:hAnsi="FangSong" w:eastAsia="FangSong" w:cs="FangSong"/>
          <w:color w:val="000000"/>
          <w:kern w:val="0"/>
          <w:sz w:val="32"/>
          <w:szCs w:val="32"/>
          <w:shd w:val="clear" w:color="auto" w:fill="FFFFFF"/>
          <w:lang w:val="zh-CN" w:eastAsia="zh-CN"/>
        </w:rPr>
      </w:pPr>
      <w:r>
        <w:rPr>
          <w:rFonts w:hint="eastAsia" w:ascii="FangSong" w:hAnsi="FangSong" w:eastAsia="FangSong" w:cs="FangSong"/>
          <w:color w:val="000000"/>
          <w:kern w:val="0"/>
          <w:sz w:val="32"/>
          <w:szCs w:val="32"/>
          <w:shd w:val="clear" w:color="auto" w:fill="FFFFFF"/>
          <w:lang w:val="zh-CN" w:eastAsia="zh-CN"/>
        </w:rPr>
        <w:t>按照《峨边彝族自治县财政局关于开展</w:t>
      </w:r>
      <w:r>
        <w:rPr>
          <w:rFonts w:hint="eastAsia" w:ascii="FangSong" w:hAnsi="FangSong" w:eastAsia="FangSong" w:cs="FangSong"/>
          <w:color w:val="000000"/>
          <w:kern w:val="0"/>
          <w:sz w:val="32"/>
          <w:szCs w:val="32"/>
          <w:shd w:val="clear" w:color="auto" w:fill="FFFFFF"/>
          <w:lang w:val="en-US" w:eastAsia="zh-CN"/>
        </w:rPr>
        <w:t>2023年财政绩效评价工作的通知</w:t>
      </w:r>
      <w:r>
        <w:rPr>
          <w:rFonts w:hint="eastAsia" w:ascii="FangSong" w:hAnsi="FangSong" w:eastAsia="FangSong" w:cs="FangSong"/>
          <w:color w:val="000000"/>
          <w:kern w:val="0"/>
          <w:sz w:val="32"/>
          <w:szCs w:val="32"/>
          <w:shd w:val="clear" w:color="auto" w:fill="FFFFFF"/>
          <w:lang w:val="zh-CN" w:eastAsia="zh-CN"/>
        </w:rPr>
        <w:t>》要求，现将县委宣传部</w:t>
      </w:r>
      <w:r>
        <w:rPr>
          <w:rFonts w:hint="eastAsia" w:ascii="FangSong" w:hAnsi="FangSong" w:eastAsia="FangSong" w:cs="FangSong"/>
          <w:color w:val="000000"/>
          <w:kern w:val="0"/>
          <w:sz w:val="32"/>
          <w:szCs w:val="32"/>
          <w:shd w:val="clear" w:color="auto" w:fill="FFFFFF"/>
          <w:lang w:val="en-US" w:eastAsia="zh-CN"/>
        </w:rPr>
        <w:t xml:space="preserve"> 2022年整体支出绩效自评报告如下。</w:t>
      </w:r>
    </w:p>
    <w:p>
      <w:pPr>
        <w:widowControl/>
        <w:adjustRightInd w:val="0"/>
        <w:snapToGrid w:val="0"/>
        <w:spacing w:line="580" w:lineRule="exact"/>
        <w:contextualSpacing/>
        <w:jc w:val="left"/>
        <w:rPr>
          <w:rFonts w:ascii="SimHei" w:hAnsi="SimHei" w:eastAsia="SimHei" w:cs="SimSun"/>
          <w:color w:val="000000"/>
          <w:kern w:val="0"/>
          <w:szCs w:val="32"/>
          <w:shd w:val="clear" w:color="auto" w:fill="FFFFFF"/>
          <w:lang w:val="zh-CN"/>
        </w:rPr>
      </w:pPr>
      <w:r>
        <w:rPr>
          <w:rFonts w:hint="eastAsia" w:ascii="SimHei" w:hAnsi="SimHei" w:eastAsia="SimHei" w:cs="SimSun"/>
          <w:color w:val="000000"/>
          <w:kern w:val="0"/>
          <w:szCs w:val="32"/>
          <w:shd w:val="clear" w:color="auto" w:fill="FFFFFF"/>
          <w:lang w:val="en-US" w:eastAsia="zh-CN"/>
        </w:rPr>
        <w:t xml:space="preserve">    </w:t>
      </w:r>
      <w:r>
        <w:rPr>
          <w:rFonts w:hint="eastAsia" w:ascii="SimHei" w:hAnsi="SimHei" w:eastAsia="SimHei" w:cs="SimSun"/>
          <w:color w:val="000000"/>
          <w:kern w:val="0"/>
          <w:szCs w:val="32"/>
          <w:shd w:val="clear" w:color="auto" w:fill="FFFFFF"/>
        </w:rPr>
        <w:t>一、</w:t>
      </w:r>
      <w:r>
        <w:rPr>
          <w:rFonts w:hint="eastAsia" w:ascii="SimHei" w:hAnsi="SimHei" w:eastAsia="SimHei" w:cs="SimSun"/>
          <w:color w:val="000000"/>
          <w:kern w:val="0"/>
          <w:szCs w:val="32"/>
          <w:shd w:val="clear" w:color="auto" w:fill="FFFFFF"/>
          <w:lang w:val="zh-CN"/>
        </w:rPr>
        <w:t>部门基本情况</w:t>
      </w:r>
    </w:p>
    <w:p>
      <w:pPr>
        <w:widowControl/>
        <w:numPr>
          <w:ilvl w:val="0"/>
          <w:numId w:val="1"/>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机构组成。</w:t>
      </w:r>
    </w:p>
    <w:p>
      <w:pPr>
        <w:widowControl/>
        <w:adjustRightInd w:val="0"/>
        <w:snapToGrid w:val="0"/>
        <w:spacing w:line="580" w:lineRule="exact"/>
        <w:ind w:firstLine="640" w:firstLineChars="200"/>
        <w:contextualSpacing/>
        <w:jc w:val="left"/>
        <w:rPr>
          <w:rFonts w:hint="eastAsia" w:ascii="FangSong" w:hAnsi="FangSong" w:eastAsia="FangSong" w:cs="FangSong"/>
          <w:color w:val="000000"/>
          <w:kern w:val="0"/>
          <w:sz w:val="32"/>
          <w:szCs w:val="32"/>
          <w:shd w:val="clear" w:color="auto" w:fill="FFFFFF"/>
          <w:lang w:val="zh-CN"/>
        </w:rPr>
      </w:pPr>
      <w:r>
        <w:rPr>
          <w:rFonts w:hint="eastAsia" w:ascii="FangSong" w:hAnsi="FangSong" w:eastAsia="FangSong" w:cs="FangSong"/>
          <w:sz w:val="32"/>
          <w:szCs w:val="32"/>
        </w:rPr>
        <w:t>宣传部预算单位1个，其中：行政单位1个，事业单位0个。</w:t>
      </w:r>
    </w:p>
    <w:p>
      <w:pPr>
        <w:widowControl/>
        <w:adjustRightInd w:val="0"/>
        <w:snapToGrid w:val="0"/>
        <w:spacing w:line="580" w:lineRule="exact"/>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en-US" w:eastAsia="zh-CN"/>
        </w:rPr>
        <w:t xml:space="preserve">   </w:t>
      </w:r>
      <w:r>
        <w:rPr>
          <w:rFonts w:hint="eastAsia" w:ascii="KaiTi_GB2312" w:hAnsi="SimSun" w:eastAsia="KaiTi_GB2312" w:cs="SimSun"/>
          <w:color w:val="000000"/>
          <w:kern w:val="0"/>
          <w:szCs w:val="32"/>
          <w:shd w:val="clear" w:color="auto" w:fill="FFFFFF"/>
          <w:lang w:val="zh-CN"/>
        </w:rPr>
        <w:t>（二）机构职能和人员概况。</w:t>
      </w:r>
    </w:p>
    <w:p>
      <w:p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FangSong" w:hAnsi="FangSong" w:eastAsia="FangSong" w:cs="FangSong"/>
          <w:color w:val="000000"/>
          <w:sz w:val="32"/>
          <w:szCs w:val="32"/>
          <w:lang w:eastAsia="zh-CN"/>
        </w:rPr>
      </w:pPr>
      <w:r>
        <w:rPr>
          <w:rFonts w:hint="eastAsia" w:ascii="FangSong" w:hAnsi="FangSong" w:eastAsia="FangSong" w:cs="FangSong"/>
          <w:color w:val="000000"/>
          <w:sz w:val="32"/>
          <w:szCs w:val="32"/>
          <w:lang w:eastAsia="zh-CN"/>
        </w:rPr>
        <w:t>拟定全县宣传思想文化工作重大方针政策和事业产业发展总体规划，</w:t>
      </w:r>
      <w:r>
        <w:rPr>
          <w:rFonts w:hint="eastAsia" w:ascii="FangSong" w:hAnsi="FangSong" w:eastAsia="FangSong" w:cs="FangSong"/>
          <w:color w:val="000000"/>
          <w:sz w:val="32"/>
          <w:szCs w:val="32"/>
        </w:rPr>
        <w:t>统筹协调推进宣传思想文化领域法治建设，按照县委统一部署，协调宣传思想文化系统各部门、各单位之间的工作。统筹协调全县党的意识形态工作，贯彻落实</w:t>
      </w:r>
      <w:r>
        <w:rPr>
          <w:rFonts w:hint="eastAsia" w:ascii="FangSong" w:hAnsi="FangSong" w:eastAsia="FangSong" w:cs="FangSong"/>
          <w:color w:val="000000"/>
          <w:sz w:val="32"/>
          <w:szCs w:val="32"/>
          <w:lang w:eastAsia="zh-CN"/>
        </w:rPr>
        <w:t>党</w:t>
      </w:r>
      <w:r>
        <w:rPr>
          <w:rFonts w:hint="eastAsia" w:ascii="FangSong" w:hAnsi="FangSong" w:eastAsia="FangSong" w:cs="FangSong"/>
          <w:color w:val="000000"/>
          <w:sz w:val="32"/>
          <w:szCs w:val="32"/>
        </w:rPr>
        <w:t>中央、省委</w:t>
      </w:r>
      <w:r>
        <w:rPr>
          <w:rFonts w:hint="eastAsia" w:ascii="FangSong" w:hAnsi="FangSong" w:eastAsia="FangSong" w:cs="FangSong"/>
          <w:color w:val="000000"/>
          <w:sz w:val="32"/>
          <w:szCs w:val="32"/>
          <w:lang w:eastAsia="zh-CN"/>
        </w:rPr>
        <w:t>、</w:t>
      </w:r>
      <w:r>
        <w:rPr>
          <w:rFonts w:hint="eastAsia" w:ascii="FangSong" w:hAnsi="FangSong" w:eastAsia="FangSong" w:cs="FangSong"/>
          <w:color w:val="000000"/>
          <w:sz w:val="32"/>
          <w:szCs w:val="32"/>
        </w:rPr>
        <w:t>市委</w:t>
      </w:r>
      <w:r>
        <w:rPr>
          <w:rFonts w:hint="eastAsia" w:ascii="FangSong" w:hAnsi="FangSong" w:eastAsia="FangSong" w:cs="FangSong"/>
          <w:color w:val="000000"/>
          <w:sz w:val="32"/>
          <w:szCs w:val="32"/>
          <w:lang w:eastAsia="zh-CN"/>
        </w:rPr>
        <w:t>和县委</w:t>
      </w:r>
      <w:r>
        <w:rPr>
          <w:rFonts w:hint="eastAsia" w:ascii="FangSong" w:hAnsi="FangSong" w:eastAsia="FangSong" w:cs="FangSong"/>
          <w:color w:val="000000"/>
          <w:sz w:val="32"/>
          <w:szCs w:val="32"/>
        </w:rPr>
        <w:t>关于意识形态工作的决策部署，组织协调意识形态工作责任制落实和日常监督检查，分析研判意识形态领域情况，配合巡视巡</w:t>
      </w:r>
      <w:r>
        <w:rPr>
          <w:rFonts w:hint="eastAsia" w:ascii="FangSong" w:hAnsi="FangSong" w:eastAsia="FangSong" w:cs="FangSong"/>
          <w:color w:val="000000"/>
          <w:sz w:val="32"/>
          <w:szCs w:val="32"/>
          <w:lang w:eastAsia="zh-CN"/>
        </w:rPr>
        <w:t>察</w:t>
      </w:r>
      <w:r>
        <w:rPr>
          <w:rFonts w:hint="eastAsia" w:ascii="FangSong" w:hAnsi="FangSong" w:eastAsia="FangSong" w:cs="FangSong"/>
          <w:color w:val="000000"/>
          <w:sz w:val="32"/>
          <w:szCs w:val="32"/>
        </w:rPr>
        <w:t>工作开展专项检查。统筹指导协调全县</w:t>
      </w:r>
      <w:r>
        <w:rPr>
          <w:rFonts w:hint="eastAsia" w:ascii="FangSong" w:hAnsi="FangSong" w:eastAsia="FangSong" w:cs="FangSong"/>
          <w:color w:val="000000"/>
          <w:sz w:val="32"/>
          <w:szCs w:val="32"/>
          <w:lang w:eastAsia="zh-CN"/>
        </w:rPr>
        <w:t>理论研究、</w:t>
      </w:r>
      <w:r>
        <w:rPr>
          <w:rFonts w:hint="eastAsia" w:ascii="FangSong" w:hAnsi="FangSong" w:eastAsia="FangSong" w:cs="FangSong"/>
          <w:color w:val="000000"/>
          <w:sz w:val="32"/>
          <w:szCs w:val="32"/>
        </w:rPr>
        <w:t>理论学习、理论宣传工作，指导推动哲学社会科学工作</w:t>
      </w:r>
      <w:r>
        <w:rPr>
          <w:rFonts w:hint="eastAsia" w:ascii="FangSong" w:hAnsi="FangSong" w:eastAsia="FangSong" w:cs="FangSong"/>
          <w:color w:val="000000"/>
          <w:sz w:val="32"/>
          <w:szCs w:val="32"/>
          <w:lang w:eastAsia="zh-CN"/>
        </w:rPr>
        <w:t>。</w:t>
      </w:r>
      <w:r>
        <w:rPr>
          <w:rFonts w:hint="eastAsia" w:ascii="FangSong" w:hAnsi="FangSong" w:eastAsia="FangSong" w:cs="FangSong"/>
          <w:color w:val="000000"/>
          <w:sz w:val="32"/>
          <w:szCs w:val="32"/>
        </w:rPr>
        <w:t>统筹指导协调推动精神文化产品的创作和生产，协调组织中华传统文化和本地文化传承发展工作，指导协调推动群众文化建设。</w:t>
      </w:r>
      <w:r>
        <w:rPr>
          <w:rFonts w:hint="eastAsia" w:ascii="FangSong" w:hAnsi="FangSong" w:eastAsia="FangSong" w:cs="FangSong"/>
          <w:color w:val="000000"/>
          <w:sz w:val="32"/>
          <w:szCs w:val="32"/>
          <w:lang w:eastAsia="zh-CN"/>
        </w:rPr>
        <w:t>统筹协调组织开展新闻发布工作，承担县委新闻发布有关组织协调工作，负责县政府新闻发布组织实施工作。</w:t>
      </w:r>
    </w:p>
    <w:p>
      <w:p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FangSong" w:hAnsi="FangSong" w:eastAsia="FangSong" w:cs="FangSong"/>
          <w:color w:val="000000"/>
          <w:sz w:val="32"/>
          <w:szCs w:val="32"/>
          <w:lang w:eastAsia="zh-CN"/>
        </w:rPr>
      </w:pP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FangSong" w:hAnsi="FangSong" w:eastAsia="FangSong" w:cs="FangSong"/>
          <w:sz w:val="32"/>
          <w:szCs w:val="32"/>
        </w:rPr>
        <w:t>宣传部总编制2</w:t>
      </w:r>
      <w:r>
        <w:rPr>
          <w:rFonts w:hint="eastAsia" w:ascii="FangSong" w:hAnsi="FangSong" w:eastAsia="FangSong" w:cs="FangSong"/>
          <w:sz w:val="32"/>
          <w:szCs w:val="32"/>
          <w:lang w:val="en-US" w:eastAsia="zh-CN"/>
        </w:rPr>
        <w:t>5</w:t>
      </w:r>
      <w:r>
        <w:rPr>
          <w:rFonts w:hint="eastAsia" w:ascii="FangSong" w:hAnsi="FangSong" w:eastAsia="FangSong" w:cs="FangSong"/>
          <w:sz w:val="32"/>
          <w:szCs w:val="32"/>
        </w:rPr>
        <w:t>名，其中：行政编制</w:t>
      </w:r>
      <w:r>
        <w:rPr>
          <w:rFonts w:hint="eastAsia" w:ascii="FangSong" w:hAnsi="FangSong" w:eastAsia="FangSong" w:cs="FangSong"/>
          <w:sz w:val="32"/>
          <w:szCs w:val="32"/>
          <w:lang w:val="en-US" w:eastAsia="zh-CN"/>
        </w:rPr>
        <w:t>9</w:t>
      </w:r>
      <w:r>
        <w:rPr>
          <w:rFonts w:hint="eastAsia" w:ascii="FangSong" w:hAnsi="FangSong" w:eastAsia="FangSong" w:cs="FangSong"/>
          <w:sz w:val="32"/>
          <w:szCs w:val="32"/>
        </w:rPr>
        <w:t>名，工勤编制2名，</w:t>
      </w:r>
      <w:r>
        <w:rPr>
          <w:rFonts w:hint="eastAsia" w:ascii="FangSong" w:hAnsi="FangSong" w:eastAsia="FangSong" w:cs="FangSong"/>
          <w:sz w:val="32"/>
          <w:szCs w:val="32"/>
          <w:lang w:eastAsia="zh-CN"/>
        </w:rPr>
        <w:t>参公</w:t>
      </w:r>
      <w:r>
        <w:rPr>
          <w:rFonts w:hint="eastAsia" w:ascii="FangSong" w:hAnsi="FangSong" w:eastAsia="FangSong" w:cs="FangSong"/>
          <w:sz w:val="32"/>
          <w:szCs w:val="32"/>
        </w:rPr>
        <w:t>编制</w:t>
      </w:r>
      <w:r>
        <w:rPr>
          <w:rFonts w:hint="eastAsia" w:ascii="FangSong" w:hAnsi="FangSong" w:eastAsia="FangSong" w:cs="FangSong"/>
          <w:sz w:val="32"/>
          <w:szCs w:val="32"/>
          <w:lang w:val="en-US" w:eastAsia="zh-CN"/>
        </w:rPr>
        <w:t>4名，</w:t>
      </w:r>
      <w:r>
        <w:rPr>
          <w:rFonts w:hint="eastAsia" w:ascii="FangSong" w:hAnsi="FangSong" w:eastAsia="FangSong" w:cs="FangSong"/>
          <w:sz w:val="32"/>
          <w:szCs w:val="32"/>
        </w:rPr>
        <w:t>事业编制</w:t>
      </w:r>
      <w:r>
        <w:rPr>
          <w:rFonts w:hint="eastAsia" w:ascii="FangSong" w:hAnsi="FangSong" w:eastAsia="FangSong" w:cs="FangSong"/>
          <w:sz w:val="32"/>
          <w:szCs w:val="32"/>
          <w:lang w:val="en-US" w:eastAsia="zh-CN"/>
        </w:rPr>
        <w:t>10</w:t>
      </w:r>
      <w:r>
        <w:rPr>
          <w:rFonts w:hint="eastAsia" w:ascii="FangSong" w:hAnsi="FangSong" w:eastAsia="FangSong" w:cs="FangSong"/>
          <w:sz w:val="32"/>
          <w:szCs w:val="32"/>
        </w:rPr>
        <w:t>名。在职人员总数2</w:t>
      </w:r>
      <w:r>
        <w:rPr>
          <w:rFonts w:hint="eastAsia" w:ascii="FangSong" w:hAnsi="FangSong" w:eastAsia="FangSong" w:cs="FangSong"/>
          <w:sz w:val="32"/>
          <w:szCs w:val="32"/>
          <w:lang w:val="en-US" w:eastAsia="zh-CN"/>
        </w:rPr>
        <w:t>3</w:t>
      </w:r>
      <w:r>
        <w:rPr>
          <w:rFonts w:hint="eastAsia" w:ascii="FangSong" w:hAnsi="FangSong" w:eastAsia="FangSong" w:cs="FangSong"/>
          <w:sz w:val="32"/>
          <w:szCs w:val="32"/>
        </w:rPr>
        <w:t>名，其中：行政1</w:t>
      </w:r>
      <w:r>
        <w:rPr>
          <w:rFonts w:hint="eastAsia" w:ascii="FangSong" w:hAnsi="FangSong" w:eastAsia="FangSong" w:cs="FangSong"/>
          <w:sz w:val="32"/>
          <w:szCs w:val="32"/>
          <w:lang w:val="en-US" w:eastAsia="zh-CN"/>
        </w:rPr>
        <w:t>0</w:t>
      </w:r>
      <w:r>
        <w:rPr>
          <w:rFonts w:hint="eastAsia" w:ascii="FangSong" w:hAnsi="FangSong" w:eastAsia="FangSong" w:cs="FangSong"/>
          <w:sz w:val="32"/>
          <w:szCs w:val="32"/>
        </w:rPr>
        <w:t>名，</w:t>
      </w:r>
      <w:r>
        <w:rPr>
          <w:rFonts w:hint="eastAsia" w:ascii="FangSong" w:hAnsi="FangSong" w:eastAsia="FangSong" w:cs="FangSong"/>
          <w:sz w:val="32"/>
          <w:szCs w:val="32"/>
          <w:lang w:eastAsia="zh-CN"/>
        </w:rPr>
        <w:t>参公</w:t>
      </w:r>
      <w:r>
        <w:rPr>
          <w:rFonts w:hint="eastAsia" w:ascii="FangSong" w:hAnsi="FangSong" w:eastAsia="FangSong" w:cs="FangSong"/>
          <w:sz w:val="32"/>
          <w:szCs w:val="32"/>
          <w:lang w:val="en-US" w:eastAsia="zh-CN"/>
        </w:rPr>
        <w:t>3名，</w:t>
      </w:r>
      <w:r>
        <w:rPr>
          <w:rFonts w:hint="eastAsia" w:ascii="FangSong" w:hAnsi="FangSong" w:eastAsia="FangSong" w:cs="FangSong"/>
          <w:sz w:val="32"/>
          <w:szCs w:val="32"/>
        </w:rPr>
        <w:t>事业</w:t>
      </w:r>
      <w:r>
        <w:rPr>
          <w:rFonts w:hint="eastAsia" w:ascii="FangSong" w:hAnsi="FangSong" w:eastAsia="FangSong" w:cs="FangSong"/>
          <w:sz w:val="32"/>
          <w:szCs w:val="32"/>
          <w:lang w:val="en-US" w:eastAsia="zh-CN"/>
        </w:rPr>
        <w:t>9</w:t>
      </w:r>
      <w:r>
        <w:rPr>
          <w:rFonts w:hint="eastAsia" w:ascii="FangSong" w:hAnsi="FangSong" w:eastAsia="FangSong" w:cs="FangSong"/>
          <w:sz w:val="32"/>
          <w:szCs w:val="32"/>
        </w:rPr>
        <w:t>名</w:t>
      </w:r>
      <w:r>
        <w:rPr>
          <w:rFonts w:hint="eastAsia" w:ascii="FangSong" w:hAnsi="FangSong" w:eastAsia="FangSong" w:cs="FangSong"/>
          <w:sz w:val="32"/>
          <w:szCs w:val="32"/>
          <w:lang w:eastAsia="zh-CN"/>
        </w:rPr>
        <w:t>，</w:t>
      </w:r>
      <w:r>
        <w:rPr>
          <w:rFonts w:hint="eastAsia" w:ascii="FangSong" w:hAnsi="FangSong" w:eastAsia="FangSong" w:cs="FangSong"/>
          <w:sz w:val="32"/>
          <w:szCs w:val="32"/>
        </w:rPr>
        <w:t>工勤1名，离休0名。</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（三）年度主要工作任务。</w:t>
      </w:r>
    </w:p>
    <w:p>
      <w:pPr>
        <w:spacing w:line="576" w:lineRule="exact"/>
        <w:ind w:firstLine="640" w:firstLineChars="200"/>
        <w:rPr>
          <w:rFonts w:hint="eastAsia" w:ascii="FangSong" w:hAnsi="FangSong" w:eastAsia="FangSong" w:cs="FangSong"/>
          <w:sz w:val="32"/>
          <w:szCs w:val="32"/>
        </w:rPr>
      </w:pPr>
      <w:r>
        <w:rPr>
          <w:rFonts w:hint="eastAsia" w:ascii="FangSong" w:hAnsi="FangSong" w:eastAsia="FangSong"/>
          <w:sz w:val="32"/>
          <w:szCs w:val="32"/>
        </w:rPr>
        <w:t>202</w:t>
      </w:r>
      <w:r>
        <w:rPr>
          <w:rFonts w:hint="eastAsia" w:ascii="FangSong" w:hAnsi="FangSong" w:eastAsia="FangSong"/>
          <w:sz w:val="32"/>
          <w:szCs w:val="32"/>
          <w:lang w:val="en-US" w:eastAsia="zh-CN"/>
        </w:rPr>
        <w:t>2</w:t>
      </w:r>
      <w:r>
        <w:rPr>
          <w:rFonts w:hint="eastAsia" w:ascii="FangSong" w:hAnsi="FangSong" w:eastAsia="FangSong"/>
          <w:sz w:val="32"/>
          <w:szCs w:val="32"/>
        </w:rPr>
        <w:t>年重点工作任务介绍：</w:t>
      </w:r>
      <w:r>
        <w:rPr>
          <w:rFonts w:hint="eastAsia" w:ascii="FangSong" w:hAnsi="FangSong" w:eastAsia="FangSong" w:cs="FangSong"/>
          <w:sz w:val="32"/>
          <w:szCs w:val="32"/>
        </w:rPr>
        <w:t>2022年是持续巩固拓展脱贫攻坚成果、接续奋斗乡村振兴的关键之年，是落地落细“十四五”规划的关键之年。党的二十大和省第十二次党代会将在今年召开</w:t>
      </w:r>
      <w:r>
        <w:rPr>
          <w:rFonts w:hint="eastAsia" w:ascii="FangSong" w:hAnsi="FangSong" w:eastAsia="FangSong" w:cs="FangSong"/>
          <w:sz w:val="32"/>
          <w:szCs w:val="32"/>
          <w:lang w:eastAsia="zh-CN"/>
        </w:rPr>
        <w:t>，</w:t>
      </w:r>
      <w:r>
        <w:rPr>
          <w:rFonts w:hint="eastAsia" w:ascii="FangSong" w:hAnsi="FangSong" w:eastAsia="FangSong" w:cs="FangSong"/>
          <w:sz w:val="32"/>
          <w:szCs w:val="32"/>
        </w:rPr>
        <w:t>做好全县宣传思想工作，总的要求是：坚定以习近平新时代中国特色社会主义思想为指导，全面贯彻党的十九大和十九届历次全会精神，深入落实省委十一届三次全</w:t>
      </w:r>
      <w:bookmarkStart w:id="0" w:name="_GoBack"/>
      <w:r>
        <w:rPr>
          <w:rFonts w:hint="eastAsia" w:ascii="FangSong" w:hAnsi="FangSong" w:eastAsia="FangSong" w:cs="FangSong"/>
          <w:sz w:val="32"/>
          <w:szCs w:val="32"/>
        </w:rPr>
        <w:t>会以来的重</w:t>
      </w:r>
      <w:bookmarkEnd w:id="0"/>
      <w:r>
        <w:rPr>
          <w:rFonts w:hint="eastAsia" w:ascii="FangSong" w:hAnsi="FangSong" w:eastAsia="FangSong" w:cs="FangSong"/>
          <w:sz w:val="32"/>
          <w:szCs w:val="32"/>
        </w:rPr>
        <w:t>大决策部署和省市宣传部长会议精神，扎实抓好市第八次党代会、县第九次党代会决策部署落实，弘扬伟大建党精神，增强“四个意识”，坚定“四个自信”</w:t>
      </w:r>
      <w:r>
        <w:rPr>
          <w:rFonts w:hint="eastAsia" w:ascii="FangSong" w:hAnsi="FangSong" w:eastAsia="FangSong" w:cs="FangSong"/>
          <w:sz w:val="32"/>
          <w:szCs w:val="32"/>
          <w:lang w:eastAsia="zh-CN"/>
        </w:rPr>
        <w:t>、</w:t>
      </w:r>
      <w:r>
        <w:rPr>
          <w:rFonts w:hint="eastAsia" w:ascii="FangSong" w:hAnsi="FangSong" w:eastAsia="FangSong" w:cs="FangSong"/>
          <w:sz w:val="32"/>
          <w:szCs w:val="32"/>
        </w:rPr>
        <w:t>做到“两个维护”，坚持稳中求进、守正创新、敢于斗争，突出学习宣传贯彻习近平新时代中国特色社会主义思想首要政治任务，突出迎接宣传贯彻党的二十大和省第十二次党代会工作主线，紧紧围绕中心、服务大局，担当</w:t>
      </w:r>
      <w:r>
        <w:rPr>
          <w:rFonts w:hint="eastAsia" w:ascii="FangSong" w:hAnsi="FangSong" w:eastAsia="FangSong" w:cs="FangSong"/>
          <w:sz w:val="32"/>
          <w:szCs w:val="32"/>
          <w:lang w:eastAsia="zh-CN"/>
        </w:rPr>
        <w:t>“</w:t>
      </w:r>
      <w:r>
        <w:rPr>
          <w:rFonts w:hint="eastAsia" w:ascii="FangSong" w:hAnsi="FangSong" w:eastAsia="FangSong" w:cs="FangSong"/>
          <w:sz w:val="32"/>
          <w:szCs w:val="32"/>
        </w:rPr>
        <w:t>举旗帜、聚民心、育新人、兴文化、展形象</w:t>
      </w:r>
      <w:r>
        <w:rPr>
          <w:rFonts w:hint="eastAsia" w:ascii="FangSong" w:hAnsi="FangSong" w:eastAsia="FangSong" w:cs="FangSong"/>
          <w:sz w:val="32"/>
          <w:szCs w:val="32"/>
          <w:lang w:eastAsia="zh-CN"/>
        </w:rPr>
        <w:t>”</w:t>
      </w:r>
      <w:r>
        <w:rPr>
          <w:rFonts w:hint="eastAsia" w:ascii="FangSong" w:hAnsi="FangSong" w:eastAsia="FangSong" w:cs="FangSong"/>
          <w:sz w:val="32"/>
          <w:szCs w:val="32"/>
        </w:rPr>
        <w:t>的使命任务，为奋力谱写</w:t>
      </w:r>
      <w:r>
        <w:rPr>
          <w:rFonts w:hint="eastAsia" w:ascii="FangSong" w:hAnsi="FangSong" w:eastAsia="FangSong" w:cs="FangSong"/>
          <w:sz w:val="32"/>
          <w:szCs w:val="32"/>
          <w:lang w:eastAsia="zh-CN"/>
        </w:rPr>
        <w:t>生态强县美丽峨边高质量发展</w:t>
      </w:r>
      <w:r>
        <w:rPr>
          <w:rFonts w:hint="eastAsia" w:ascii="FangSong" w:hAnsi="FangSong" w:eastAsia="FangSong" w:cs="FangSong"/>
          <w:sz w:val="32"/>
          <w:szCs w:val="32"/>
        </w:rPr>
        <w:t>提供坚强思想保证和强大精神力量，以优异成绩迎接党的二十大和省第十二次党代会胜利召开。</w:t>
      </w:r>
    </w:p>
    <w:p>
      <w:pPr>
        <w:spacing w:line="576" w:lineRule="exact"/>
        <w:ind w:firstLine="640" w:firstLineChars="200"/>
        <w:rPr>
          <w:rFonts w:hint="eastAsia" w:ascii="FangSong" w:hAnsi="FangSong" w:eastAsia="FangSong" w:cs="FangSong"/>
          <w:sz w:val="32"/>
          <w:szCs w:val="32"/>
        </w:rPr>
      </w:pPr>
      <w:r>
        <w:rPr>
          <w:rFonts w:hint="eastAsia" w:ascii="FangSong" w:hAnsi="FangSong" w:eastAsia="FangSong" w:cs="FangSong"/>
          <w:sz w:val="32"/>
          <w:szCs w:val="32"/>
        </w:rPr>
        <w:t>一、坚定“主心骨”，增强理论学习的</w:t>
      </w:r>
      <w:r>
        <w:rPr>
          <w:rFonts w:hint="eastAsia" w:ascii="FangSong" w:hAnsi="FangSong" w:eastAsia="FangSong" w:cs="FangSong"/>
          <w:sz w:val="32"/>
          <w:szCs w:val="32"/>
          <w:lang w:eastAsia="zh-CN"/>
        </w:rPr>
        <w:t>创新</w:t>
      </w:r>
      <w:r>
        <w:rPr>
          <w:rFonts w:hint="eastAsia" w:ascii="FangSong" w:hAnsi="FangSong" w:eastAsia="FangSong" w:cs="FangSong"/>
          <w:sz w:val="32"/>
          <w:szCs w:val="32"/>
        </w:rPr>
        <w:t>性，提升理论普及的吸引力</w:t>
      </w:r>
    </w:p>
    <w:p>
      <w:pPr>
        <w:spacing w:line="576" w:lineRule="exact"/>
        <w:ind w:firstLine="640" w:firstLineChars="200"/>
        <w:rPr>
          <w:rFonts w:hint="eastAsia" w:ascii="FangSong" w:hAnsi="FangSong" w:eastAsia="FangSong" w:cs="FangSong"/>
          <w:sz w:val="32"/>
          <w:szCs w:val="32"/>
        </w:rPr>
      </w:pPr>
      <w:r>
        <w:rPr>
          <w:rFonts w:hint="eastAsia" w:ascii="FangSong" w:hAnsi="FangSong" w:eastAsia="FangSong" w:cs="FangSong"/>
          <w:sz w:val="32"/>
          <w:szCs w:val="32"/>
          <w:lang w:val="en-US" w:eastAsia="zh-CN"/>
        </w:rPr>
        <w:t xml:space="preserve"> </w:t>
      </w:r>
      <w:r>
        <w:rPr>
          <w:rFonts w:hint="eastAsia" w:ascii="FangSong" w:hAnsi="FangSong" w:eastAsia="FangSong" w:cs="FangSong"/>
          <w:sz w:val="32"/>
          <w:szCs w:val="32"/>
        </w:rPr>
        <w:t>二、唱响“主旋律”，浓墨重彩抓好主题宣传，绘声绘色讲好峨边故事</w:t>
      </w:r>
    </w:p>
    <w:p>
      <w:pPr>
        <w:spacing w:line="576" w:lineRule="exact"/>
        <w:ind w:firstLine="640" w:firstLineChars="200"/>
        <w:rPr>
          <w:rFonts w:hint="eastAsia" w:ascii="FangSong" w:hAnsi="FangSong" w:eastAsia="FangSong" w:cs="FangSong"/>
          <w:color w:val="000000"/>
          <w:sz w:val="32"/>
          <w:szCs w:val="32"/>
        </w:rPr>
      </w:pPr>
      <w:r>
        <w:rPr>
          <w:rFonts w:hint="eastAsia" w:ascii="FangSong" w:hAnsi="FangSong" w:eastAsia="FangSong" w:cs="FangSong"/>
          <w:sz w:val="32"/>
          <w:szCs w:val="32"/>
          <w:lang w:val="en-US" w:eastAsia="zh-CN"/>
        </w:rPr>
        <w:t xml:space="preserve"> </w:t>
      </w:r>
      <w:r>
        <w:rPr>
          <w:rFonts w:hint="eastAsia" w:ascii="FangSong" w:hAnsi="FangSong" w:eastAsia="FangSong" w:cs="FangSong"/>
          <w:color w:val="000000"/>
          <w:sz w:val="32"/>
          <w:szCs w:val="32"/>
        </w:rPr>
        <w:t>三、守牢“主阵地”，压紧压实工作责任，全力防范化解意识形态领域风险</w:t>
      </w:r>
    </w:p>
    <w:p>
      <w:pPr>
        <w:pStyle w:val="2"/>
        <w:wordWrap/>
        <w:adjustRightInd/>
        <w:snapToGrid/>
        <w:spacing w:before="0" w:after="0" w:line="576" w:lineRule="exact"/>
        <w:ind w:left="0" w:leftChars="0" w:firstLine="643" w:firstLineChars="200"/>
        <w:jc w:val="left"/>
        <w:textAlignment w:val="auto"/>
        <w:rPr>
          <w:rFonts w:hint="eastAsia" w:ascii="FangSong" w:hAnsi="FangSong" w:eastAsia="FangSong" w:cs="FangSong"/>
          <w:b w:val="0"/>
          <w:bCs w:val="0"/>
          <w:sz w:val="32"/>
          <w:szCs w:val="32"/>
          <w:lang w:val="en-US" w:eastAsia="zh-CN"/>
        </w:rPr>
      </w:pPr>
      <w:r>
        <w:rPr>
          <w:rFonts w:hint="eastAsia" w:ascii="FangSong" w:hAnsi="FangSong" w:eastAsia="FangSong" w:cs="FangSong"/>
          <w:color w:val="000000"/>
          <w:sz w:val="32"/>
          <w:szCs w:val="32"/>
          <w:lang w:val="en-US" w:eastAsia="zh-CN"/>
        </w:rPr>
        <w:t xml:space="preserve"> </w:t>
      </w:r>
      <w:r>
        <w:rPr>
          <w:rFonts w:hint="eastAsia" w:ascii="FangSong" w:hAnsi="FangSong" w:eastAsia="FangSong" w:cs="FangSong"/>
          <w:b w:val="0"/>
          <w:bCs w:val="0"/>
          <w:color w:val="000000"/>
          <w:sz w:val="32"/>
          <w:szCs w:val="32"/>
          <w:lang w:val="en-US" w:eastAsia="zh-CN"/>
        </w:rPr>
        <w:t>四、</w:t>
      </w:r>
      <w:r>
        <w:rPr>
          <w:rFonts w:hint="eastAsia" w:ascii="FangSong" w:hAnsi="FangSong" w:eastAsia="FangSong" w:cs="FangSong"/>
          <w:b w:val="0"/>
          <w:bCs w:val="0"/>
          <w:i w:val="0"/>
          <w:iCs w:val="0"/>
          <w:caps w:val="0"/>
          <w:color w:val="000000"/>
          <w:spacing w:val="0"/>
          <w:kern w:val="0"/>
          <w:sz w:val="32"/>
          <w:szCs w:val="32"/>
          <w:shd w:val="clear" w:color="0B0000" w:fill="FAFAFA"/>
          <w:lang w:val="en-US" w:eastAsia="zh-CN"/>
        </w:rPr>
        <w:t>弘扬“新风尚”，深化文明创建，不断提升人民群众文明素养和社会文明程度</w:t>
      </w:r>
    </w:p>
    <w:p>
      <w:pPr>
        <w:widowControl/>
        <w:numPr>
          <w:ilvl w:val="0"/>
          <w:numId w:val="0"/>
        </w:numPr>
        <w:shd w:val="clear" w:color="060000" w:fill="FAFAFA"/>
        <w:wordWrap w:val="0"/>
        <w:adjustRightInd/>
        <w:snapToGrid/>
        <w:spacing w:line="576" w:lineRule="exact"/>
        <w:ind w:left="0" w:leftChars="0" w:firstLine="640" w:firstLineChars="200"/>
        <w:jc w:val="left"/>
        <w:textAlignment w:val="auto"/>
        <w:rPr>
          <w:rFonts w:hint="eastAsia" w:ascii="FangSong" w:hAnsi="FangSong" w:eastAsia="FangSong" w:cs="FangSong"/>
          <w:i w:val="0"/>
          <w:iCs w:val="0"/>
          <w:caps w:val="0"/>
          <w:color w:val="000000"/>
          <w:spacing w:val="0"/>
          <w:kern w:val="0"/>
          <w:sz w:val="32"/>
          <w:szCs w:val="32"/>
          <w:shd w:val="clear" w:color="090000" w:fill="FAFAFA"/>
          <w:lang w:val="en-US" w:eastAsia="zh-CN"/>
        </w:rPr>
      </w:pPr>
      <w:r>
        <w:rPr>
          <w:rFonts w:hint="eastAsia" w:ascii="FangSong" w:hAnsi="FangSong" w:eastAsia="FangSong" w:cs="FangSong"/>
          <w:b w:val="0"/>
          <w:bCs w:val="0"/>
          <w:sz w:val="32"/>
          <w:szCs w:val="32"/>
          <w:lang w:val="en-US" w:eastAsia="zh-CN"/>
        </w:rPr>
        <w:t xml:space="preserve"> </w:t>
      </w:r>
      <w:r>
        <w:rPr>
          <w:rFonts w:hint="eastAsia" w:ascii="FangSong" w:hAnsi="FangSong" w:eastAsia="FangSong" w:cs="FangSong"/>
          <w:i w:val="0"/>
          <w:iCs w:val="0"/>
          <w:caps w:val="0"/>
          <w:color w:val="000000"/>
          <w:spacing w:val="0"/>
          <w:kern w:val="0"/>
          <w:sz w:val="32"/>
          <w:szCs w:val="32"/>
          <w:shd w:val="clear" w:color="090000" w:fill="FAFAFA"/>
          <w:lang w:val="en-US" w:eastAsia="zh-CN"/>
        </w:rPr>
        <w:t>五、厚植“新优势”，加快文旅融合发展，推动文化事业文化产业高质量发展。</w:t>
      </w:r>
    </w:p>
    <w:p>
      <w:pPr>
        <w:widowControl w:val="0"/>
        <w:numPr>
          <w:ilvl w:val="0"/>
          <w:numId w:val="0"/>
        </w:numPr>
        <w:pBdr>
          <w:top w:val="single" w:color="FFFFFF" w:sz="4" w:space="2"/>
          <w:left w:val="single" w:color="FFFFFF" w:sz="4" w:space="31"/>
          <w:bottom w:val="single" w:color="FFFFFF" w:sz="4" w:space="31"/>
          <w:right w:val="single" w:color="FFFFFF" w:sz="4" w:space="15"/>
        </w:pBdr>
        <w:wordWrap/>
        <w:adjustRightInd w:val="0"/>
        <w:snapToGrid w:val="0"/>
        <w:spacing w:line="600" w:lineRule="exact"/>
        <w:ind w:firstLine="640" w:firstLineChars="200"/>
        <w:textAlignment w:val="auto"/>
        <w:rPr>
          <w:rFonts w:hint="eastAsia" w:ascii="FangSong" w:hAnsi="FangSong" w:eastAsia="FangSong" w:cs="FangSong"/>
          <w:sz w:val="32"/>
          <w:szCs w:val="32"/>
        </w:rPr>
      </w:pPr>
      <w:r>
        <w:rPr>
          <w:rFonts w:hint="eastAsia" w:ascii="FangSong" w:hAnsi="FangSong" w:eastAsia="FangSong" w:cs="FangSong"/>
          <w:b w:val="0"/>
          <w:bCs w:val="0"/>
          <w:color w:val="000000"/>
          <w:kern w:val="2"/>
          <w:sz w:val="32"/>
          <w:szCs w:val="32"/>
          <w:lang w:val="en-US" w:eastAsia="zh-CN" w:bidi="ar-SA"/>
        </w:rPr>
        <w:t xml:space="preserve"> </w:t>
      </w:r>
      <w:r>
        <w:rPr>
          <w:rFonts w:hint="eastAsia" w:ascii="FangSong" w:hAnsi="FangSong" w:eastAsia="FangSong" w:cs="FangSong"/>
          <w:sz w:val="32"/>
          <w:szCs w:val="32"/>
        </w:rPr>
        <w:t>六、培育“主力军”，集聚人才强队伍，推动宣传思想文化战线干部队伍素质整体提升</w:t>
      </w:r>
    </w:p>
    <w:p>
      <w:pPr>
        <w:widowControl w:val="0"/>
        <w:numPr>
          <w:ilvl w:val="0"/>
          <w:numId w:val="0"/>
        </w:numPr>
        <w:pBdr>
          <w:top w:val="single" w:color="FFFFFF" w:sz="4" w:space="2"/>
          <w:left w:val="single" w:color="FFFFFF" w:sz="4" w:space="31"/>
          <w:bottom w:val="single" w:color="FFFFFF" w:sz="4" w:space="31"/>
          <w:right w:val="single" w:color="FFFFFF" w:sz="4" w:space="15"/>
        </w:pBdr>
        <w:wordWrap/>
        <w:adjustRightInd w:val="0"/>
        <w:snapToGrid w:val="0"/>
        <w:spacing w:line="600" w:lineRule="exact"/>
        <w:textAlignment w:val="auto"/>
        <w:rPr>
          <w:rFonts w:hint="eastAsia" w:ascii="KaiTi_GB2312" w:hAnsi="SimSun" w:eastAsia="KaiTi_GB2312" w:cs="SimSun"/>
          <w:color w:val="000000"/>
          <w:kern w:val="0"/>
          <w:szCs w:val="32"/>
          <w:shd w:val="clear" w:color="auto" w:fill="FFFFFF"/>
          <w:lang w:val="zh-CN"/>
        </w:rPr>
      </w:pPr>
      <w:r>
        <w:rPr>
          <w:rFonts w:hint="eastAsia" w:ascii="FangSong" w:hAnsi="FangSong" w:eastAsia="FangSong" w:cs="FangSong"/>
          <w:sz w:val="32"/>
          <w:szCs w:val="32"/>
          <w:lang w:val="en-US" w:eastAsia="zh-CN"/>
        </w:rPr>
        <w:t xml:space="preserve">   </w:t>
      </w:r>
      <w:r>
        <w:rPr>
          <w:rFonts w:hint="eastAsia" w:ascii="KaiTi_GB2312" w:hAnsi="SimSun" w:eastAsia="KaiTi_GB2312" w:cs="SimSun"/>
          <w:color w:val="000000"/>
          <w:kern w:val="0"/>
          <w:szCs w:val="32"/>
          <w:shd w:val="clear" w:color="auto" w:fill="FFFFFF"/>
          <w:lang w:val="zh-CN"/>
        </w:rPr>
        <w:t>（四）部门整体支出绩效目标。</w:t>
      </w:r>
    </w:p>
    <w:p>
      <w:pPr>
        <w:widowControl w:val="0"/>
        <w:numPr>
          <w:ilvl w:val="0"/>
          <w:numId w:val="0"/>
        </w:numPr>
        <w:pBdr>
          <w:top w:val="single" w:color="FFFFFF" w:sz="4" w:space="2"/>
          <w:left w:val="single" w:color="FFFFFF" w:sz="4" w:space="31"/>
          <w:bottom w:val="single" w:color="FFFFFF" w:sz="4" w:space="31"/>
          <w:right w:val="single" w:color="FFFFFF" w:sz="4" w:space="15"/>
        </w:pBdr>
        <w:wordWrap/>
        <w:adjustRightInd w:val="0"/>
        <w:snapToGrid w:val="0"/>
        <w:spacing w:line="600" w:lineRule="exact"/>
        <w:textAlignment w:val="auto"/>
        <w:rPr>
          <w:rFonts w:hint="eastAsia" w:ascii="FangSong" w:hAnsi="FangSong" w:eastAsia="FangSong" w:cs="FangSong"/>
          <w:sz w:val="32"/>
          <w:szCs w:val="32"/>
          <w:lang w:val="zh-CN"/>
        </w:rPr>
      </w:pPr>
      <w:r>
        <w:rPr>
          <w:rFonts w:hint="eastAsia" w:ascii="KaiTi_GB2312" w:hAnsi="SimSun" w:eastAsia="KaiTi_GB2312" w:cs="SimSun"/>
          <w:color w:val="000000"/>
          <w:kern w:val="0"/>
          <w:szCs w:val="32"/>
          <w:shd w:val="clear" w:color="auto" w:fill="FFFFFF"/>
          <w:lang w:val="en-US" w:eastAsia="zh-CN"/>
        </w:rPr>
        <w:t xml:space="preserve">    </w:t>
      </w:r>
      <w:r>
        <w:rPr>
          <w:rFonts w:hint="eastAsia" w:ascii="FangSong" w:hAnsi="FangSong" w:eastAsia="FangSong" w:cs="FangSong"/>
          <w:sz w:val="32"/>
          <w:szCs w:val="32"/>
          <w:lang w:val="zh-CN"/>
        </w:rPr>
        <w:t>（一）负责组织、指导全县的理论研究、理论学习、理论宣传工作。</w:t>
      </w:r>
    </w:p>
    <w:p>
      <w:pPr>
        <w:widowControl w:val="0"/>
        <w:numPr>
          <w:ilvl w:val="0"/>
          <w:numId w:val="1"/>
        </w:numPr>
        <w:pBdr>
          <w:top w:val="single" w:color="FFFFFF" w:sz="4" w:space="2"/>
          <w:left w:val="single" w:color="FFFFFF" w:sz="4" w:space="31"/>
          <w:bottom w:val="single" w:color="FFFFFF" w:sz="4" w:space="31"/>
          <w:right w:val="single" w:color="FFFFFF" w:sz="4" w:space="15"/>
        </w:pBdr>
        <w:wordWrap/>
        <w:adjustRightInd w:val="0"/>
        <w:snapToGrid w:val="0"/>
        <w:spacing w:line="600" w:lineRule="exact"/>
        <w:ind w:firstLine="640" w:firstLineChars="200"/>
        <w:textAlignment w:val="auto"/>
        <w:rPr>
          <w:rFonts w:hint="eastAsia" w:ascii="FangSong" w:hAnsi="FangSong" w:eastAsia="FangSong" w:cs="FangSong"/>
          <w:sz w:val="32"/>
          <w:szCs w:val="32"/>
          <w:lang w:val="zh-CN"/>
        </w:rPr>
      </w:pPr>
      <w:r>
        <w:rPr>
          <w:rFonts w:hint="eastAsia" w:ascii="FangSong" w:hAnsi="FangSong" w:eastAsia="FangSong" w:cs="FangSong"/>
          <w:sz w:val="32"/>
          <w:szCs w:val="32"/>
          <w:lang w:val="zh-CN"/>
        </w:rPr>
        <w:t>负责引导社会舆论，指导、协调县级新闻单位的工作。对县广播电视局的工作实施方针、政策领导和指导。</w:t>
      </w:r>
    </w:p>
    <w:p>
      <w:pPr>
        <w:widowControl w:val="0"/>
        <w:numPr>
          <w:ilvl w:val="0"/>
          <w:numId w:val="0"/>
        </w:numPr>
        <w:pBdr>
          <w:top w:val="single" w:color="FFFFFF" w:sz="4" w:space="2"/>
          <w:left w:val="single" w:color="FFFFFF" w:sz="4" w:space="31"/>
          <w:bottom w:val="single" w:color="FFFFFF" w:sz="4" w:space="31"/>
          <w:right w:val="single" w:color="FFFFFF" w:sz="4" w:space="15"/>
        </w:pBdr>
        <w:wordWrap/>
        <w:adjustRightInd w:val="0"/>
        <w:snapToGrid w:val="0"/>
        <w:spacing w:line="600" w:lineRule="exact"/>
        <w:textAlignment w:val="auto"/>
        <w:rPr>
          <w:rFonts w:hint="eastAsia" w:ascii="FangSong" w:hAnsi="FangSong" w:eastAsia="FangSong" w:cs="FangSong"/>
          <w:sz w:val="32"/>
          <w:szCs w:val="32"/>
          <w:lang w:val="zh-CN"/>
        </w:rPr>
      </w:pPr>
      <w:r>
        <w:rPr>
          <w:rFonts w:hint="eastAsia" w:ascii="FangSong" w:hAnsi="FangSong" w:eastAsia="FangSong" w:cs="FangSong"/>
          <w:sz w:val="32"/>
          <w:szCs w:val="32"/>
          <w:lang w:val="en-US" w:eastAsia="zh-CN"/>
        </w:rPr>
        <w:t xml:space="preserve">   </w:t>
      </w:r>
      <w:r>
        <w:rPr>
          <w:rFonts w:hint="eastAsia" w:ascii="FangSong" w:hAnsi="FangSong" w:eastAsia="FangSong" w:cs="FangSong"/>
          <w:sz w:val="32"/>
          <w:szCs w:val="32"/>
          <w:lang w:val="zh-CN"/>
        </w:rPr>
        <w:t>（三）负责从宏观上指导、协调精神产品的生产。</w:t>
      </w:r>
    </w:p>
    <w:p>
      <w:pPr>
        <w:widowControl w:val="0"/>
        <w:numPr>
          <w:ilvl w:val="0"/>
          <w:numId w:val="0"/>
        </w:numPr>
        <w:pBdr>
          <w:top w:val="single" w:color="FFFFFF" w:sz="4" w:space="2"/>
          <w:left w:val="single" w:color="FFFFFF" w:sz="4" w:space="31"/>
          <w:bottom w:val="single" w:color="FFFFFF" w:sz="4" w:space="31"/>
          <w:right w:val="single" w:color="FFFFFF" w:sz="4" w:space="15"/>
        </w:pBdr>
        <w:wordWrap/>
        <w:adjustRightInd w:val="0"/>
        <w:snapToGrid w:val="0"/>
        <w:spacing w:line="600" w:lineRule="exact"/>
        <w:textAlignment w:val="auto"/>
        <w:rPr>
          <w:rFonts w:hint="eastAsia" w:ascii="FangSong" w:hAnsi="FangSong" w:eastAsia="FangSong" w:cs="FangSong"/>
          <w:sz w:val="32"/>
          <w:szCs w:val="32"/>
          <w:lang w:val="zh-CN"/>
        </w:rPr>
      </w:pPr>
      <w:r>
        <w:rPr>
          <w:rFonts w:hint="eastAsia" w:ascii="FangSong" w:hAnsi="FangSong" w:eastAsia="FangSong" w:cs="FangSong"/>
          <w:sz w:val="32"/>
          <w:szCs w:val="32"/>
          <w:lang w:val="en-US" w:eastAsia="zh-CN"/>
        </w:rPr>
        <w:t xml:space="preserve">   </w:t>
      </w:r>
      <w:r>
        <w:rPr>
          <w:rFonts w:hint="eastAsia" w:ascii="FangSong" w:hAnsi="FangSong" w:eastAsia="FangSong" w:cs="FangSong"/>
          <w:sz w:val="32"/>
          <w:szCs w:val="32"/>
          <w:lang w:val="zh-CN"/>
        </w:rPr>
        <w:t>（四）负责规划、部署全局性的思想政治工作任务；配合县委组织部做好党员教育工作，负责党员教育教材的编写、征订；会同有关部门研究和改进群众思想教育工作。</w:t>
      </w:r>
    </w:p>
    <w:p>
      <w:pPr>
        <w:widowControl w:val="0"/>
        <w:numPr>
          <w:ilvl w:val="0"/>
          <w:numId w:val="0"/>
        </w:numPr>
        <w:pBdr>
          <w:top w:val="single" w:color="FFFFFF" w:sz="4" w:space="2"/>
          <w:left w:val="single" w:color="FFFFFF" w:sz="4" w:space="31"/>
          <w:bottom w:val="single" w:color="FFFFFF" w:sz="4" w:space="31"/>
          <w:right w:val="single" w:color="FFFFFF" w:sz="4" w:space="15"/>
        </w:pBdr>
        <w:wordWrap/>
        <w:adjustRightInd w:val="0"/>
        <w:snapToGrid w:val="0"/>
        <w:spacing w:line="600" w:lineRule="exact"/>
        <w:textAlignment w:val="auto"/>
        <w:rPr>
          <w:rFonts w:hint="eastAsia" w:ascii="FangSong" w:hAnsi="FangSong" w:eastAsia="FangSong" w:cs="FangSong"/>
          <w:sz w:val="32"/>
          <w:szCs w:val="32"/>
          <w:lang w:val="zh-CN"/>
        </w:rPr>
      </w:pPr>
      <w:r>
        <w:rPr>
          <w:rFonts w:hint="eastAsia" w:ascii="FangSong" w:hAnsi="FangSong" w:eastAsia="FangSong" w:cs="FangSong"/>
          <w:sz w:val="32"/>
          <w:szCs w:val="32"/>
          <w:lang w:val="en-US" w:eastAsia="zh-CN"/>
        </w:rPr>
        <w:t xml:space="preserve">   </w:t>
      </w:r>
      <w:r>
        <w:rPr>
          <w:rFonts w:hint="eastAsia" w:ascii="FangSong" w:hAnsi="FangSong" w:eastAsia="FangSong" w:cs="FangSong"/>
          <w:sz w:val="32"/>
          <w:szCs w:val="32"/>
          <w:lang w:val="zh-CN"/>
        </w:rPr>
        <w:t>（五）负责制定全县精神文明建设的规划并指导实施，负责加强对全县文明单位的创建、指导和管理，负责广泛开展群众性精神文明创建活动。</w:t>
      </w:r>
    </w:p>
    <w:p>
      <w:pPr>
        <w:widowControl w:val="0"/>
        <w:numPr>
          <w:ilvl w:val="0"/>
          <w:numId w:val="0"/>
        </w:numPr>
        <w:pBdr>
          <w:top w:val="single" w:color="FFFFFF" w:sz="4" w:space="2"/>
          <w:left w:val="single" w:color="FFFFFF" w:sz="4" w:space="31"/>
          <w:bottom w:val="single" w:color="FFFFFF" w:sz="4" w:space="31"/>
          <w:right w:val="single" w:color="FFFFFF" w:sz="4" w:space="15"/>
        </w:pBdr>
        <w:wordWrap/>
        <w:adjustRightInd w:val="0"/>
        <w:snapToGrid w:val="0"/>
        <w:spacing w:line="600" w:lineRule="exact"/>
        <w:ind w:firstLine="640" w:firstLineChars="200"/>
        <w:textAlignment w:val="auto"/>
        <w:rPr>
          <w:rFonts w:hint="eastAsia"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二、部门财政资金收支情况</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FangSong" w:hAnsi="FangSong" w:eastAsia="FangSong" w:cs="FangSong"/>
          <w:color w:val="000000"/>
          <w:kern w:val="0"/>
          <w:sz w:val="32"/>
          <w:szCs w:val="32"/>
          <w:shd w:val="clear" w:color="auto" w:fill="FFFFFF"/>
          <w:lang w:val="en-US" w:eastAsia="zh-CN"/>
        </w:rPr>
      </w:pPr>
      <w:r>
        <w:rPr>
          <w:rFonts w:hint="eastAsia" w:ascii="FangSong" w:hAnsi="FangSong" w:eastAsia="FangSong" w:cs="FangSong"/>
          <w:sz w:val="32"/>
          <w:szCs w:val="32"/>
        </w:rPr>
        <w:t>宣传部</w:t>
      </w:r>
      <w:r>
        <w:rPr>
          <w:rFonts w:hint="eastAsia" w:ascii="FangSong" w:hAnsi="FangSong" w:eastAsia="FangSong" w:cs="FangSong"/>
          <w:color w:val="000000"/>
          <w:kern w:val="0"/>
          <w:sz w:val="32"/>
          <w:szCs w:val="32"/>
          <w:shd w:val="clear" w:color="auto" w:fill="FFFFFF"/>
          <w:lang w:val="en-US" w:eastAsia="zh-CN"/>
        </w:rPr>
        <w:t>2022年财政拨款预算收入</w:t>
      </w:r>
      <w:r>
        <w:rPr>
          <w:rFonts w:hint="eastAsia" w:ascii="FangSong" w:hAnsi="FangSong" w:eastAsia="FangSong" w:cs="SimSun"/>
          <w:kern w:val="0"/>
          <w:sz w:val="32"/>
          <w:szCs w:val="32"/>
          <w:lang w:val="en-US" w:eastAsia="zh-CN"/>
        </w:rPr>
        <w:t>1584.84</w:t>
      </w:r>
      <w:r>
        <w:rPr>
          <w:rFonts w:hint="eastAsia" w:ascii="FangSong" w:hAnsi="FangSong" w:eastAsia="FangSong" w:cs="FangSong"/>
          <w:color w:val="000000"/>
          <w:kern w:val="0"/>
          <w:sz w:val="32"/>
          <w:szCs w:val="32"/>
          <w:shd w:val="clear" w:color="auto" w:fill="FFFFFF"/>
          <w:lang w:val="en-US" w:eastAsia="zh-CN"/>
        </w:rPr>
        <w:t xml:space="preserve"> 万元，其中上级资金429.7万元，县级资金115</w:t>
      </w:r>
      <w:r>
        <w:rPr>
          <w:rFonts w:hint="eastAsia" w:ascii="FangSong" w:hAnsi="FangSong" w:eastAsia="FangSong" w:cs="SimSun"/>
          <w:kern w:val="0"/>
          <w:sz w:val="32"/>
          <w:szCs w:val="32"/>
          <w:lang w:val="en-US" w:eastAsia="zh-CN"/>
        </w:rPr>
        <w:t>5.14</w:t>
      </w:r>
      <w:r>
        <w:rPr>
          <w:rFonts w:hint="eastAsia" w:ascii="FangSong" w:hAnsi="FangSong" w:eastAsia="FangSong" w:cs="FangSong"/>
          <w:color w:val="000000"/>
          <w:kern w:val="0"/>
          <w:sz w:val="32"/>
          <w:szCs w:val="32"/>
          <w:shd w:val="clear" w:color="auto" w:fill="FFFFFF"/>
          <w:lang w:val="en-US" w:eastAsia="zh-CN"/>
        </w:rPr>
        <w:t>万元。</w:t>
      </w:r>
    </w:p>
    <w:p>
      <w:pPr>
        <w:numPr>
          <w:ilvl w:val="0"/>
          <w:numId w:val="2"/>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部门财政资金支出情况。</w:t>
      </w:r>
    </w:p>
    <w:p>
      <w:pPr>
        <w:pStyle w:val="7"/>
        <w:keepNext w:val="0"/>
        <w:keepLines w:val="0"/>
        <w:widowControl/>
        <w:suppressLineNumbers w:val="0"/>
        <w:spacing w:before="315" w:beforeAutospacing="0" w:after="315" w:afterAutospacing="0" w:line="23" w:lineRule="atLeast"/>
        <w:ind w:left="0" w:firstLine="420"/>
        <w:jc w:val="both"/>
        <w:rPr>
          <w:rFonts w:hint="eastAsia" w:ascii="FangSong" w:hAnsi="FangSong" w:eastAsia="FangSong" w:cs="FangSong"/>
          <w:color w:val="000000"/>
          <w:kern w:val="0"/>
          <w:sz w:val="32"/>
          <w:szCs w:val="32"/>
          <w:shd w:val="clear" w:color="auto" w:fill="FFFFFF"/>
          <w:lang w:val="en-US" w:eastAsia="zh-CN"/>
        </w:rPr>
      </w:pPr>
      <w:r>
        <w:rPr>
          <w:rFonts w:hint="eastAsia" w:ascii="FangSong" w:hAnsi="FangSong" w:eastAsia="FangSong" w:cs="FangSong"/>
          <w:color w:val="000000"/>
          <w:kern w:val="0"/>
          <w:sz w:val="32"/>
          <w:szCs w:val="32"/>
          <w:shd w:val="clear" w:color="auto" w:fill="FFFFFF"/>
          <w:lang w:val="zh-CN" w:eastAsia="zh-CN"/>
        </w:rPr>
        <w:t>基本支出</w:t>
      </w:r>
      <w:r>
        <w:rPr>
          <w:rFonts w:hint="eastAsia" w:ascii="FangSong" w:hAnsi="FangSong" w:eastAsia="FangSong" w:cs="FangSong"/>
          <w:color w:val="000000"/>
          <w:kern w:val="0"/>
          <w:sz w:val="32"/>
          <w:szCs w:val="32"/>
          <w:shd w:val="clear" w:color="auto" w:fill="FFFFFF"/>
          <w:lang w:val="en-US" w:eastAsia="zh-CN"/>
        </w:rPr>
        <w:t>584.27 万元，项目支出570.87万元，具体支出为：党史学习教育资金11.86 万元， 精神文明创建专项经费69.99万元，创建扫黄打非正版软件费29.7万元，网络舆情监测服务费50万元，川财教〔2021〕137号中央支持地方公共文化服务体系建设补助资金69.94万元，川财教〔2021〕215号新时代文明实践中心建设项目10.5万元，强化提升党员干部理想信念教育210万元，全媒体宣传矩阵运营效能提升100万元，县委宣传部2022年县级乡村振兴补助资金（县级领导驻村帮扶工作经费）10万元，关于解决舆情监测服务资金</w:t>
      </w:r>
      <w:r>
        <w:rPr>
          <w:rFonts w:hint="eastAsia" w:ascii="FangSong" w:hAnsi="FangSong" w:eastAsia="FangSong" w:cs="FangSong"/>
          <w:color w:val="000000"/>
          <w:kern w:val="0"/>
          <w:sz w:val="32"/>
          <w:szCs w:val="32"/>
          <w:shd w:val="clear" w:color="auto" w:fill="FFFFFF"/>
          <w:lang w:val="en-US" w:eastAsia="zh-CN"/>
        </w:rPr>
        <w:t>〔2022〕</w:t>
      </w:r>
      <w:r>
        <w:rPr>
          <w:rFonts w:hint="eastAsia" w:ascii="FangSong" w:hAnsi="FangSong" w:eastAsia="FangSong" w:cs="FangSong"/>
          <w:color w:val="000000"/>
          <w:kern w:val="0"/>
          <w:sz w:val="32"/>
          <w:szCs w:val="32"/>
          <w:shd w:val="clear" w:color="auto" w:fill="FFFFFF"/>
          <w:lang w:val="en-US" w:eastAsia="zh-CN"/>
        </w:rPr>
        <w:t>93号8.88万元。</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hint="eastAsia" w:ascii="KaiTi_GB2312" w:hAnsi="SimSun" w:eastAsia="KaiTi_GB2312" w:cs="SimSun"/>
          <w:color w:val="000000"/>
          <w:kern w:val="0"/>
          <w:szCs w:val="32"/>
          <w:shd w:val="clear" w:color="auto" w:fill="FFFFFF"/>
          <w:lang w:val="zh-CN"/>
        </w:rPr>
      </w:pPr>
      <w:r>
        <w:rPr>
          <w:rFonts w:hint="eastAsia" w:ascii="FangSong" w:hAnsi="FangSong" w:eastAsia="FangSong" w:cs="FangSong"/>
          <w:color w:val="000000"/>
          <w:kern w:val="0"/>
          <w:sz w:val="32"/>
          <w:szCs w:val="32"/>
          <w:shd w:val="clear" w:color="auto" w:fill="FFFFFF"/>
          <w:lang w:val="en-US" w:eastAsia="zh-CN"/>
        </w:rPr>
        <w:t xml:space="preserve">   </w:t>
      </w:r>
      <w:r>
        <w:rPr>
          <w:rFonts w:hint="eastAsia" w:ascii="KaiTi_GB2312" w:hAnsi="SimSun" w:eastAsia="KaiTi_GB2312" w:cs="SimSun"/>
          <w:color w:val="000000"/>
          <w:kern w:val="0"/>
          <w:szCs w:val="32"/>
          <w:shd w:val="clear" w:color="auto" w:fill="FFFFFF"/>
          <w:lang w:val="zh-CN"/>
        </w:rPr>
        <w:t>（三）部门财政资金结转结余情况。</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FangSong" w:hAnsi="FangSong" w:eastAsia="FangSong" w:cs="FangSong"/>
          <w:color w:val="000000"/>
          <w:kern w:val="0"/>
          <w:szCs w:val="32"/>
          <w:shd w:val="clear" w:color="auto" w:fill="FFFFFF"/>
          <w:lang w:val="en-US" w:eastAsia="zh-CN"/>
        </w:rPr>
      </w:pPr>
      <w:r>
        <w:rPr>
          <w:rFonts w:hint="eastAsia" w:ascii="FangSong" w:hAnsi="FangSong" w:eastAsia="FangSong" w:cs="FangSong"/>
          <w:color w:val="000000"/>
          <w:kern w:val="0"/>
          <w:szCs w:val="32"/>
          <w:shd w:val="clear" w:color="auto" w:fill="FFFFFF"/>
          <w:lang w:val="zh-CN"/>
        </w:rPr>
        <w:t>结转下年资金</w:t>
      </w:r>
      <w:r>
        <w:rPr>
          <w:rFonts w:hint="eastAsia" w:ascii="FangSong" w:hAnsi="FangSong" w:eastAsia="FangSong" w:cs="FangSong"/>
          <w:color w:val="000000"/>
          <w:kern w:val="0"/>
          <w:szCs w:val="32"/>
          <w:shd w:val="clear" w:color="auto" w:fill="FFFFFF"/>
          <w:lang w:val="en-US" w:eastAsia="zh-CN"/>
        </w:rPr>
        <w:t>429.7万元。</w:t>
      </w:r>
    </w:p>
    <w:p>
      <w:pPr>
        <w:numPr>
          <w:ilvl w:val="0"/>
          <w:numId w:val="3"/>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FangSong_GB2312" w:hAnsi="FangSong_GB2312" w:eastAsia="FangSong_GB2312" w:cs="FangSong_GB2312"/>
          <w:b w:val="0"/>
          <w:i w:val="0"/>
          <w:caps w:val="0"/>
          <w:color w:val="000000"/>
          <w:spacing w:val="0"/>
          <w:kern w:val="2"/>
          <w:sz w:val="32"/>
          <w:szCs w:val="32"/>
          <w:lang w:val="zh-CN" w:eastAsia="zh-CN" w:bidi="ar-SA"/>
        </w:rPr>
      </w:pPr>
      <w:r>
        <w:rPr>
          <w:rFonts w:hint="eastAsia" w:ascii="SimHei" w:hAnsi="SimHei" w:eastAsia="SimHei" w:cs="SimSun"/>
          <w:color w:val="000000"/>
          <w:kern w:val="0"/>
          <w:szCs w:val="32"/>
          <w:shd w:val="clear" w:color="auto" w:fill="FFFFFF"/>
        </w:rPr>
        <w:t>部门整体绩效管理情况（根据自评体系进行描述）</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hint="eastAsia" w:ascii="KaiTi_GB2312" w:hAnsi="SimSun" w:eastAsia="KaiTi_GB2312" w:cs="SimSun"/>
          <w:color w:val="000000"/>
          <w:kern w:val="0"/>
          <w:szCs w:val="32"/>
          <w:shd w:val="clear" w:color="auto" w:fill="FFFFFF"/>
          <w:lang w:val="zh-CN"/>
        </w:rPr>
      </w:pPr>
      <w:r>
        <w:rPr>
          <w:rFonts w:hint="eastAsia" w:ascii="SimHei" w:hAnsi="SimHei" w:eastAsia="SimHei" w:cs="SimSun"/>
          <w:color w:val="000000"/>
          <w:kern w:val="0"/>
          <w:szCs w:val="32"/>
          <w:shd w:val="clear" w:color="auto" w:fill="FFFFFF"/>
          <w:lang w:val="en-US" w:eastAsia="zh-CN"/>
        </w:rPr>
        <w:t xml:space="preserve">   </w:t>
      </w:r>
      <w:r>
        <w:rPr>
          <w:rFonts w:hint="eastAsia" w:ascii="KaiTi_GB2312" w:hAnsi="SimSun" w:eastAsia="KaiTi_GB2312" w:cs="SimSun"/>
          <w:color w:val="000000"/>
          <w:kern w:val="0"/>
          <w:szCs w:val="32"/>
          <w:shd w:val="clear" w:color="auto" w:fill="FFFFFF"/>
          <w:lang w:val="zh-CN"/>
        </w:rPr>
        <w:t>（一）部门整体履职绩效分析。</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FangSong_GB2312" w:hAnsi="FangSong_GB2312" w:eastAsia="FangSong_GB2312" w:cs="FangSong_GB2312"/>
          <w:kern w:val="0"/>
          <w:sz w:val="32"/>
          <w:szCs w:val="32"/>
        </w:rPr>
      </w:pPr>
      <w:r>
        <w:rPr>
          <w:rFonts w:hint="eastAsia" w:ascii="FangSong_GB2312" w:hAnsi="FangSong_GB2312" w:eastAsia="FangSong_GB2312" w:cs="FangSong_GB2312"/>
          <w:sz w:val="32"/>
          <w:szCs w:val="32"/>
          <w:lang w:eastAsia="zh-CN"/>
        </w:rPr>
        <w:t>县委</w:t>
      </w:r>
      <w:r>
        <w:rPr>
          <w:rFonts w:hint="eastAsia" w:ascii="FangSong_GB2312" w:hAnsi="FangSong_GB2312" w:cs="FangSong_GB2312"/>
          <w:sz w:val="32"/>
          <w:szCs w:val="32"/>
          <w:lang w:eastAsia="zh-CN"/>
        </w:rPr>
        <w:t>宣传部预算</w:t>
      </w:r>
      <w:r>
        <w:rPr>
          <w:rFonts w:hint="eastAsia" w:ascii="FangSong_GB2312" w:hAnsi="FangSong_GB2312" w:eastAsia="FangSong_GB2312" w:cs="FangSong_GB2312"/>
          <w:i w:val="0"/>
          <w:caps w:val="0"/>
          <w:color w:val="000000"/>
          <w:spacing w:val="0"/>
          <w:sz w:val="32"/>
          <w:szCs w:val="32"/>
        </w:rPr>
        <w:t>按要求实行绩效目标管理，</w:t>
      </w:r>
      <w:r>
        <w:rPr>
          <w:rFonts w:hint="eastAsia" w:ascii="FangSong_GB2312" w:hAnsi="FangSong_GB2312" w:eastAsia="FangSong_GB2312" w:cs="FangSong_GB2312"/>
          <w:i w:val="0"/>
          <w:caps w:val="0"/>
          <w:color w:val="000000"/>
          <w:spacing w:val="0"/>
          <w:sz w:val="32"/>
          <w:szCs w:val="32"/>
          <w:lang w:eastAsia="zh-CN"/>
        </w:rPr>
        <w:t>编制</w:t>
      </w:r>
      <w:r>
        <w:rPr>
          <w:rFonts w:hint="eastAsia" w:ascii="FangSong_GB2312" w:hAnsi="FangSong_GB2312" w:eastAsia="FangSong_GB2312" w:cs="FangSong_GB2312"/>
          <w:i w:val="0"/>
          <w:caps w:val="0"/>
          <w:color w:val="000000"/>
          <w:spacing w:val="0"/>
          <w:sz w:val="32"/>
          <w:szCs w:val="32"/>
        </w:rPr>
        <w:t>部门整体绩效目标</w:t>
      </w:r>
      <w:r>
        <w:rPr>
          <w:rFonts w:hint="eastAsia" w:ascii="FangSong_GB2312" w:hAnsi="FangSong_GB2312" w:eastAsia="FangSong_GB2312" w:cs="FangSong_GB2312"/>
          <w:i w:val="0"/>
          <w:caps w:val="0"/>
          <w:color w:val="000000"/>
          <w:spacing w:val="0"/>
          <w:sz w:val="32"/>
          <w:szCs w:val="32"/>
          <w:lang w:eastAsia="zh-CN"/>
        </w:rPr>
        <w:t>。</w:t>
      </w:r>
      <w:r>
        <w:rPr>
          <w:rFonts w:hint="eastAsia" w:ascii="FangSong_GB2312" w:hAnsi="FangSong_GB2312" w:eastAsia="FangSong_GB2312" w:cs="FangSong_GB2312"/>
          <w:kern w:val="0"/>
          <w:sz w:val="32"/>
          <w:szCs w:val="32"/>
        </w:rPr>
        <w:t>20</w:t>
      </w:r>
      <w:r>
        <w:rPr>
          <w:rFonts w:hint="eastAsia" w:ascii="FangSong_GB2312" w:hAnsi="FangSong_GB2312" w:cs="FangSong_GB2312"/>
          <w:kern w:val="0"/>
          <w:sz w:val="32"/>
          <w:szCs w:val="32"/>
          <w:lang w:val="en-US" w:eastAsia="zh-CN"/>
        </w:rPr>
        <w:t>22</w:t>
      </w:r>
      <w:r>
        <w:rPr>
          <w:rFonts w:hint="eastAsia" w:ascii="FangSong_GB2312" w:hAnsi="FangSong_GB2312" w:eastAsia="FangSong_GB2312" w:cs="FangSong_GB2312"/>
          <w:kern w:val="0"/>
          <w:sz w:val="32"/>
          <w:szCs w:val="32"/>
        </w:rPr>
        <w:t>年</w:t>
      </w:r>
      <w:r>
        <w:rPr>
          <w:rFonts w:hint="eastAsia" w:ascii="FangSong_GB2312" w:hAnsi="FangSong_GB2312" w:cs="FangSong_GB2312"/>
          <w:kern w:val="0"/>
          <w:sz w:val="32"/>
          <w:szCs w:val="32"/>
          <w:lang w:eastAsia="zh-CN"/>
        </w:rPr>
        <w:t>总</w:t>
      </w:r>
      <w:r>
        <w:rPr>
          <w:rFonts w:hint="eastAsia" w:ascii="FangSong_GB2312" w:hAnsi="FangSong_GB2312" w:eastAsia="FangSong_GB2312" w:cs="FangSong_GB2312"/>
          <w:kern w:val="0"/>
          <w:sz w:val="32"/>
          <w:szCs w:val="32"/>
        </w:rPr>
        <w:t>收入预算</w:t>
      </w:r>
      <w:r>
        <w:rPr>
          <w:rFonts w:hint="eastAsia" w:ascii="FangSong_GB2312" w:hAnsi="FangSong_GB2312" w:eastAsia="FangSong_GB2312" w:cs="FangSong_GB2312"/>
          <w:kern w:val="0"/>
          <w:sz w:val="32"/>
          <w:szCs w:val="32"/>
          <w:lang w:val="en-US" w:eastAsia="zh-CN"/>
        </w:rPr>
        <w:t>为</w:t>
      </w:r>
      <w:r>
        <w:rPr>
          <w:rFonts w:hint="eastAsia" w:ascii="FangSong_GB2312" w:hAnsi="FangSong_GB2312" w:eastAsia="FangSong_GB2312" w:cs="FangSong_GB2312"/>
          <w:kern w:val="0"/>
          <w:sz w:val="32"/>
          <w:szCs w:val="32"/>
        </w:rPr>
        <w:t>一般公共预算</w:t>
      </w:r>
      <w:r>
        <w:rPr>
          <w:rFonts w:hint="eastAsia" w:ascii="FangSong_GB2312" w:hAnsi="FangSong_GB2312" w:cs="FangSong_GB2312"/>
          <w:kern w:val="0"/>
          <w:sz w:val="32"/>
          <w:szCs w:val="32"/>
          <w:lang w:eastAsia="zh-CN"/>
        </w:rPr>
        <w:t>财政拨款</w:t>
      </w:r>
      <w:r>
        <w:rPr>
          <w:rFonts w:hint="eastAsia" w:ascii="FangSong" w:hAnsi="FangSong" w:eastAsia="FangSong" w:cs="SimSun"/>
          <w:kern w:val="0"/>
          <w:sz w:val="32"/>
          <w:szCs w:val="32"/>
          <w:lang w:val="en-US" w:eastAsia="zh-CN"/>
        </w:rPr>
        <w:t>1584.84</w:t>
      </w:r>
      <w:r>
        <w:rPr>
          <w:rFonts w:hint="eastAsia" w:ascii="FangSong_GB2312" w:hAnsi="FangSong_GB2312" w:eastAsia="FangSong_GB2312" w:cs="FangSong_GB2312"/>
          <w:kern w:val="0"/>
          <w:sz w:val="32"/>
          <w:szCs w:val="32"/>
        </w:rPr>
        <w:t>万元</w:t>
      </w:r>
      <w:r>
        <w:rPr>
          <w:rFonts w:hint="eastAsia" w:ascii="FangSong_GB2312" w:hAnsi="FangSong_GB2312" w:cs="FangSong_GB2312"/>
          <w:kern w:val="0"/>
          <w:sz w:val="32"/>
          <w:szCs w:val="32"/>
          <w:lang w:val="en-US" w:eastAsia="zh-CN"/>
        </w:rPr>
        <w:t>。</w:t>
      </w:r>
      <w:r>
        <w:rPr>
          <w:rFonts w:hint="eastAsia" w:ascii="FangSong_GB2312" w:hAnsi="FangSong_GB2312" w:eastAsia="FangSong_GB2312" w:cs="FangSong_GB2312"/>
          <w:kern w:val="0"/>
          <w:sz w:val="32"/>
          <w:szCs w:val="32"/>
        </w:rPr>
        <w:t>支出预算一般公共预算</w:t>
      </w:r>
      <w:r>
        <w:rPr>
          <w:rFonts w:hint="eastAsia" w:ascii="FangSong_GB2312" w:hAnsi="FangSong_GB2312" w:cs="FangSong_GB2312"/>
          <w:kern w:val="0"/>
          <w:sz w:val="32"/>
          <w:szCs w:val="32"/>
          <w:lang w:eastAsia="zh-CN"/>
        </w:rPr>
        <w:t>财政拨款</w:t>
      </w:r>
      <w:r>
        <w:rPr>
          <w:rFonts w:hint="eastAsia" w:ascii="FangSong" w:hAnsi="FangSong" w:eastAsia="FangSong" w:cs="FangSong"/>
          <w:color w:val="000000"/>
          <w:kern w:val="0"/>
          <w:sz w:val="32"/>
          <w:szCs w:val="32"/>
          <w:shd w:val="clear" w:color="auto" w:fill="FFFFFF"/>
          <w:lang w:val="en-US" w:eastAsia="zh-CN"/>
        </w:rPr>
        <w:t>115</w:t>
      </w:r>
      <w:r>
        <w:rPr>
          <w:rFonts w:hint="eastAsia" w:ascii="FangSong" w:hAnsi="FangSong" w:eastAsia="FangSong" w:cs="SimSun"/>
          <w:kern w:val="0"/>
          <w:sz w:val="32"/>
          <w:szCs w:val="32"/>
          <w:lang w:val="en-US" w:eastAsia="zh-CN"/>
        </w:rPr>
        <w:t>5.14</w:t>
      </w:r>
      <w:r>
        <w:rPr>
          <w:rFonts w:hint="eastAsia" w:ascii="FangSong_GB2312" w:hAnsi="FangSong_GB2312" w:eastAsia="FangSong_GB2312" w:cs="FangSong_GB2312"/>
          <w:kern w:val="0"/>
          <w:sz w:val="32"/>
          <w:szCs w:val="32"/>
        </w:rPr>
        <w:t>万元</w:t>
      </w:r>
      <w:r>
        <w:rPr>
          <w:rFonts w:hint="eastAsia" w:ascii="FangSong_GB2312" w:hAnsi="FangSong_GB2312" w:eastAsia="FangSong_GB2312" w:cs="FangSong_GB2312"/>
          <w:kern w:val="0"/>
          <w:sz w:val="32"/>
          <w:szCs w:val="32"/>
          <w:lang w:eastAsia="zh-CN"/>
        </w:rPr>
        <w:t>，</w:t>
      </w:r>
      <w:r>
        <w:rPr>
          <w:rFonts w:hint="eastAsia" w:ascii="FangSong_GB2312" w:hAnsi="FangSong_GB2312" w:cs="FangSong_GB2312"/>
          <w:kern w:val="0"/>
          <w:sz w:val="32"/>
          <w:szCs w:val="32"/>
          <w:lang w:eastAsia="zh-CN"/>
        </w:rPr>
        <w:t>其中：</w:t>
      </w:r>
      <w:r>
        <w:rPr>
          <w:rFonts w:hint="eastAsia" w:ascii="FangSong_GB2312" w:hAnsi="FangSong_GB2312" w:eastAsia="FangSong_GB2312" w:cs="FangSong_GB2312"/>
          <w:kern w:val="0"/>
          <w:sz w:val="32"/>
          <w:szCs w:val="32"/>
        </w:rPr>
        <w:t>基本支出</w:t>
      </w:r>
      <w:r>
        <w:rPr>
          <w:rFonts w:hint="eastAsia" w:ascii="FangSong" w:hAnsi="FangSong" w:eastAsia="FangSong" w:cs="FangSong"/>
          <w:lang w:val="en-US" w:eastAsia="zh-CN"/>
        </w:rPr>
        <w:t>584.27</w:t>
      </w:r>
      <w:r>
        <w:rPr>
          <w:rFonts w:hint="eastAsia" w:ascii="FangSong_GB2312" w:hAnsi="FangSong_GB2312" w:eastAsia="FangSong_GB2312" w:cs="FangSong_GB2312"/>
          <w:kern w:val="0"/>
          <w:sz w:val="32"/>
          <w:szCs w:val="32"/>
        </w:rPr>
        <w:t>万元</w:t>
      </w:r>
      <w:r>
        <w:rPr>
          <w:rFonts w:hint="eastAsia" w:ascii="FangSong_GB2312" w:hAnsi="FangSong_GB2312" w:eastAsia="FangSong_GB2312" w:cs="FangSong_GB2312"/>
          <w:kern w:val="0"/>
          <w:sz w:val="32"/>
          <w:szCs w:val="32"/>
          <w:lang w:eastAsia="zh-CN"/>
        </w:rPr>
        <w:t>，</w:t>
      </w:r>
      <w:r>
        <w:rPr>
          <w:rFonts w:hint="eastAsia" w:ascii="FangSong_GB2312" w:hAnsi="FangSong_GB2312" w:eastAsia="FangSong_GB2312" w:cs="FangSong_GB2312"/>
          <w:kern w:val="0"/>
          <w:sz w:val="32"/>
          <w:szCs w:val="32"/>
        </w:rPr>
        <w:t>项目支出</w:t>
      </w:r>
      <w:r>
        <w:rPr>
          <w:rFonts w:hint="eastAsia" w:ascii="FangSong" w:hAnsi="FangSong" w:eastAsia="FangSong" w:cs="FangSong"/>
          <w:lang w:val="en-US" w:eastAsia="zh-CN"/>
        </w:rPr>
        <w:t>570.87</w:t>
      </w:r>
      <w:r>
        <w:rPr>
          <w:rFonts w:hint="eastAsia" w:ascii="FangSong_GB2312" w:hAnsi="FangSong_GB2312" w:eastAsia="FangSong_GB2312" w:cs="FangSong_GB2312"/>
          <w:kern w:val="0"/>
          <w:sz w:val="32"/>
          <w:szCs w:val="32"/>
        </w:rPr>
        <w:t>万</w:t>
      </w:r>
      <w:r>
        <w:rPr>
          <w:rFonts w:hint="eastAsia" w:ascii="FangSong_GB2312" w:hAnsi="FangSong_GB2312" w:cs="FangSong_GB2312"/>
          <w:kern w:val="0"/>
          <w:sz w:val="32"/>
          <w:szCs w:val="32"/>
          <w:lang w:eastAsia="zh-CN"/>
        </w:rPr>
        <w:t>元，</w:t>
      </w:r>
      <w:r>
        <w:rPr>
          <w:rFonts w:hint="eastAsia" w:ascii="FangSong" w:hAnsi="FangSong" w:eastAsia="FangSong" w:cs="FangSong"/>
          <w:color w:val="000000"/>
          <w:kern w:val="0"/>
          <w:szCs w:val="32"/>
          <w:shd w:val="clear" w:color="auto" w:fill="FFFFFF"/>
          <w:lang w:val="zh-CN"/>
        </w:rPr>
        <w:t>结转下年资金</w:t>
      </w:r>
      <w:r>
        <w:rPr>
          <w:rFonts w:hint="eastAsia" w:ascii="FangSong" w:hAnsi="FangSong" w:eastAsia="FangSong" w:cs="FangSong"/>
          <w:color w:val="000000"/>
          <w:kern w:val="0"/>
          <w:szCs w:val="32"/>
          <w:shd w:val="clear" w:color="auto" w:fill="FFFFFF"/>
          <w:lang w:val="en-US" w:eastAsia="zh-CN"/>
        </w:rPr>
        <w:t>429.7万元。</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FangSong" w:hAnsi="FangSong" w:eastAsia="FangSong" w:cs="FangSong"/>
          <w:sz w:val="30"/>
          <w:szCs w:val="30"/>
        </w:rPr>
      </w:pPr>
      <w:r>
        <w:rPr>
          <w:rFonts w:hint="eastAsia" w:ascii="FangSong_GB2312" w:hAnsi="SimSun" w:cs="SimSun"/>
          <w:color w:val="000000"/>
          <w:kern w:val="0"/>
          <w:szCs w:val="32"/>
          <w:shd w:val="clear" w:color="auto" w:fill="FFFFFF"/>
          <w:lang w:val="en-US" w:eastAsia="zh-CN"/>
        </w:rPr>
        <w:t>内部控制管理：</w:t>
      </w:r>
      <w:r>
        <w:rPr>
          <w:rFonts w:hint="eastAsia" w:ascii="FangSong" w:hAnsi="FangSong" w:eastAsia="FangSong" w:cs="FangSong"/>
          <w:sz w:val="30"/>
          <w:szCs w:val="30"/>
        </w:rPr>
        <w:t>内部控制体系的实施和健全</w:t>
      </w:r>
      <w:r>
        <w:rPr>
          <w:rFonts w:hint="eastAsia" w:ascii="FangSong" w:hAnsi="FangSong" w:eastAsia="FangSong" w:cs="FangSong"/>
          <w:sz w:val="30"/>
          <w:szCs w:val="30"/>
          <w:lang w:eastAsia="zh-CN"/>
        </w:rPr>
        <w:t>。</w:t>
      </w:r>
      <w:r>
        <w:rPr>
          <w:rFonts w:hint="eastAsia" w:ascii="FangSong" w:hAnsi="FangSong" w:eastAsia="FangSong" w:cs="FangSong"/>
          <w:sz w:val="30"/>
          <w:szCs w:val="30"/>
        </w:rPr>
        <w:t>健全完善单位内控制度，全面梳理业务流程，明确业务环节，分析风险隐患，完善风险评估机制，制定风险应对策略</w:t>
      </w:r>
      <w:r>
        <w:rPr>
          <w:rFonts w:hint="eastAsia" w:ascii="FangSong" w:hAnsi="FangSong" w:eastAsia="FangSong" w:cs="FangSong"/>
          <w:sz w:val="30"/>
          <w:szCs w:val="30"/>
          <w:lang w:eastAsia="zh-CN"/>
        </w:rPr>
        <w:t>；</w:t>
      </w:r>
      <w:r>
        <w:rPr>
          <w:rFonts w:hint="eastAsia" w:ascii="FangSong" w:hAnsi="FangSong" w:eastAsia="FangSong" w:cs="FangSong"/>
          <w:sz w:val="30"/>
          <w:szCs w:val="30"/>
        </w:rPr>
        <w:t>有效运用不相容岗位相互分离、内部授权审批控制、归口管理、预算控制、财产保护控制、会计控制、单据控制、信息内部公开等内部控制基本方法，加强对单位层面和业务层面的内部控制，实现内部控制体系全面、有效实施。建立单位内控监督约束机制，成立内部控制监督小组、评价小组，确保资金安全、合理、有效使用，最大限度发挥财政资金使用效益。</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00" w:firstLineChars="200"/>
        <w:rPr>
          <w:rFonts w:hint="eastAsia" w:ascii="FangSong" w:hAnsi="FangSong" w:eastAsia="FangSong" w:cs="FangSong"/>
          <w:sz w:val="30"/>
          <w:szCs w:val="30"/>
        </w:rPr>
      </w:pPr>
      <w:r>
        <w:rPr>
          <w:rFonts w:hint="eastAsia" w:ascii="FangSong" w:hAnsi="FangSong" w:eastAsia="FangSong" w:cs="FangSong"/>
          <w:sz w:val="30"/>
          <w:szCs w:val="30"/>
          <w:lang w:eastAsia="zh-CN"/>
        </w:rPr>
        <w:t>召开</w:t>
      </w:r>
      <w:r>
        <w:rPr>
          <w:rFonts w:hint="eastAsia" w:ascii="FangSong" w:hAnsi="FangSong" w:eastAsia="FangSong" w:cs="FangSong"/>
          <w:sz w:val="30"/>
          <w:szCs w:val="30"/>
        </w:rPr>
        <w:t>内部控制专题</w:t>
      </w:r>
      <w:r>
        <w:rPr>
          <w:rFonts w:hint="eastAsia" w:ascii="FangSong" w:hAnsi="FangSong" w:eastAsia="FangSong" w:cs="FangSong"/>
          <w:sz w:val="30"/>
          <w:szCs w:val="30"/>
          <w:lang w:eastAsia="zh-CN"/>
        </w:rPr>
        <w:t>培训</w:t>
      </w:r>
      <w:r>
        <w:rPr>
          <w:rFonts w:hint="eastAsia" w:ascii="FangSong" w:hAnsi="FangSong" w:eastAsia="FangSong" w:cs="FangSong"/>
          <w:sz w:val="30"/>
          <w:szCs w:val="30"/>
        </w:rPr>
        <w:t>会议</w:t>
      </w:r>
      <w:r>
        <w:rPr>
          <w:rFonts w:hint="eastAsia" w:ascii="FangSong" w:hAnsi="FangSong" w:eastAsia="FangSong" w:cs="FangSong"/>
          <w:sz w:val="30"/>
          <w:szCs w:val="30"/>
          <w:lang w:eastAsia="zh-CN"/>
        </w:rPr>
        <w:t>。</w:t>
      </w:r>
      <w:r>
        <w:rPr>
          <w:rFonts w:hint="eastAsia" w:ascii="FangSong" w:hAnsi="FangSong" w:eastAsia="FangSong" w:cs="FangSong"/>
          <w:sz w:val="30"/>
          <w:szCs w:val="30"/>
        </w:rPr>
        <w:t>对外部政策法规、内控相关制度开展培训学习。包括预算法实施条例、政府采购、行政事业单位资产管理办法、预算绩效管理等外部政策法规，以及内部财务管理办法和制度</w:t>
      </w:r>
      <w:r>
        <w:rPr>
          <w:rFonts w:hint="eastAsia" w:ascii="FangSong" w:hAnsi="FangSong" w:eastAsia="FangSong" w:cs="FangSong"/>
          <w:sz w:val="30"/>
          <w:szCs w:val="30"/>
          <w:lang w:eastAsia="zh-CN"/>
        </w:rPr>
        <w:t>，</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hint="eastAsia" w:ascii="FangSong" w:hAnsi="FangSong" w:eastAsia="FangSong" w:cs="FangSong"/>
          <w:sz w:val="30"/>
          <w:szCs w:val="30"/>
        </w:rPr>
      </w:pPr>
      <w:r>
        <w:rPr>
          <w:rFonts w:hint="eastAsia" w:ascii="FangSong" w:hAnsi="FangSong" w:eastAsia="FangSong" w:cs="FangSong"/>
          <w:sz w:val="30"/>
          <w:szCs w:val="30"/>
        </w:rPr>
        <w:t>实施内部控制评价和风险评估</w:t>
      </w:r>
      <w:r>
        <w:rPr>
          <w:rFonts w:hint="eastAsia" w:ascii="FangSong" w:hAnsi="FangSong" w:eastAsia="FangSong" w:cs="FangSong"/>
          <w:sz w:val="30"/>
          <w:szCs w:val="30"/>
          <w:lang w:eastAsia="zh-CN"/>
        </w:rPr>
        <w:t>。</w:t>
      </w:r>
      <w:r>
        <w:rPr>
          <w:rFonts w:hint="eastAsia" w:ascii="FangSong" w:hAnsi="FangSong" w:eastAsia="FangSong" w:cs="FangSong"/>
          <w:sz w:val="30"/>
          <w:szCs w:val="30"/>
        </w:rPr>
        <w:t>结合内部控制规范要求及单位的实际需要，对单位内部控制的运行情况开展评价工作，并对内部控制涉及的单位层面、业务层面（预算、收支、采购、资产、合同、项目等六大经济业务领域）开展风险评估，并形成评价报告和风险评估报告。</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hint="eastAsia" w:ascii="FangSong_GB2312" w:hAnsi="FangSong_GB2312" w:cs="FangSong_GB2312"/>
          <w:b w:val="0"/>
          <w:bCs w:val="0"/>
          <w:sz w:val="32"/>
          <w:szCs w:val="32"/>
          <w:lang w:eastAsia="zh-CN"/>
        </w:rPr>
      </w:pPr>
      <w:r>
        <w:rPr>
          <w:rFonts w:hint="eastAsia" w:ascii="FangSong" w:hAnsi="FangSong" w:eastAsia="FangSong" w:cs="FangSong"/>
          <w:sz w:val="30"/>
          <w:szCs w:val="30"/>
        </w:rPr>
        <w:t>编制内部控制年度报告</w:t>
      </w:r>
      <w:r>
        <w:rPr>
          <w:rFonts w:hint="eastAsia" w:ascii="FangSong" w:hAnsi="FangSong" w:eastAsia="FangSong" w:cs="FangSong"/>
          <w:sz w:val="30"/>
          <w:szCs w:val="30"/>
          <w:lang w:eastAsia="zh-CN"/>
        </w:rPr>
        <w:t>。</w:t>
      </w:r>
      <w:r>
        <w:rPr>
          <w:rFonts w:hint="eastAsia" w:ascii="FangSong_GB2312" w:hAnsi="FangSong_GB2312" w:eastAsia="FangSong_GB2312" w:cs="FangSong_GB2312"/>
          <w:b w:val="0"/>
          <w:bCs w:val="0"/>
          <w:sz w:val="32"/>
          <w:szCs w:val="32"/>
        </w:rPr>
        <w:t>根据财政部关于行政事业单位内部控制报告编制办法的要求，完成内部控制年度报告的编报</w:t>
      </w:r>
      <w:r>
        <w:rPr>
          <w:rFonts w:hint="eastAsia" w:ascii="FangSong_GB2312" w:hAnsi="FangSong_GB2312" w:cs="FangSong_GB2312"/>
          <w:b w:val="0"/>
          <w:bCs w:val="0"/>
          <w:sz w:val="32"/>
          <w:szCs w:val="32"/>
          <w:lang w:eastAsia="zh-CN"/>
        </w:rPr>
        <w:t>工作。</w:t>
      </w:r>
    </w:p>
    <w:p>
      <w:pPr>
        <w:numPr>
          <w:ilvl w:val="0"/>
          <w:numId w:val="4"/>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ascii="FangSong_GB2312" w:hAnsi="SimSun" w:eastAsia="FangSong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特定目标类项目绩效分析。</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ascii="FangSong_GB2312" w:hAnsi="SimSun" w:eastAsia="FangSong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en-US" w:eastAsia="zh-CN"/>
        </w:rPr>
        <w:t xml:space="preserve">     </w:t>
      </w:r>
      <w:r>
        <w:rPr>
          <w:rFonts w:hint="eastAsia" w:ascii="FangSong_GB2312" w:hAnsi="SimSun" w:eastAsia="FangSong_GB2312" w:cs="SimSun"/>
          <w:color w:val="000000"/>
          <w:kern w:val="0"/>
          <w:szCs w:val="32"/>
          <w:shd w:val="clear" w:color="auto" w:fill="FFFFFF"/>
          <w:lang w:val="zh-CN"/>
        </w:rPr>
        <w:t>1.整体情况</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FangSong" w:hAnsi="FangSong" w:eastAsia="FangSong" w:cs="FangSong"/>
          <w:color w:val="000000"/>
          <w:kern w:val="0"/>
          <w:szCs w:val="32"/>
          <w:shd w:val="clear" w:color="auto" w:fill="FFFFFF"/>
          <w:lang w:val="en-US" w:eastAsia="zh-CN"/>
        </w:rPr>
      </w:pPr>
      <w:r>
        <w:rPr>
          <w:rFonts w:hint="eastAsia" w:ascii="FangSong" w:hAnsi="FangSong" w:eastAsia="FangSong" w:cs="FangSong"/>
          <w:b w:val="0"/>
          <w:bCs w:val="0"/>
          <w:lang w:val="en-US" w:eastAsia="zh-CN"/>
        </w:rPr>
        <w:t>基本支出按预算完成，项目完成了100%。完成党报党刊的征订；</w:t>
      </w:r>
      <w:r>
        <w:rPr>
          <w:rFonts w:hint="eastAsia" w:ascii="FangSong" w:hAnsi="FangSong" w:eastAsia="FangSong" w:cs="FangSong"/>
          <w:color w:val="000000"/>
          <w:kern w:val="0"/>
          <w:szCs w:val="32"/>
          <w:shd w:val="clear" w:color="auto" w:fill="FFFFFF"/>
          <w:lang w:val="en-US" w:eastAsia="zh-CN"/>
        </w:rPr>
        <w:t>省市媒体战略合作经费；精神文明创建，开展卫生文明、勤俭创业；扫黄打非办公软件正版化；加大宣传为全县经济的发展营造氛围；讲好峨边故事等目标。</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FangSong" w:hAnsi="FangSong" w:eastAsia="FangSong" w:cs="FangSong"/>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zh-CN"/>
        </w:rPr>
        <w:t>2.100万以上项目：</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hint="eastAsia" w:ascii="FangSong_GB2312" w:hAnsi="FangSong_GB2312" w:eastAsia="FangSong_GB2312" w:cs="FangSong_GB2312"/>
          <w:kern w:val="0"/>
          <w:sz w:val="32"/>
          <w:szCs w:val="32"/>
          <w:lang w:val="en-US" w:eastAsia="zh-CN"/>
        </w:rPr>
      </w:pPr>
      <w:r>
        <w:rPr>
          <w:rFonts w:hint="eastAsia" w:ascii="KaiTi_GB2312" w:hAnsi="SimSun" w:eastAsia="KaiTi_GB2312" w:cs="SimSun"/>
          <w:color w:val="000000"/>
          <w:kern w:val="0"/>
          <w:szCs w:val="32"/>
          <w:shd w:val="clear" w:color="auto" w:fill="FFFFFF"/>
          <w:lang w:val="en-US" w:eastAsia="zh-CN"/>
        </w:rPr>
        <w:t xml:space="preserve">   </w:t>
      </w:r>
      <w:r>
        <w:rPr>
          <w:rFonts w:hint="eastAsia" w:ascii="FangSong_GB2312" w:hAnsi="SimSun" w:eastAsia="FangSong_GB2312" w:cs="SimSun"/>
          <w:color w:val="000000"/>
          <w:kern w:val="0"/>
          <w:szCs w:val="32"/>
          <w:shd w:val="clear" w:color="auto" w:fill="FFFFFF"/>
          <w:lang w:val="zh-CN"/>
        </w:rPr>
        <w:t>项目1：</w:t>
      </w:r>
      <w:r>
        <w:rPr>
          <w:rFonts w:hint="eastAsia" w:ascii="FangSong" w:hAnsi="FangSong" w:eastAsia="FangSong" w:cs="FangSong"/>
          <w:color w:val="000000"/>
          <w:kern w:val="0"/>
          <w:sz w:val="32"/>
          <w:szCs w:val="32"/>
          <w:shd w:val="clear" w:color="auto" w:fill="FFFFFF"/>
          <w:lang w:val="en-US" w:eastAsia="zh-CN"/>
        </w:rPr>
        <w:t>全媒体宣传矩阵运营效能提升100万元。</w:t>
      </w:r>
      <w:r>
        <w:rPr>
          <w:rFonts w:hint="eastAsia" w:ascii="FangSong_GB2312" w:hAnsi="FangSong_GB2312" w:eastAsia="FangSong_GB2312" w:cs="FangSong_GB2312"/>
          <w:kern w:val="0"/>
          <w:sz w:val="32"/>
          <w:szCs w:val="32"/>
          <w:lang w:val="en-US" w:eastAsia="zh-CN"/>
        </w:rPr>
        <w:t>与中央、省级、市级主流媒体签订媒体战略合作协议（合同），对峨边县委县政府重要工作、重大活动、经济社会发展成效等开展对内对外宣传。充分发挥各媒体平台优势，通过报刊、网络宣传推广峨边</w:t>
      </w:r>
      <w:r>
        <w:rPr>
          <w:rFonts w:hint="default" w:ascii="FangSong_GB2312" w:hAnsi="FangSong_GB2312" w:eastAsia="FangSong_GB2312" w:cs="FangSong_GB2312"/>
          <w:kern w:val="0"/>
          <w:sz w:val="32"/>
          <w:szCs w:val="32"/>
          <w:lang w:val="en-US" w:eastAsia="zh-CN"/>
        </w:rPr>
        <w:t>优美的自然生态、独具特色的民俗文化以及经济社会发展成就，扩大峨边的知名度、美誉度，展现峨边人民</w:t>
      </w:r>
      <w:r>
        <w:rPr>
          <w:rFonts w:hint="eastAsia" w:ascii="FangSong_GB2312" w:hAnsi="FangSong_GB2312" w:eastAsia="FangSong_GB2312" w:cs="FangSong_GB2312"/>
          <w:kern w:val="0"/>
          <w:sz w:val="32"/>
          <w:szCs w:val="32"/>
          <w:lang w:val="en-US" w:eastAsia="zh-CN"/>
        </w:rPr>
        <w:t>全面实施</w:t>
      </w:r>
      <w:r>
        <w:rPr>
          <w:rFonts w:hint="default" w:ascii="FangSong_GB2312" w:hAnsi="FangSong_GB2312" w:eastAsia="FangSong_GB2312" w:cs="FangSong_GB2312"/>
          <w:kern w:val="0"/>
          <w:sz w:val="32"/>
          <w:szCs w:val="32"/>
          <w:lang w:val="en-US" w:eastAsia="zh-CN"/>
        </w:rPr>
        <w:t>乡村振兴的良好精神风貌，</w:t>
      </w:r>
      <w:r>
        <w:rPr>
          <w:rFonts w:hint="eastAsia" w:ascii="FangSong_GB2312" w:hAnsi="FangSong_GB2312" w:eastAsia="FangSong_GB2312" w:cs="FangSong_GB2312"/>
          <w:kern w:val="0"/>
          <w:sz w:val="32"/>
          <w:szCs w:val="32"/>
          <w:lang w:val="en-US" w:eastAsia="zh-CN"/>
        </w:rPr>
        <w:t>营造良好发展舆论氛围，</w:t>
      </w:r>
      <w:r>
        <w:rPr>
          <w:rFonts w:hint="default" w:ascii="FangSong_GB2312" w:hAnsi="FangSong_GB2312" w:eastAsia="FangSong_GB2312" w:cs="FangSong_GB2312"/>
          <w:kern w:val="0"/>
          <w:sz w:val="32"/>
          <w:szCs w:val="32"/>
          <w:lang w:val="en-US" w:eastAsia="zh-CN"/>
        </w:rPr>
        <w:t>推动峨边全域旅游及经济社会发展</w:t>
      </w:r>
      <w:r>
        <w:rPr>
          <w:rFonts w:hint="eastAsia" w:ascii="FangSong_GB2312" w:hAnsi="FangSong_GB2312" w:eastAsia="FangSong_GB2312" w:cs="FangSong_GB2312"/>
          <w:kern w:val="0"/>
          <w:sz w:val="32"/>
          <w:szCs w:val="32"/>
          <w:lang w:val="en-US" w:eastAsia="zh-CN"/>
        </w:rPr>
        <w:t>。利用各媒体在重要时间节点（如劳动节、“七一”建党节、国庆节等）、重要活动（如体育赛事、旅博会、西博会等）策划专版专题宣传，展现峨边发展成就，提升对外良好形象。</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hint="eastAsia" w:ascii="FangSong" w:hAnsi="FangSong" w:eastAsia="FangSong" w:cs="FangSong"/>
          <w:kern w:val="0"/>
          <w:sz w:val="28"/>
          <w:szCs w:val="28"/>
          <w:lang w:val="en-US" w:eastAsia="zh-CN"/>
        </w:rPr>
      </w:pPr>
      <w:r>
        <w:rPr>
          <w:rFonts w:hint="eastAsia" w:ascii="FangSong_GB2312" w:hAnsi="FangSong_GB2312" w:eastAsia="FangSong_GB2312" w:cs="FangSong_GB2312"/>
          <w:kern w:val="0"/>
          <w:sz w:val="32"/>
          <w:szCs w:val="32"/>
          <w:lang w:val="en-US" w:eastAsia="zh-CN"/>
        </w:rPr>
        <w:t xml:space="preserve">    </w:t>
      </w:r>
      <w:r>
        <w:rPr>
          <w:rFonts w:hint="eastAsia" w:ascii="FangSong_GB2312" w:hAnsi="SimSun" w:eastAsia="FangSong_GB2312" w:cs="SimSun"/>
          <w:color w:val="000000"/>
          <w:kern w:val="0"/>
          <w:szCs w:val="32"/>
          <w:shd w:val="clear" w:color="auto" w:fill="FFFFFF"/>
          <w:lang w:val="zh-CN"/>
        </w:rPr>
        <w:t>项目2：</w:t>
      </w:r>
      <w:r>
        <w:rPr>
          <w:rFonts w:hint="eastAsia" w:ascii="FangSong" w:hAnsi="FangSong" w:eastAsia="FangSong" w:cs="FangSong"/>
          <w:color w:val="000000"/>
          <w:kern w:val="0"/>
          <w:sz w:val="32"/>
          <w:szCs w:val="32"/>
          <w:shd w:val="clear" w:color="auto" w:fill="FFFFFF"/>
          <w:lang w:val="en-US" w:eastAsia="zh-CN"/>
        </w:rPr>
        <w:t>强化提升党员干部理想信念教育210万元。</w:t>
      </w:r>
      <w:r>
        <w:rPr>
          <w:rFonts w:hint="eastAsia" w:ascii="FangSong" w:hAnsi="FangSong" w:eastAsia="FangSong" w:cs="FangSong"/>
          <w:lang w:val="zh-CN"/>
        </w:rPr>
        <w:t>订阅《人民日报》350份、四川日报917份、乐山日报1800份、求是</w:t>
      </w:r>
      <w:r>
        <w:rPr>
          <w:rFonts w:hint="eastAsia" w:ascii="FangSong" w:hAnsi="FangSong" w:eastAsia="FangSong" w:cs="FangSong"/>
          <w:lang w:val="en-US" w:eastAsia="zh-CN"/>
        </w:rPr>
        <w:t>376</w:t>
      </w:r>
      <w:r>
        <w:rPr>
          <w:rFonts w:hint="eastAsia" w:ascii="FangSong" w:hAnsi="FangSong" w:eastAsia="FangSong" w:cs="FangSong"/>
          <w:lang w:val="zh-CN"/>
        </w:rPr>
        <w:t>份、四川农村日报6</w:t>
      </w:r>
      <w:r>
        <w:rPr>
          <w:rFonts w:hint="eastAsia" w:ascii="FangSong" w:hAnsi="FangSong" w:eastAsia="FangSong" w:cs="FangSong"/>
          <w:lang w:val="en-US" w:eastAsia="zh-CN"/>
        </w:rPr>
        <w:t>44</w:t>
      </w:r>
      <w:r>
        <w:rPr>
          <w:rFonts w:hint="eastAsia" w:ascii="FangSong" w:hAnsi="FangSong" w:eastAsia="FangSong" w:cs="FangSong"/>
          <w:lang w:val="zh-CN"/>
        </w:rPr>
        <w:t>份、新华每日电讯240份、经济日报1</w:t>
      </w:r>
      <w:r>
        <w:rPr>
          <w:rFonts w:hint="eastAsia" w:ascii="FangSong" w:hAnsi="FangSong" w:eastAsia="FangSong" w:cs="FangSong"/>
          <w:lang w:val="en-US" w:eastAsia="zh-CN"/>
        </w:rPr>
        <w:t>4</w:t>
      </w:r>
      <w:r>
        <w:rPr>
          <w:rFonts w:hint="eastAsia" w:ascii="FangSong" w:hAnsi="FangSong" w:eastAsia="FangSong" w:cs="FangSong"/>
          <w:lang w:val="zh-CN"/>
        </w:rPr>
        <w:t>0份、《光明日报》</w:t>
      </w:r>
      <w:r>
        <w:rPr>
          <w:rFonts w:hint="eastAsia" w:ascii="FangSong" w:hAnsi="FangSong" w:eastAsia="FangSong" w:cs="FangSong"/>
          <w:lang w:val="en-US" w:eastAsia="zh-CN"/>
        </w:rPr>
        <w:t>85</w:t>
      </w:r>
      <w:r>
        <w:rPr>
          <w:rFonts w:hint="eastAsia" w:ascii="FangSong" w:hAnsi="FangSong" w:eastAsia="FangSong" w:cs="FangSong"/>
          <w:lang w:val="zh-CN"/>
        </w:rPr>
        <w:t>份等。</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hint="eastAsia" w:ascii="FangSong_GB2312" w:hAnsi="SimSun"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en-US" w:eastAsia="zh-CN"/>
        </w:rPr>
        <w:t xml:space="preserve">   </w:t>
      </w:r>
      <w:r>
        <w:rPr>
          <w:rFonts w:hint="eastAsia" w:ascii="KaiTi_GB2312" w:hAnsi="SimSun" w:eastAsia="KaiTi_GB2312" w:cs="SimSun"/>
          <w:color w:val="000000"/>
          <w:kern w:val="0"/>
          <w:szCs w:val="32"/>
          <w:shd w:val="clear" w:color="auto" w:fill="FFFFFF"/>
          <w:lang w:val="zh-CN"/>
        </w:rPr>
        <w:t>（三）结果应用情况。</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hint="eastAsia" w:ascii="FangSong_GB2312" w:hAnsi="SimSun"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en-US" w:eastAsia="zh-CN"/>
        </w:rPr>
        <w:t xml:space="preserve">    （</w:t>
      </w:r>
      <w:r>
        <w:rPr>
          <w:rFonts w:hint="eastAsia" w:ascii="FangSong_GB2312" w:hAnsi="SimSun" w:cs="SimSun"/>
          <w:color w:val="000000"/>
          <w:kern w:val="0"/>
          <w:szCs w:val="32"/>
          <w:shd w:val="clear" w:color="auto" w:fill="FFFFFF"/>
          <w:lang w:val="en-US" w:eastAsia="zh-CN"/>
        </w:rPr>
        <w:t>1）信息公开</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按时在峨边门户网上进行了公开。</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FangSong_GB2312" w:hAnsi="SimSun" w:cs="SimSun"/>
          <w:color w:val="000000"/>
          <w:kern w:val="0"/>
          <w:szCs w:val="32"/>
          <w:shd w:val="clear" w:color="auto" w:fill="FFFFFF"/>
          <w:lang w:val="en-US" w:eastAsia="zh-CN"/>
        </w:rPr>
      </w:pPr>
      <w:r>
        <w:rPr>
          <w:rFonts w:hint="eastAsia" w:ascii="FangSong_GB2312" w:hAnsi="SimSun" w:eastAsia="SimHei" w:cs="SimSun"/>
          <w:color w:val="000000"/>
          <w:kern w:val="0"/>
          <w:szCs w:val="32"/>
          <w:shd w:val="clear" w:color="auto" w:fill="FFFFFF"/>
          <w:lang w:val="en-US" w:eastAsia="zh-CN"/>
        </w:rPr>
        <w:t>（2）</w:t>
      </w:r>
      <w:r>
        <w:rPr>
          <w:rFonts w:hint="eastAsia" w:ascii="FangSong_GB2312" w:hAnsi="SimSun" w:cs="SimSun"/>
          <w:color w:val="000000"/>
          <w:kern w:val="0"/>
          <w:szCs w:val="32"/>
          <w:shd w:val="clear" w:color="auto" w:fill="FFFFFF"/>
          <w:lang w:val="en-US" w:eastAsia="zh-CN"/>
        </w:rPr>
        <w:t>自评质量</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hint="eastAsia"/>
          <w:b w:val="0"/>
          <w:bCs w:val="0"/>
          <w:lang w:val="en-US" w:eastAsia="zh-CN"/>
        </w:rPr>
      </w:pPr>
      <w:r>
        <w:rPr>
          <w:rFonts w:hint="eastAsia" w:ascii="FangSong_GB2312" w:hAnsi="SimSun" w:cs="SimSun"/>
          <w:color w:val="000000"/>
          <w:kern w:val="0"/>
          <w:szCs w:val="32"/>
          <w:shd w:val="clear" w:color="auto" w:fill="FFFFFF"/>
          <w:lang w:val="en-US" w:eastAsia="zh-CN"/>
        </w:rPr>
        <w:t xml:space="preserve"> </w:t>
      </w:r>
      <w:r>
        <w:rPr>
          <w:rFonts w:hint="eastAsia"/>
          <w:b w:val="0"/>
          <w:bCs w:val="0"/>
          <w:lang w:val="en-US" w:eastAsia="zh-CN"/>
        </w:rPr>
        <w:t>基本支出按预算完成，项目完成了100%。</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hint="eastAsia" w:ascii="SimHei" w:hAnsi="SimSun" w:eastAsia="SimHei" w:cs="SimSun"/>
          <w:color w:val="000000"/>
          <w:kern w:val="0"/>
          <w:szCs w:val="32"/>
          <w:shd w:val="clear" w:color="auto" w:fill="FFFFFF"/>
        </w:rPr>
      </w:pPr>
      <w:r>
        <w:rPr>
          <w:rFonts w:hint="eastAsia"/>
          <w:b w:val="0"/>
          <w:bCs w:val="0"/>
          <w:lang w:val="en-US" w:eastAsia="zh-CN"/>
        </w:rPr>
        <w:t xml:space="preserve">     </w:t>
      </w:r>
      <w:r>
        <w:rPr>
          <w:rFonts w:hint="eastAsia" w:ascii="SimHei" w:hAnsi="SimSun" w:eastAsia="SimHei" w:cs="SimSun"/>
          <w:color w:val="000000"/>
          <w:kern w:val="0"/>
          <w:szCs w:val="32"/>
          <w:shd w:val="clear" w:color="auto" w:fill="FFFFFF"/>
        </w:rPr>
        <w:t>四、评价结论及建议</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hint="eastAsia" w:ascii="FangSong_GB2312" w:hAnsi="SimSun" w:cs="SimSun"/>
          <w:color w:val="000000"/>
          <w:kern w:val="0"/>
          <w:szCs w:val="32"/>
          <w:shd w:val="clear" w:color="auto" w:fill="FFFFFF"/>
          <w:lang w:val="zh-CN"/>
        </w:rPr>
      </w:pPr>
      <w:r>
        <w:rPr>
          <w:rFonts w:hint="eastAsia" w:ascii="SimHei" w:hAnsi="SimSun" w:eastAsia="SimHei" w:cs="SimSun"/>
          <w:color w:val="000000"/>
          <w:kern w:val="0"/>
          <w:szCs w:val="32"/>
          <w:shd w:val="clear" w:color="auto" w:fill="FFFFFF"/>
          <w:lang w:val="en-US" w:eastAsia="zh-CN"/>
        </w:rPr>
        <w:t xml:space="preserve">     </w:t>
      </w:r>
      <w:r>
        <w:rPr>
          <w:rFonts w:hint="eastAsia" w:ascii="FangSong_GB2312" w:hAnsi="SimSun" w:cs="SimSun"/>
          <w:color w:val="000000"/>
          <w:kern w:val="0"/>
          <w:szCs w:val="32"/>
          <w:shd w:val="clear" w:color="auto" w:fill="FFFFFF"/>
          <w:lang w:val="zh-CN"/>
        </w:rPr>
        <w:t>（</w:t>
      </w:r>
      <w:r>
        <w:rPr>
          <w:rFonts w:hint="eastAsia" w:ascii="FangSong_GB2312" w:hAnsi="SimSun" w:cs="SimSun"/>
          <w:color w:val="000000"/>
          <w:kern w:val="0"/>
          <w:szCs w:val="32"/>
          <w:shd w:val="clear" w:color="auto" w:fill="FFFFFF"/>
          <w:lang w:val="zh-CN" w:eastAsia="zh-CN"/>
        </w:rPr>
        <w:t>一</w:t>
      </w:r>
      <w:r>
        <w:rPr>
          <w:rFonts w:hint="eastAsia" w:ascii="FangSong_GB2312" w:hAnsi="SimSun" w:cs="SimSun"/>
          <w:color w:val="000000"/>
          <w:kern w:val="0"/>
          <w:szCs w:val="32"/>
          <w:shd w:val="clear" w:color="auto" w:fill="FFFFFF"/>
          <w:lang w:val="zh-CN"/>
        </w:rPr>
        <w:t>）评价结论。</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hint="eastAsia" w:ascii="FangSong_GB2312" w:hAnsi="SimSun" w:cs="SimSun"/>
          <w:color w:val="000000"/>
          <w:kern w:val="0"/>
          <w:szCs w:val="32"/>
          <w:shd w:val="clear" w:color="auto" w:fill="FFFFFF"/>
          <w:lang w:val="zh-CN"/>
        </w:rPr>
      </w:pPr>
      <w:r>
        <w:rPr>
          <w:rFonts w:hint="eastAsia" w:ascii="FangSong_GB2312" w:hAnsi="SimSun" w:cs="SimSun"/>
          <w:color w:val="000000"/>
          <w:kern w:val="0"/>
          <w:szCs w:val="32"/>
          <w:shd w:val="clear" w:color="auto" w:fill="FFFFFF"/>
          <w:lang w:val="en-US" w:eastAsia="zh-CN"/>
        </w:rPr>
        <w:t xml:space="preserve">     </w:t>
      </w:r>
      <w:r>
        <w:rPr>
          <w:rFonts w:hint="eastAsia" w:ascii="FangSong_GB2312" w:hAnsi="SimSun" w:cs="SimSun"/>
          <w:color w:val="000000"/>
          <w:kern w:val="0"/>
          <w:szCs w:val="32"/>
          <w:shd w:val="clear" w:color="auto" w:fill="FFFFFF"/>
          <w:lang w:val="zh-CN"/>
        </w:rPr>
        <w:t>根据《峨边彝族自治县财政局 关于开展20</w:t>
      </w:r>
      <w:r>
        <w:rPr>
          <w:rFonts w:hint="eastAsia" w:ascii="FangSong_GB2312" w:hAnsi="SimSun" w:cs="SimSun"/>
          <w:color w:val="000000"/>
          <w:kern w:val="0"/>
          <w:szCs w:val="32"/>
          <w:shd w:val="clear" w:color="auto" w:fill="FFFFFF"/>
          <w:lang w:val="en-US" w:eastAsia="zh-CN"/>
        </w:rPr>
        <w:t>22</w:t>
      </w:r>
      <w:r>
        <w:rPr>
          <w:rFonts w:hint="eastAsia" w:ascii="FangSong_GB2312" w:hAnsi="SimSun" w:cs="SimSun"/>
          <w:color w:val="000000"/>
          <w:kern w:val="0"/>
          <w:szCs w:val="32"/>
          <w:shd w:val="clear" w:color="auto" w:fill="FFFFFF"/>
          <w:lang w:val="zh-CN"/>
        </w:rPr>
        <w:t>年财政绩效评价工作的通知》文件精神，宣传部</w:t>
      </w:r>
      <w:r>
        <w:rPr>
          <w:rFonts w:hint="eastAsia" w:ascii="FangSong_GB2312" w:hAnsi="SimSun" w:cs="SimSun"/>
          <w:color w:val="000000"/>
          <w:kern w:val="0"/>
          <w:szCs w:val="32"/>
          <w:shd w:val="clear" w:color="auto" w:fill="FFFFFF"/>
          <w:lang w:val="en-US" w:eastAsia="zh-CN"/>
        </w:rPr>
        <w:t>认真组织开展了部门整体支出绩效评价工作，绩效评价</w:t>
      </w:r>
      <w:r>
        <w:rPr>
          <w:rFonts w:hint="eastAsia" w:ascii="FangSong_GB2312" w:hAnsi="SimSun" w:cs="SimSun"/>
          <w:color w:val="000000"/>
          <w:kern w:val="0"/>
          <w:szCs w:val="32"/>
          <w:shd w:val="clear" w:color="auto" w:fill="FFFFFF"/>
          <w:lang w:val="zh-CN"/>
        </w:rPr>
        <w:t>得分：</w:t>
      </w:r>
      <w:r>
        <w:rPr>
          <w:rFonts w:hint="eastAsia" w:ascii="FangSong_GB2312" w:hAnsi="SimSun" w:cs="SimSun"/>
          <w:color w:val="000000"/>
          <w:kern w:val="0"/>
          <w:szCs w:val="32"/>
          <w:shd w:val="clear" w:color="auto" w:fill="FFFFFF"/>
          <w:lang w:val="en-US" w:eastAsia="zh-CN"/>
        </w:rPr>
        <w:t>100</w:t>
      </w:r>
      <w:r>
        <w:rPr>
          <w:rFonts w:hint="eastAsia" w:ascii="FangSong_GB2312" w:hAnsi="SimSun" w:cs="SimSun"/>
          <w:color w:val="000000"/>
          <w:kern w:val="0"/>
          <w:szCs w:val="32"/>
          <w:shd w:val="clear" w:color="auto" w:fill="FFFFFF"/>
          <w:lang w:val="zh-CN"/>
        </w:rPr>
        <w:t>分。</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hint="eastAsia" w:ascii="FangSong_GB2312" w:hAnsi="SimSun" w:cs="SimSun"/>
          <w:color w:val="000000"/>
          <w:kern w:val="0"/>
          <w:szCs w:val="32"/>
          <w:shd w:val="clear" w:color="auto" w:fill="FFFFFF"/>
          <w:lang w:val="zh-CN"/>
        </w:rPr>
      </w:pPr>
      <w:r>
        <w:rPr>
          <w:rFonts w:hint="eastAsia" w:ascii="FangSong_GB2312" w:hAnsi="SimSun" w:cs="SimSun"/>
          <w:color w:val="000000"/>
          <w:kern w:val="0"/>
          <w:szCs w:val="32"/>
          <w:shd w:val="clear" w:color="auto" w:fill="FFFFFF"/>
          <w:lang w:val="en-US" w:eastAsia="zh-CN"/>
        </w:rPr>
        <w:t xml:space="preserve">   </w:t>
      </w:r>
      <w:r>
        <w:rPr>
          <w:rFonts w:hint="eastAsia" w:ascii="FangSong_GB2312" w:hAnsi="SimSun" w:cs="SimSun"/>
          <w:color w:val="000000"/>
          <w:kern w:val="0"/>
          <w:szCs w:val="32"/>
          <w:shd w:val="clear" w:color="auto" w:fill="FFFFFF"/>
          <w:lang w:val="zh-CN"/>
        </w:rPr>
        <w:t>（二）存在问题。</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FangSong_GB2312" w:hAnsi="SimSun" w:cs="SimSun"/>
          <w:color w:val="000000"/>
          <w:kern w:val="0"/>
          <w:szCs w:val="32"/>
          <w:shd w:val="clear" w:color="auto" w:fill="FFFFFF"/>
          <w:lang w:val="zh-CN"/>
        </w:rPr>
      </w:pPr>
      <w:r>
        <w:rPr>
          <w:rFonts w:hint="eastAsia" w:ascii="FangSong_GB2312" w:hAnsi="SimSun" w:cs="SimSun"/>
          <w:color w:val="000000"/>
          <w:kern w:val="0"/>
          <w:szCs w:val="32"/>
          <w:shd w:val="clear" w:color="auto" w:fill="FFFFFF"/>
          <w:lang w:val="zh-CN"/>
        </w:rPr>
        <w:t>无存在问题。</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hint="eastAsia" w:ascii="FangSong_GB2312" w:hAnsi="SimSun" w:cs="SimSun"/>
          <w:color w:val="000000"/>
          <w:kern w:val="0"/>
          <w:szCs w:val="32"/>
          <w:shd w:val="clear" w:color="auto" w:fill="FFFFFF"/>
          <w:lang w:val="zh-CN"/>
        </w:rPr>
      </w:pPr>
      <w:r>
        <w:rPr>
          <w:rFonts w:hint="eastAsia" w:ascii="FangSong_GB2312" w:hAnsi="SimSun" w:cs="SimSun"/>
          <w:color w:val="000000"/>
          <w:kern w:val="0"/>
          <w:szCs w:val="32"/>
          <w:shd w:val="clear" w:color="auto" w:fill="FFFFFF"/>
          <w:lang w:val="en-US" w:eastAsia="zh-CN"/>
        </w:rPr>
        <w:t xml:space="preserve">   </w:t>
      </w:r>
      <w:r>
        <w:rPr>
          <w:rFonts w:hint="eastAsia" w:ascii="FangSong_GB2312" w:hAnsi="SimSun" w:cs="SimSun"/>
          <w:color w:val="000000"/>
          <w:kern w:val="0"/>
          <w:szCs w:val="32"/>
          <w:shd w:val="clear" w:color="auto" w:fill="FFFFFF"/>
          <w:lang w:val="zh-CN"/>
        </w:rPr>
        <w:t>（三）改进建议。</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hint="eastAsia" w:ascii="FangSong_GB2312" w:hAnsi="SimSun" w:cs="SimSun"/>
          <w:color w:val="000000"/>
          <w:kern w:val="0"/>
          <w:szCs w:val="32"/>
          <w:shd w:val="clear" w:color="auto" w:fill="FFFFFF"/>
          <w:lang w:val="en-US" w:eastAsia="zh-CN"/>
        </w:rPr>
      </w:pPr>
      <w:r>
        <w:rPr>
          <w:rFonts w:hint="eastAsia" w:ascii="FangSong_GB2312" w:hAnsi="SimSun" w:eastAsia="FangSong" w:cs="SimSun"/>
          <w:color w:val="000000"/>
          <w:kern w:val="0"/>
          <w:szCs w:val="32"/>
          <w:shd w:val="clear" w:color="auto" w:fill="FFFFFF"/>
          <w:lang w:val="en-US" w:eastAsia="zh-CN"/>
        </w:rPr>
        <w:t xml:space="preserve">    </w:t>
      </w:r>
      <w:r>
        <w:rPr>
          <w:rFonts w:hint="eastAsia" w:ascii="FangSong" w:hAnsi="FangSong" w:eastAsia="FangSong" w:cs="FangSong"/>
          <w:sz w:val="32"/>
          <w:szCs w:val="32"/>
          <w:lang w:val="en-US" w:eastAsia="zh-CN"/>
        </w:rPr>
        <w:t>所有</w:t>
      </w:r>
      <w:r>
        <w:rPr>
          <w:rFonts w:ascii="FangSong" w:hAnsi="FangSong" w:eastAsia="FangSong" w:cs="FangSong"/>
          <w:sz w:val="32"/>
          <w:szCs w:val="32"/>
        </w:rPr>
        <w:t>经费</w:t>
      </w:r>
      <w:r>
        <w:rPr>
          <w:rFonts w:hint="eastAsia" w:ascii="FangSong" w:hAnsi="FangSong" w:eastAsia="FangSong" w:cs="FangSong"/>
          <w:sz w:val="32"/>
          <w:szCs w:val="32"/>
          <w:lang w:eastAsia="zh-CN"/>
        </w:rPr>
        <w:t>支出均</w:t>
      </w:r>
      <w:r>
        <w:rPr>
          <w:rFonts w:ascii="FangSong" w:hAnsi="FangSong" w:eastAsia="FangSong" w:cs="FangSong"/>
          <w:sz w:val="32"/>
          <w:szCs w:val="32"/>
        </w:rPr>
        <w:t>列入年度</w:t>
      </w:r>
      <w:r>
        <w:rPr>
          <w:rFonts w:hint="eastAsia" w:ascii="FangSong" w:hAnsi="FangSong" w:eastAsia="FangSong" w:cs="FangSong"/>
          <w:sz w:val="32"/>
          <w:szCs w:val="32"/>
          <w:lang w:eastAsia="zh-CN"/>
        </w:rPr>
        <w:t>部门</w:t>
      </w:r>
      <w:r>
        <w:rPr>
          <w:rFonts w:ascii="FangSong" w:hAnsi="FangSong" w:eastAsia="FangSong" w:cs="FangSong"/>
          <w:sz w:val="32"/>
          <w:szCs w:val="32"/>
        </w:rPr>
        <w:t>预算，</w:t>
      </w:r>
      <w:r>
        <w:rPr>
          <w:rFonts w:hint="eastAsia" w:ascii="FangSong_GB2312" w:hAnsi="FangSong_GB2312" w:eastAsia="FangSong_GB2312" w:cs="FangSong_GB2312"/>
          <w:kern w:val="0"/>
          <w:sz w:val="32"/>
          <w:szCs w:val="32"/>
        </w:rPr>
        <w:t>保障</w:t>
      </w:r>
      <w:r>
        <w:rPr>
          <w:rFonts w:hint="eastAsia" w:ascii="FangSong_GB2312" w:hAnsi="FangSong_GB2312" w:eastAsia="FangSong_GB2312" w:cs="FangSong_GB2312"/>
          <w:kern w:val="0"/>
          <w:sz w:val="32"/>
          <w:szCs w:val="32"/>
          <w:lang w:eastAsia="zh-CN"/>
        </w:rPr>
        <w:t>部门</w:t>
      </w:r>
      <w:r>
        <w:rPr>
          <w:rFonts w:hint="eastAsia" w:ascii="FangSong_GB2312" w:hAnsi="FangSong_GB2312" w:eastAsia="FangSong_GB2312" w:cs="FangSong_GB2312"/>
          <w:kern w:val="0"/>
          <w:sz w:val="32"/>
          <w:szCs w:val="32"/>
        </w:rPr>
        <w:t>机构</w:t>
      </w:r>
      <w:r>
        <w:rPr>
          <w:rFonts w:hint="eastAsia" w:ascii="FangSong_GB2312" w:hAnsi="FangSong_GB2312" w:cs="FangSong_GB2312"/>
          <w:kern w:val="0"/>
          <w:sz w:val="32"/>
          <w:szCs w:val="32"/>
          <w:lang w:eastAsia="zh-CN"/>
        </w:rPr>
        <w:t>日常工作</w:t>
      </w:r>
      <w:r>
        <w:rPr>
          <w:rFonts w:hint="eastAsia" w:ascii="FangSong_GB2312" w:hAnsi="FangSong_GB2312" w:eastAsia="FangSong_GB2312" w:cs="FangSong_GB2312"/>
          <w:kern w:val="0"/>
          <w:sz w:val="32"/>
          <w:szCs w:val="32"/>
        </w:rPr>
        <w:t>正常运转</w:t>
      </w:r>
      <w:r>
        <w:rPr>
          <w:rFonts w:ascii="FangSong" w:hAnsi="FangSong" w:eastAsia="FangSong" w:cs="FangSong"/>
          <w:sz w:val="32"/>
          <w:szCs w:val="32"/>
        </w:rPr>
        <w:t>，</w:t>
      </w:r>
      <w:r>
        <w:rPr>
          <w:rFonts w:hint="eastAsia" w:ascii="FangSong" w:hAnsi="FangSong" w:eastAsia="FangSong" w:cs="FangSong"/>
          <w:sz w:val="32"/>
          <w:szCs w:val="32"/>
          <w:lang w:eastAsia="zh-CN"/>
        </w:rPr>
        <w:t>保质保量</w:t>
      </w:r>
      <w:r>
        <w:rPr>
          <w:rFonts w:hint="eastAsia" w:ascii="FangSong_GB2312" w:hAnsi="FangSong_GB2312" w:eastAsia="FangSong_GB2312" w:cs="FangSong_GB2312"/>
          <w:color w:val="000000"/>
          <w:kern w:val="0"/>
          <w:sz w:val="32"/>
          <w:szCs w:val="32"/>
        </w:rPr>
        <w:t>完成特定的工作任务</w:t>
      </w:r>
      <w:r>
        <w:rPr>
          <w:rFonts w:hint="eastAsia" w:ascii="FangSong_GB2312" w:hAnsi="FangSong_GB2312" w:cs="FangSong_GB2312"/>
          <w:color w:val="000000"/>
          <w:kern w:val="0"/>
          <w:sz w:val="32"/>
          <w:szCs w:val="32"/>
          <w:lang w:eastAsia="zh-CN"/>
        </w:rPr>
        <w:t>，为全县经济社会发展营造良好的思想舆论氛围。</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hint="eastAsia" w:ascii="KaiTi_GB2312" w:hAnsi="SimSun" w:eastAsia="KaiTi_GB2312"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en-US" w:eastAsia="zh-CN"/>
        </w:rPr>
        <w:t xml:space="preserve">  </w:t>
      </w:r>
    </w:p>
    <w:p>
      <w:pPr>
        <w:pStyle w:val="2"/>
        <w:rPr>
          <w:rFonts w:hint="eastAsia"/>
        </w:rPr>
      </w:pPr>
      <w:r>
        <w:rPr>
          <w:rFonts w:hint="eastAsia" w:ascii="FangSong_GB2312" w:hAnsi="SimSun" w:cs="SimSun"/>
          <w:color w:val="000000"/>
          <w:kern w:val="0"/>
          <w:szCs w:val="32"/>
          <w:shd w:val="clear" w:color="auto" w:fill="FFFFFF"/>
          <w:lang w:val="en-US" w:eastAsia="zh-CN"/>
        </w:rPr>
        <w:t xml:space="preserve"> </w:t>
      </w:r>
    </w:p>
    <w:p>
      <w:pPr>
        <w:pStyle w:val="2"/>
        <w:rPr>
          <w:rFonts w:hint="eastAsia"/>
        </w:rPr>
      </w:pPr>
    </w:p>
    <w:p>
      <w:pPr>
        <w:pStyle w:val="2"/>
        <w:numPr>
          <w:ilvl w:val="0"/>
          <w:numId w:val="0"/>
        </w:numPr>
        <w:jc w:val="both"/>
      </w:pP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en-US"/>
        </w:rPr>
      </w:pPr>
      <w:r>
        <w:rPr>
          <w:rFonts w:hint="eastAsia" w:ascii="KaiTi_GB2312" w:hAnsi="SimSun" w:eastAsia="KaiTi_GB2312" w:cs="SimSun"/>
          <w:color w:val="000000"/>
          <w:kern w:val="0"/>
          <w:szCs w:val="32"/>
          <w:shd w:val="clear" w:color="auto" w:fill="FFFFFF"/>
          <w:lang w:val="en-US" w:eastAsia="zh-CN"/>
        </w:rPr>
        <w:t xml:space="preserve">  </w:t>
      </w:r>
    </w:p>
    <w:sectPr>
      <w:headerReference r:id="rId3" w:type="default"/>
      <w:footerReference r:id="rId4" w:type="even"/>
      <w:pgSz w:w="11906" w:h="16838"/>
      <w:pgMar w:top="907" w:right="1361" w:bottom="851" w:left="1361" w:header="851" w:footer="992" w:gutter="0"/>
      <w:pgNumType w:fmt="numberInDash" w:start="12"/>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方正黑体_GBK">
    <w:altName w:val="Microsoft YaHei"/>
    <w:panose1 w:val="03000509000000000000"/>
    <w:charset w:val="86"/>
    <w:family w:val="auto"/>
    <w:pitch w:val="default"/>
    <w:sig w:usb0="00000000" w:usb1="00000000" w:usb2="00000000" w:usb3="00000000" w:csb0="00040000" w:csb1="00000000"/>
  </w:font>
  <w:font w:name="KaiTi_GB2312">
    <w:panose1 w:val="02010609030101010101"/>
    <w:charset w:val="86"/>
    <w:family w:val="auto"/>
    <w:pitch w:val="default"/>
    <w:sig w:usb0="00000001" w:usb1="080E0000" w:usb2="00000000" w:usb3="00000000" w:csb0="00040000" w:csb1="00000000"/>
  </w:font>
  <w:font w:name="FangSong_GB2312">
    <w:panose1 w:val="02010609030101010101"/>
    <w:charset w:val="86"/>
    <w:family w:val="auto"/>
    <w:pitch w:val="default"/>
    <w:sig w:usb0="00000001" w:usb1="080E0000" w:usb2="00000000" w:usb3="00000000" w:csb0="00040000" w:csb1="00000000"/>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SimSun" w:hAnsi="SimSun"/>
        <w:sz w:val="28"/>
        <w:szCs w:val="28"/>
      </w:rPr>
      <w:fldChar w:fldCharType="begin"/>
    </w:r>
    <w:r>
      <w:rPr>
        <w:rFonts w:ascii="SimSun" w:hAnsi="SimSun"/>
        <w:sz w:val="28"/>
        <w:szCs w:val="28"/>
      </w:rPr>
      <w:instrText xml:space="preserve"> PAGE   \* MERGEFORMAT </w:instrText>
    </w:r>
    <w:r>
      <w:rPr>
        <w:rFonts w:ascii="SimSun" w:hAnsi="SimSun"/>
        <w:sz w:val="28"/>
        <w:szCs w:val="28"/>
      </w:rPr>
      <w:fldChar w:fldCharType="separate"/>
    </w:r>
    <w:r>
      <w:rPr>
        <w:rFonts w:ascii="SimSun"/>
        <w:sz w:val="28"/>
        <w:szCs w:val="28"/>
        <w:lang w:val="zh-CN"/>
      </w:rPr>
      <w:t>-</w:t>
    </w:r>
    <w:r>
      <w:rPr>
        <w:rFonts w:ascii="SimSun" w:hAnsi="SimSun"/>
        <w:sz w:val="28"/>
        <w:szCs w:val="28"/>
      </w:rPr>
      <w:t xml:space="preserve"> 12 -</w:t>
    </w:r>
    <w:r>
      <w:rPr>
        <w:rFonts w:ascii="SimSun" w:hAnsi="SimSun"/>
        <w:sz w:val="28"/>
        <w:szCs w:val="28"/>
      </w:rPr>
      <w:fldChar w:fldCharType="end"/>
    </w:r>
  </w:p>
  <w:p>
    <w:pPr>
      <w:pStyle w:val="5"/>
      <w:tabs>
        <w:tab w:val="right" w:pos="9184"/>
        <w:tab w:val="clear" w:pos="4153"/>
        <w:tab w:val="clear" w:pos="8306"/>
      </w:tabs>
      <w:rPr>
        <w:rFonts w:ascii="SimSun"/>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86D095"/>
    <w:multiLevelType w:val="singleLevel"/>
    <w:tmpl w:val="6486D095"/>
    <w:lvl w:ilvl="0" w:tentative="0">
      <w:start w:val="1"/>
      <w:numFmt w:val="chineseCounting"/>
      <w:suff w:val="nothing"/>
      <w:lvlText w:val="（%1）"/>
      <w:lvlJc w:val="left"/>
    </w:lvl>
  </w:abstractNum>
  <w:abstractNum w:abstractNumId="1">
    <w:nsid w:val="6486D9A7"/>
    <w:multiLevelType w:val="singleLevel"/>
    <w:tmpl w:val="6486D9A7"/>
    <w:lvl w:ilvl="0" w:tentative="0">
      <w:start w:val="2"/>
      <w:numFmt w:val="chineseCounting"/>
      <w:suff w:val="nothing"/>
      <w:lvlText w:val="（%1）"/>
      <w:lvlJc w:val="left"/>
    </w:lvl>
  </w:abstractNum>
  <w:abstractNum w:abstractNumId="2">
    <w:nsid w:val="64A3DDE2"/>
    <w:multiLevelType w:val="singleLevel"/>
    <w:tmpl w:val="64A3DDE2"/>
    <w:lvl w:ilvl="0" w:tentative="0">
      <w:start w:val="3"/>
      <w:numFmt w:val="chineseCounting"/>
      <w:suff w:val="nothing"/>
      <w:lvlText w:val="%1、"/>
      <w:lvlJc w:val="left"/>
    </w:lvl>
  </w:abstractNum>
  <w:abstractNum w:abstractNumId="3">
    <w:nsid w:val="64A3E279"/>
    <w:multiLevelType w:val="singleLevel"/>
    <w:tmpl w:val="64A3E279"/>
    <w:lvl w:ilvl="0" w:tentative="0">
      <w:start w:val="2"/>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zU1MjFjMDUwODIwZDg4NDczZTI5ZmU1NTQ5YzljMTk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42155D4"/>
    <w:rsid w:val="045E2931"/>
    <w:rsid w:val="07E76C04"/>
    <w:rsid w:val="08A21559"/>
    <w:rsid w:val="0BB554C7"/>
    <w:rsid w:val="0EBE1BB6"/>
    <w:rsid w:val="0EF76CF6"/>
    <w:rsid w:val="12540498"/>
    <w:rsid w:val="127D6363"/>
    <w:rsid w:val="12BC6BC3"/>
    <w:rsid w:val="13C72E82"/>
    <w:rsid w:val="14EB1EE1"/>
    <w:rsid w:val="15D62BE2"/>
    <w:rsid w:val="186B609E"/>
    <w:rsid w:val="18D17537"/>
    <w:rsid w:val="19927F78"/>
    <w:rsid w:val="19B21C39"/>
    <w:rsid w:val="1A865494"/>
    <w:rsid w:val="1E2F4F95"/>
    <w:rsid w:val="1E9D55C9"/>
    <w:rsid w:val="1F3B094B"/>
    <w:rsid w:val="20D42C6A"/>
    <w:rsid w:val="20F04B19"/>
    <w:rsid w:val="21AE59D8"/>
    <w:rsid w:val="226A1E07"/>
    <w:rsid w:val="261D2218"/>
    <w:rsid w:val="283522FE"/>
    <w:rsid w:val="286F56EA"/>
    <w:rsid w:val="2D527252"/>
    <w:rsid w:val="2E203BBC"/>
    <w:rsid w:val="2EEC200B"/>
    <w:rsid w:val="329102D6"/>
    <w:rsid w:val="33BE390A"/>
    <w:rsid w:val="340032DD"/>
    <w:rsid w:val="36A77D38"/>
    <w:rsid w:val="374A7542"/>
    <w:rsid w:val="3A9520B3"/>
    <w:rsid w:val="3D733BDF"/>
    <w:rsid w:val="3DE562B7"/>
    <w:rsid w:val="3E6507EA"/>
    <w:rsid w:val="44755CAE"/>
    <w:rsid w:val="45955E38"/>
    <w:rsid w:val="47550EBA"/>
    <w:rsid w:val="487C6912"/>
    <w:rsid w:val="49061F5C"/>
    <w:rsid w:val="4CA97B54"/>
    <w:rsid w:val="50BB3388"/>
    <w:rsid w:val="50D90BB3"/>
    <w:rsid w:val="51C20B31"/>
    <w:rsid w:val="54E53CC3"/>
    <w:rsid w:val="5C45126F"/>
    <w:rsid w:val="5DBF0ADC"/>
    <w:rsid w:val="5EC7130E"/>
    <w:rsid w:val="5ECC42AE"/>
    <w:rsid w:val="6636451A"/>
    <w:rsid w:val="67050CB4"/>
    <w:rsid w:val="6BE94116"/>
    <w:rsid w:val="6CCD7110"/>
    <w:rsid w:val="6CDC3EA7"/>
    <w:rsid w:val="6F93531A"/>
    <w:rsid w:val="7694749C"/>
    <w:rsid w:val="78916378"/>
    <w:rsid w:val="7AB46BDC"/>
    <w:rsid w:val="7BC20073"/>
    <w:rsid w:val="7C631402"/>
    <w:rsid w:val="7D1E00EC"/>
    <w:rsid w:val="7DCC0F6E"/>
    <w:rsid w:val="7E140770"/>
    <w:rsid w:val="9BFF62CB"/>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SimSun" w:cs="Times New Roman"/>
      <w:kern w:val="2"/>
      <w:sz w:val="32"/>
      <w:szCs w:val="24"/>
      <w:lang w:val="en-US" w:eastAsia="zh-CN" w:bidi="ar-SA"/>
    </w:rPr>
  </w:style>
  <w:style w:type="character" w:default="1" w:styleId="10">
    <w:name w:val="Default Paragraph Font"/>
    <w:unhideWhenUsed/>
    <w:uiPriority w:val="1"/>
  </w:style>
  <w:style w:type="table" w:default="1" w:styleId="8">
    <w:name w:val="Normal Table"/>
    <w:autoRedefine/>
    <w:unhideWhenUsed/>
    <w:qFormat/>
    <w:uiPriority w:val="99"/>
    <w:tblPr>
      <w:tblCellMar>
        <w:top w:w="0" w:type="dxa"/>
        <w:left w:w="108" w:type="dxa"/>
        <w:bottom w:w="0" w:type="dxa"/>
        <w:right w:w="108" w:type="dxa"/>
      </w:tblCellMar>
    </w:tblPr>
  </w:style>
  <w:style w:type="paragraph" w:styleId="2">
    <w:name w:val="Title"/>
    <w:basedOn w:val="1"/>
    <w:next w:val="1"/>
    <w:autoRedefine/>
    <w:qFormat/>
    <w:locked/>
    <w:uiPriority w:val="10"/>
    <w:pPr>
      <w:spacing w:before="240" w:after="60"/>
      <w:jc w:val="center"/>
      <w:outlineLvl w:val="0"/>
    </w:pPr>
    <w:rPr>
      <w:rFonts w:ascii="Arial" w:hAnsi="Arial" w:eastAsia="SimSun" w:cs="Arial"/>
      <w:b/>
      <w:bCs/>
      <w:sz w:val="32"/>
      <w:szCs w:val="32"/>
    </w:rPr>
  </w:style>
  <w:style w:type="paragraph" w:styleId="3">
    <w:name w:val="Document Map"/>
    <w:basedOn w:val="1"/>
    <w:link w:val="14"/>
    <w:autoRedefine/>
    <w:qFormat/>
    <w:uiPriority w:val="99"/>
    <w:rPr>
      <w:rFonts w:ascii="SimSun"/>
      <w:sz w:val="18"/>
      <w:szCs w:val="18"/>
    </w:rPr>
  </w:style>
  <w:style w:type="paragraph" w:styleId="4">
    <w:name w:val="Balloon Text"/>
    <w:basedOn w:val="1"/>
    <w:link w:val="15"/>
    <w:autoRedefine/>
    <w:semiHidden/>
    <w:qFormat/>
    <w:uiPriority w:val="99"/>
    <w:rPr>
      <w:sz w:val="18"/>
      <w:szCs w:val="18"/>
    </w:rPr>
  </w:style>
  <w:style w:type="paragraph" w:styleId="5">
    <w:name w:val="footer"/>
    <w:basedOn w:val="1"/>
    <w:link w:val="16"/>
    <w:autoRedefine/>
    <w:qFormat/>
    <w:uiPriority w:val="99"/>
    <w:pPr>
      <w:tabs>
        <w:tab w:val="center" w:pos="4153"/>
        <w:tab w:val="right" w:pos="8306"/>
      </w:tabs>
      <w:snapToGrid w:val="0"/>
      <w:jc w:val="left"/>
    </w:pPr>
    <w:rPr>
      <w:sz w:val="18"/>
      <w:szCs w:val="18"/>
    </w:rPr>
  </w:style>
  <w:style w:type="paragraph" w:styleId="6">
    <w:name w:val="header"/>
    <w:basedOn w:val="1"/>
    <w:link w:val="17"/>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locked/>
    <w:uiPriority w:val="99"/>
    <w:pPr>
      <w:spacing w:before="0" w:beforeAutospacing="1" w:after="0" w:afterAutospacing="1"/>
      <w:ind w:left="0" w:right="0"/>
      <w:jc w:val="left"/>
    </w:pPr>
    <w:rPr>
      <w:kern w:val="0"/>
      <w:sz w:val="24"/>
      <w:lang w:val="en-US" w:eastAsia="zh-CN" w:bidi="ar"/>
    </w:rPr>
  </w:style>
  <w:style w:type="table" w:styleId="9">
    <w:name w:val="Table Grid"/>
    <w:basedOn w:val="8"/>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99"/>
    <w:rPr>
      <w:rFonts w:cs="Times New Roman"/>
    </w:rPr>
  </w:style>
  <w:style w:type="paragraph" w:customStyle="1" w:styleId="12">
    <w:name w:val="四号正文"/>
    <w:basedOn w:val="1"/>
    <w:link w:val="18"/>
    <w:autoRedefine/>
    <w:qFormat/>
    <w:uiPriority w:val="99"/>
    <w:pPr>
      <w:spacing w:line="360" w:lineRule="auto"/>
    </w:pPr>
    <w:rPr>
      <w:rFonts w:ascii="??" w:hAnsi="??" w:cs="SimSun"/>
      <w:color w:val="000000"/>
      <w:kern w:val="0"/>
      <w:sz w:val="28"/>
      <w:szCs w:val="21"/>
    </w:rPr>
  </w:style>
  <w:style w:type="paragraph" w:customStyle="1" w:styleId="13">
    <w:name w:val="a"/>
    <w:basedOn w:val="1"/>
    <w:autoRedefine/>
    <w:qFormat/>
    <w:uiPriority w:val="99"/>
    <w:pPr>
      <w:widowControl/>
      <w:spacing w:before="100" w:beforeAutospacing="1" w:after="100" w:afterAutospacing="1"/>
      <w:jc w:val="left"/>
    </w:pPr>
    <w:rPr>
      <w:rFonts w:ascii="SimSun" w:hAnsi="SimSun" w:cs="SimSun"/>
      <w:kern w:val="0"/>
      <w:sz w:val="24"/>
    </w:rPr>
  </w:style>
  <w:style w:type="character" w:customStyle="1" w:styleId="14">
    <w:name w:val="文档结构图 Char"/>
    <w:link w:val="3"/>
    <w:autoRedefine/>
    <w:qFormat/>
    <w:locked/>
    <w:uiPriority w:val="99"/>
    <w:rPr>
      <w:rFonts w:ascii="SimSun" w:cs="Times New Roman"/>
      <w:kern w:val="2"/>
      <w:sz w:val="18"/>
      <w:szCs w:val="18"/>
    </w:rPr>
  </w:style>
  <w:style w:type="character" w:customStyle="1" w:styleId="15">
    <w:name w:val="批注框文本 Char"/>
    <w:link w:val="4"/>
    <w:autoRedefine/>
    <w:semiHidden/>
    <w:qFormat/>
    <w:locked/>
    <w:uiPriority w:val="99"/>
    <w:rPr>
      <w:rFonts w:cs="Times New Roman"/>
      <w:sz w:val="2"/>
    </w:rPr>
  </w:style>
  <w:style w:type="character" w:customStyle="1" w:styleId="16">
    <w:name w:val="页脚 Char"/>
    <w:link w:val="5"/>
    <w:autoRedefine/>
    <w:qFormat/>
    <w:locked/>
    <w:uiPriority w:val="99"/>
    <w:rPr>
      <w:rFonts w:cs="Times New Roman"/>
      <w:kern w:val="2"/>
      <w:sz w:val="18"/>
      <w:szCs w:val="18"/>
    </w:rPr>
  </w:style>
  <w:style w:type="character" w:customStyle="1" w:styleId="17">
    <w:name w:val="页眉 Char"/>
    <w:link w:val="6"/>
    <w:autoRedefine/>
    <w:semiHidden/>
    <w:qFormat/>
    <w:locked/>
    <w:uiPriority w:val="99"/>
    <w:rPr>
      <w:rFonts w:cs="Times New Roman"/>
      <w:sz w:val="18"/>
      <w:szCs w:val="18"/>
    </w:rPr>
  </w:style>
  <w:style w:type="character" w:customStyle="1" w:styleId="18">
    <w:name w:val="四号正文 Char"/>
    <w:link w:val="12"/>
    <w:autoRedefine/>
    <w:qFormat/>
    <w:locked/>
    <w:uiPriority w:val="99"/>
    <w:rPr>
      <w:rFonts w:ascii="??" w:hAnsi="??" w:eastAsia="SimSun" w:cs="SimSun"/>
      <w:color w:val="000000"/>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3</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碧云天</cp:lastModifiedBy>
  <cp:lastPrinted>2022-03-15T02:17:00Z</cp:lastPrinted>
  <dcterms:modified xsi:type="dcterms:W3CDTF">2024-03-29T02:27:50Z</dcterms:modified>
  <dc:title>区域性就业培训基地建设项目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53B7F86B27C64309879EEE75FFE498EF</vt:lpwstr>
  </property>
</Properties>
</file>