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9AABC2">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p w14:paraId="04613BBA">
      <w:pPr>
        <w:pStyle w:val="2"/>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峨边彝族自治县卫生健康局</w:t>
      </w:r>
    </w:p>
    <w:p w14:paraId="084CED61">
      <w:pPr>
        <w:pStyle w:val="3"/>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2026年部门预算</w:t>
      </w:r>
    </w:p>
    <w:p w14:paraId="18BCEC5D">
      <w:pPr>
        <w:jc w:val="center"/>
        <w:rPr>
          <w:rFonts w:hint="eastAsia" w:ascii="方正小标宋简体" w:hAnsi="方正小标宋简体" w:eastAsia="方正小标宋简体" w:cs="方正小标宋简体"/>
          <w:b w:val="0"/>
          <w:bCs/>
          <w:sz w:val="52"/>
          <w:szCs w:val="52"/>
          <w:lang w:val="en-US" w:eastAsia="zh-CN"/>
        </w:rPr>
      </w:pPr>
    </w:p>
    <w:p w14:paraId="4C56EE86">
      <w:pPr>
        <w:jc w:val="both"/>
        <w:rPr>
          <w:rFonts w:hint="default"/>
          <w:b/>
          <w:bCs/>
          <w:sz w:val="52"/>
          <w:szCs w:val="52"/>
          <w:lang w:val="en-US" w:eastAsia="zh-CN"/>
        </w:rPr>
      </w:pPr>
    </w:p>
    <w:p w14:paraId="64D217EF">
      <w:pPr>
        <w:jc w:val="both"/>
        <w:rPr>
          <w:rFonts w:hint="default"/>
          <w:b/>
          <w:bCs/>
          <w:sz w:val="52"/>
          <w:szCs w:val="52"/>
          <w:lang w:val="en-US" w:eastAsia="zh-CN"/>
        </w:rPr>
      </w:pPr>
    </w:p>
    <w:p w14:paraId="13A8408B">
      <w:pPr>
        <w:jc w:val="both"/>
        <w:rPr>
          <w:rFonts w:hint="default"/>
          <w:b/>
          <w:bCs/>
          <w:sz w:val="52"/>
          <w:szCs w:val="52"/>
          <w:lang w:val="en-US" w:eastAsia="zh-CN"/>
        </w:rPr>
      </w:pPr>
    </w:p>
    <w:p w14:paraId="7DF42478">
      <w:pPr>
        <w:jc w:val="center"/>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单位（签章）：</w:t>
      </w:r>
      <w:r>
        <w:rPr>
          <w:rFonts w:hint="eastAsia" w:ascii="方正小标宋简体" w:hAnsi="方正小标宋简体" w:eastAsia="方正小标宋简体" w:cs="方正小标宋简体"/>
          <w:b w:val="0"/>
          <w:bCs w:val="0"/>
          <w:sz w:val="32"/>
          <w:szCs w:val="32"/>
          <w:u w:val="single"/>
          <w:lang w:val="en-US" w:eastAsia="zh-CN"/>
        </w:rPr>
        <w:t>峨边彝族自治县卫生健康局</w:t>
      </w:r>
    </w:p>
    <w:p w14:paraId="14AC1A70">
      <w:pPr>
        <w:ind w:left="0" w:leftChars="0" w:firstLine="0" w:firstLineChars="0"/>
        <w:jc w:val="both"/>
        <w:rPr>
          <w:rFonts w:hint="default"/>
          <w:b/>
          <w:bCs/>
          <w:sz w:val="32"/>
          <w:szCs w:val="32"/>
          <w:lang w:val="en-US" w:eastAsia="zh-CN"/>
        </w:rPr>
      </w:pPr>
    </w:p>
    <w:p w14:paraId="2F760E27">
      <w:pPr>
        <w:jc w:val="center"/>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2026年 3月24日</w:t>
      </w:r>
    </w:p>
    <w:p w14:paraId="1FACD1D4">
      <w:pPr>
        <w:jc w:val="both"/>
        <w:rPr>
          <w:rFonts w:hint="eastAsia"/>
          <w:b/>
          <w:bCs/>
          <w:sz w:val="32"/>
          <w:szCs w:val="32"/>
          <w:lang w:val="en-US" w:eastAsia="zh-CN"/>
        </w:rPr>
      </w:pPr>
    </w:p>
    <w:p w14:paraId="369FACFC">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目录</w:t>
      </w:r>
    </w:p>
    <w:p w14:paraId="63B7120B">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第一部分 峨边彝族自治县卫生健康局部门概况</w:t>
      </w:r>
    </w:p>
    <w:p w14:paraId="4C55C1BD">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default" w:ascii="Times New Roman" w:hAnsi="Times New Roman" w:eastAsia="仿宋_GB2312" w:cs="仿宋_GB2312"/>
          <w:b w:val="0"/>
          <w:bCs w:val="0"/>
          <w:sz w:val="32"/>
          <w:szCs w:val="32"/>
          <w:lang w:val="en-US" w:eastAsia="zh-CN"/>
        </w:rPr>
      </w:pPr>
      <w:r>
        <w:rPr>
          <w:rFonts w:hint="default" w:ascii="Times New Roman" w:hAnsi="Times New Roman" w:eastAsia="仿宋_GB2312" w:cs="仿宋_GB2312"/>
          <w:b w:val="0"/>
          <w:bCs w:val="0"/>
          <w:sz w:val="32"/>
          <w:szCs w:val="32"/>
          <w:lang w:val="en-US" w:eastAsia="zh-CN"/>
        </w:rPr>
        <w:t>一、基本职能及主要工作</w:t>
      </w:r>
    </w:p>
    <w:p w14:paraId="0E170F98">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default" w:ascii="Times New Roman" w:hAnsi="Times New Roman" w:eastAsia="仿宋_GB2312" w:cs="仿宋_GB2312"/>
          <w:b w:val="0"/>
          <w:bCs w:val="0"/>
          <w:sz w:val="32"/>
          <w:szCs w:val="32"/>
          <w:lang w:val="en-US" w:eastAsia="zh-CN"/>
        </w:rPr>
      </w:pPr>
      <w:r>
        <w:rPr>
          <w:rFonts w:hint="default" w:ascii="Times New Roman" w:hAnsi="Times New Roman" w:eastAsia="仿宋_GB2312" w:cs="仿宋_GB2312"/>
          <w:b w:val="0"/>
          <w:bCs w:val="0"/>
          <w:sz w:val="32"/>
          <w:szCs w:val="32"/>
          <w:lang w:val="en-US" w:eastAsia="zh-CN"/>
        </w:rPr>
        <w:t>二、</w:t>
      </w:r>
      <w:r>
        <w:rPr>
          <w:rFonts w:hint="eastAsia" w:ascii="Times New Roman" w:hAnsi="Times New Roman" w:eastAsia="仿宋_GB2312" w:cs="仿宋_GB2312"/>
          <w:b w:val="0"/>
          <w:bCs w:val="0"/>
          <w:sz w:val="32"/>
          <w:szCs w:val="32"/>
          <w:lang w:val="en-US" w:eastAsia="zh-CN"/>
        </w:rPr>
        <w:t>2026年重点工作</w:t>
      </w:r>
    </w:p>
    <w:p w14:paraId="162ADAE0">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pacing w:val="-6"/>
          <w:sz w:val="32"/>
          <w:szCs w:val="32"/>
          <w:lang w:val="en-US" w:eastAsia="zh-CN"/>
        </w:rPr>
      </w:pPr>
      <w:r>
        <w:rPr>
          <w:rFonts w:hint="eastAsia" w:ascii="黑体" w:hAnsi="黑体" w:eastAsia="黑体" w:cs="黑体"/>
          <w:b w:val="0"/>
          <w:bCs w:val="0"/>
          <w:sz w:val="32"/>
          <w:szCs w:val="32"/>
          <w:lang w:val="en-US" w:eastAsia="zh-CN"/>
        </w:rPr>
        <w:t xml:space="preserve">第二部分 </w:t>
      </w:r>
      <w:r>
        <w:rPr>
          <w:rFonts w:hint="eastAsia" w:ascii="黑体" w:hAnsi="黑体" w:eastAsia="黑体" w:cs="黑体"/>
          <w:b w:val="0"/>
          <w:bCs w:val="0"/>
          <w:spacing w:val="-6"/>
          <w:sz w:val="32"/>
          <w:szCs w:val="32"/>
          <w:lang w:val="en-US" w:eastAsia="zh-CN"/>
        </w:rPr>
        <w:t>峨边彝族自治县卫生健康局2026年部门预算表</w:t>
      </w:r>
    </w:p>
    <w:p w14:paraId="7143CD5F">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一、部门收支总表</w:t>
      </w:r>
    </w:p>
    <w:p w14:paraId="6926106A">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二、部门收入总表</w:t>
      </w:r>
    </w:p>
    <w:p w14:paraId="706C092A">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三、部门支出总表</w:t>
      </w:r>
    </w:p>
    <w:p w14:paraId="72900985">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四、财政拨款收支预算总表</w:t>
      </w:r>
    </w:p>
    <w:p w14:paraId="0B80C24A">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五、财政拨款支出预算表（部门经济分类科目）</w:t>
      </w:r>
    </w:p>
    <w:p w14:paraId="1626F5A6">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六、一般公共预算支出预算表</w:t>
      </w:r>
    </w:p>
    <w:p w14:paraId="5BC374CB">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七、一般公共预算基本支出预算表</w:t>
      </w:r>
    </w:p>
    <w:p w14:paraId="400F77D3">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八、一般公共预算项目支出预算表</w:t>
      </w:r>
    </w:p>
    <w:p w14:paraId="495FA067">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九、一般公共预算“三公”经费支出预算表</w:t>
      </w:r>
    </w:p>
    <w:p w14:paraId="0EAD8D09">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十、政府性基金预算支出表</w:t>
      </w:r>
    </w:p>
    <w:p w14:paraId="1B9C7831">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十一、政府性基金预算“三公”经费支出预算表</w:t>
      </w:r>
    </w:p>
    <w:p w14:paraId="05ECFE75">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十二、国有资本经营预算支出表</w:t>
      </w:r>
    </w:p>
    <w:p w14:paraId="2672ED6B">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十三、部门预算项目支出绩效目标表</w:t>
      </w:r>
    </w:p>
    <w:p w14:paraId="2B8D012B">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十四、部门整体支出绩效目标表</w:t>
      </w:r>
    </w:p>
    <w:p w14:paraId="716701AF">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十五、政府采购预算表</w:t>
      </w:r>
    </w:p>
    <w:p w14:paraId="11F6DBBC">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pacing w:val="-28"/>
          <w:sz w:val="32"/>
          <w:szCs w:val="32"/>
          <w:lang w:val="en-US" w:eastAsia="zh-CN"/>
        </w:rPr>
      </w:pPr>
      <w:r>
        <w:rPr>
          <w:rFonts w:hint="eastAsia" w:ascii="黑体" w:hAnsi="黑体" w:eastAsia="黑体" w:cs="黑体"/>
          <w:b w:val="0"/>
          <w:bCs w:val="0"/>
          <w:sz w:val="32"/>
          <w:szCs w:val="32"/>
          <w:lang w:val="en-US" w:eastAsia="zh-CN"/>
        </w:rPr>
        <w:t xml:space="preserve">第三部分 </w:t>
      </w:r>
      <w:r>
        <w:rPr>
          <w:rFonts w:hint="eastAsia" w:ascii="黑体" w:hAnsi="黑体" w:eastAsia="黑体" w:cs="黑体"/>
          <w:b w:val="0"/>
          <w:bCs w:val="0"/>
          <w:spacing w:val="-17"/>
          <w:sz w:val="32"/>
          <w:szCs w:val="32"/>
          <w:lang w:val="en-US" w:eastAsia="zh-CN"/>
        </w:rPr>
        <w:t>峨边彝族自治县卫生健康局2026年部门预算情况说明</w:t>
      </w:r>
    </w:p>
    <w:p w14:paraId="46EC80C7">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第四部分 名词解释</w:t>
      </w:r>
    </w:p>
    <w:p w14:paraId="07A51ADA">
      <w:pPr>
        <w:pStyle w:val="2"/>
        <w:numPr>
          <w:ilvl w:val="0"/>
          <w:numId w:val="0"/>
        </w:numPr>
        <w:bidi w:val="0"/>
        <w:jc w:val="both"/>
        <w:rPr>
          <w:rFonts w:hint="default"/>
          <w:lang w:val="en-US" w:eastAsia="zh-CN"/>
        </w:rPr>
      </w:pPr>
    </w:p>
    <w:p w14:paraId="08090542">
      <w:pPr>
        <w:pStyle w:val="2"/>
        <w:numPr>
          <w:ilvl w:val="0"/>
          <w:numId w:val="0"/>
        </w:numPr>
        <w:bidi w:val="0"/>
        <w:jc w:val="center"/>
        <w:rPr>
          <w:rFonts w:hint="default"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第一部分  峨边彝族自治县卫生健康局部门概况</w:t>
      </w:r>
    </w:p>
    <w:p w14:paraId="3F8AF0DC">
      <w:pPr>
        <w:widowControl w:val="0"/>
        <w:numPr>
          <w:ilvl w:val="0"/>
          <w:numId w:val="0"/>
        </w:numPr>
        <w:jc w:val="both"/>
        <w:rPr>
          <w:rFonts w:hint="default"/>
          <w:b/>
          <w:bCs/>
          <w:sz w:val="52"/>
          <w:szCs w:val="52"/>
          <w:lang w:val="en-US" w:eastAsia="zh-CN"/>
        </w:rPr>
      </w:pPr>
    </w:p>
    <w:p w14:paraId="69825D7C">
      <w:pPr>
        <w:widowControl w:val="0"/>
        <w:numPr>
          <w:ilvl w:val="0"/>
          <w:numId w:val="0"/>
        </w:numPr>
        <w:jc w:val="both"/>
        <w:rPr>
          <w:rFonts w:hint="default"/>
          <w:b/>
          <w:bCs/>
          <w:sz w:val="52"/>
          <w:szCs w:val="52"/>
          <w:lang w:val="en-US" w:eastAsia="zh-CN"/>
        </w:rPr>
      </w:pPr>
    </w:p>
    <w:p w14:paraId="25FEDA86">
      <w:pPr>
        <w:widowControl w:val="0"/>
        <w:numPr>
          <w:ilvl w:val="0"/>
          <w:numId w:val="0"/>
        </w:numPr>
        <w:jc w:val="both"/>
        <w:rPr>
          <w:rFonts w:hint="default"/>
          <w:b/>
          <w:bCs/>
          <w:sz w:val="52"/>
          <w:szCs w:val="52"/>
          <w:lang w:val="en-US" w:eastAsia="zh-CN"/>
        </w:rPr>
      </w:pPr>
    </w:p>
    <w:p w14:paraId="08759894">
      <w:pPr>
        <w:widowControl w:val="0"/>
        <w:numPr>
          <w:ilvl w:val="0"/>
          <w:numId w:val="0"/>
        </w:numPr>
        <w:jc w:val="both"/>
        <w:rPr>
          <w:rFonts w:hint="default"/>
          <w:b/>
          <w:bCs/>
          <w:sz w:val="52"/>
          <w:szCs w:val="52"/>
          <w:lang w:val="en-US" w:eastAsia="zh-CN"/>
        </w:rPr>
      </w:pPr>
    </w:p>
    <w:p w14:paraId="6DB4099A">
      <w:pPr>
        <w:widowControl w:val="0"/>
        <w:numPr>
          <w:ilvl w:val="0"/>
          <w:numId w:val="0"/>
        </w:numPr>
        <w:jc w:val="both"/>
        <w:rPr>
          <w:rFonts w:hint="default"/>
          <w:b/>
          <w:bCs/>
          <w:sz w:val="52"/>
          <w:szCs w:val="52"/>
          <w:lang w:val="en-US" w:eastAsia="zh-CN"/>
        </w:rPr>
      </w:pPr>
    </w:p>
    <w:p w14:paraId="70C95830">
      <w:pPr>
        <w:widowControl w:val="0"/>
        <w:numPr>
          <w:ilvl w:val="0"/>
          <w:numId w:val="0"/>
        </w:numPr>
        <w:jc w:val="both"/>
        <w:rPr>
          <w:rFonts w:hint="default"/>
          <w:b/>
          <w:bCs/>
          <w:sz w:val="52"/>
          <w:szCs w:val="52"/>
          <w:lang w:val="en-US" w:eastAsia="zh-CN"/>
        </w:rPr>
      </w:pPr>
    </w:p>
    <w:p w14:paraId="5D23A709">
      <w:pPr>
        <w:bidi w:val="0"/>
        <w:rPr>
          <w:rFonts w:hint="eastAsia" w:ascii="黑体" w:hAnsi="黑体" w:eastAsia="黑体" w:cs="黑体"/>
          <w:lang w:val="en-US" w:eastAsia="zh-CN"/>
        </w:rPr>
      </w:pPr>
    </w:p>
    <w:p w14:paraId="4D693CE0">
      <w:pPr>
        <w:bidi w:val="0"/>
        <w:rPr>
          <w:rFonts w:hint="eastAsia" w:ascii="黑体" w:hAnsi="黑体" w:eastAsia="黑体" w:cs="黑体"/>
          <w:lang w:val="en-US" w:eastAsia="zh-CN"/>
        </w:rPr>
      </w:pPr>
      <w:r>
        <w:rPr>
          <w:rFonts w:hint="eastAsia" w:ascii="黑体" w:hAnsi="黑体" w:eastAsia="黑体" w:cs="黑体"/>
          <w:lang w:val="en-US" w:eastAsia="zh-CN"/>
        </w:rPr>
        <w:t>一、基本职能及主要工作</w:t>
      </w:r>
    </w:p>
    <w:p w14:paraId="10F372A7">
      <w:pPr>
        <w:bidi w:val="0"/>
        <w:rPr>
          <w:rFonts w:hint="eastAsia" w:ascii="仿宋_GB2312" w:hAnsi="仿宋_GB2312" w:eastAsia="仿宋_GB2312" w:cs="仿宋_GB2312"/>
          <w:color w:val="FF0000"/>
          <w:sz w:val="32"/>
          <w:szCs w:val="32"/>
        </w:rPr>
      </w:pPr>
      <w:r>
        <w:rPr>
          <w:rFonts w:hint="eastAsia" w:ascii="楷体" w:hAnsi="楷体" w:eastAsia="楷体" w:cs="楷体"/>
          <w:color w:val="000000" w:themeColor="text1"/>
          <w:sz w:val="32"/>
          <w:szCs w:val="32"/>
          <w14:textFill>
            <w14:solidFill>
              <w14:schemeClr w14:val="tx1"/>
            </w14:solidFill>
          </w14:textFill>
        </w:rPr>
        <w:t>（一）职能简介：</w:t>
      </w:r>
      <w:r>
        <w:rPr>
          <w:rFonts w:hint="eastAsia" w:ascii="仿宋_GB2312" w:hAnsi="仿宋_GB2312" w:eastAsia="仿宋_GB2312" w:cs="仿宋_GB2312"/>
          <w:color w:val="auto"/>
          <w:sz w:val="32"/>
          <w:szCs w:val="32"/>
        </w:rPr>
        <w:t>贯彻执行国家和省、市、县有关卫生和计划生育、中医药等方面的</w:t>
      </w:r>
      <w:r>
        <w:rPr>
          <w:rFonts w:hint="eastAsia" w:ascii="仿宋_GB2312" w:hAnsi="仿宋_GB2312" w:eastAsia="仿宋_GB2312" w:cs="仿宋_GB2312"/>
          <w:color w:val="auto"/>
          <w:sz w:val="32"/>
          <w:szCs w:val="32"/>
          <w:lang w:eastAsia="zh-CN"/>
        </w:rPr>
        <w:t>法律法规</w:t>
      </w:r>
      <w:r>
        <w:rPr>
          <w:rFonts w:hint="eastAsia" w:ascii="仿宋_GB2312" w:hAnsi="仿宋_GB2312" w:eastAsia="仿宋_GB2312" w:cs="仿宋_GB2312"/>
          <w:color w:val="auto"/>
          <w:sz w:val="32"/>
          <w:szCs w:val="32"/>
        </w:rPr>
        <w:t>、标准和方针政策。拟订卫生和计划生育及促进中医药事业发展的规划及政策措施。深化医药卫生体制改革，坚持保基本、强基层、建机制，协调推进医疗保障、医疗服务、公共卫生、计划生育管理、药品供应和监管体制综合改革，巩固完善基本药物制度和基层运行新机制。负责协调推进医药卫生体制改革和医疗保障，统筹规划卫生和计划生育服务资源配置，负责全县做好卫生和计划生育规划的编制和实施。</w:t>
      </w:r>
    </w:p>
    <w:p w14:paraId="78CA9878">
      <w:pPr>
        <w:bidi w:val="0"/>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w:t>
      </w:r>
      <w:r>
        <w:rPr>
          <w:rFonts w:hint="eastAsia" w:ascii="楷体" w:hAnsi="楷体" w:eastAsia="楷体" w:cs="楷体"/>
          <w:color w:val="000000" w:themeColor="text1"/>
          <w:sz w:val="32"/>
          <w:szCs w:val="32"/>
          <w:lang w:eastAsia="zh-CN"/>
          <w14:textFill>
            <w14:solidFill>
              <w14:schemeClr w14:val="tx1"/>
            </w14:solidFill>
          </w14:textFill>
        </w:rPr>
        <w:t>2026</w:t>
      </w:r>
      <w:r>
        <w:rPr>
          <w:rFonts w:hint="eastAsia" w:ascii="楷体" w:hAnsi="楷体" w:eastAsia="楷体" w:cs="楷体"/>
          <w:color w:val="000000" w:themeColor="text1"/>
          <w:sz w:val="32"/>
          <w:szCs w:val="32"/>
          <w14:textFill>
            <w14:solidFill>
              <w14:schemeClr w14:val="tx1"/>
            </w14:solidFill>
          </w14:textFill>
        </w:rPr>
        <w:t>年重点工作任务介绍：</w:t>
      </w:r>
    </w:p>
    <w:p w14:paraId="5158328B">
      <w:pPr>
        <w:bidi w:val="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2026年，</w:t>
      </w:r>
      <w:r>
        <w:rPr>
          <w:rFonts w:hint="eastAsia" w:ascii="仿宋_GB2312" w:hAnsi="仿宋_GB2312" w:eastAsia="仿宋_GB2312" w:cs="仿宋_GB2312"/>
          <w:color w:val="auto"/>
          <w:sz w:val="32"/>
          <w:szCs w:val="32"/>
          <w:lang w:eastAsia="zh-CN"/>
        </w:rPr>
        <w:t>立足“十四五”收官与“十五五”开局的关键节点，紧扣“健康峨边2030”规划纲要，以提升全域医疗服务能力为核心，以储备项目为抓手，全面推进各项工作高质量发展。</w:t>
      </w:r>
    </w:p>
    <w:p w14:paraId="34C5457C">
      <w:pPr>
        <w:bidi w:val="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紧扣政策导向，明确“十五五”发展路径。紧密对接省、市、县战略部署，围绕《城乡养老托幼（托育）和医疗保障体系建设》“十五五”规划，聚焦提升医疗保障服务供给水平、推动中医药传承创新发展、推进医防融合公共卫生服务、大力发展医康养健康服务、健全全民健康保障制度、推动健康人才培养、信息化建设、实施与保障等八个方面展开工作，为未来五年卫生健康事业绘就清晰蓝图。</w:t>
      </w:r>
    </w:p>
    <w:p w14:paraId="216C06F8">
      <w:pPr>
        <w:bidi w:val="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聚力服务能力提升，筑牢县域健康屏障。围绕三级医院创建目标，启动实施县人民医院综合服务能力提升项目，打造危重症儿童和新生儿救治中心、骨科、胃肠康复等重点专科，完善平急结合转换功能与精神卫生服务体系。推进县疾控中心标准化建设，启动县二级甲等创建，升级改造实验室空间，配置现代化检测设备，建设智慧化管理平台，提升疾病防控技术支撑能力。提升黑竹沟、五渡医疗卫生次中心服务能力，按二级医院标准完善科室设置与设施配备，增强区域医疗辐射带动作用。建强影像、检验、心电、病理、消毒供应五大资源共享中心，配置新生儿专用呼吸机、多功能监护仪、抢救台等设施设备，提升危重症儿童救治中心能力，全面推进肿瘤防治、慢病管理、微创介入、麻醉疼痛诊疗、重症监护等建设，构建覆盖重大疾病预防、治疗、康复全流程的服务体系。持续推进基层医疗机构标准化建设，开展一批乡镇卫生院和村卫生室资源整合、改造提升，统一配备基础医疗设备，全面提升基层防控与急救能力。</w:t>
      </w:r>
    </w:p>
    <w:p w14:paraId="5183F92B">
      <w:pPr>
        <w:bidi w:val="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深化中医药传承创新，培育特色服务优势。以三级中医医院创建为引领，建立县中医医院治未病中心、名医工作室和名彝医工作室，完善中医药服务体系。着力打造中医药研究与成果转化平台，建设专业实验室和制剂研发中心，配备专业设备，构建集科研、开发、转化于一体的综合平台。</w:t>
      </w:r>
    </w:p>
    <w:p w14:paraId="21A4AA70">
      <w:pPr>
        <w:bidi w:val="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完善“一老一小”服务体系，增强民生服务效能。加快推进托育综合服务中心建设，优化普惠性托位设置，完善托育服务、人员培训、产品研发等综合功能，打造示范性托育机构。整合医疗、托育、养老等服务资源，改造新林、新场等乡镇卫生院为医养结合型医疗机构，增设养老床位，开展适老化改造，统筹推进社区医养服务综合体建设，建设康复训练室、健身活动室，开展安宁疗护、中医彝医保健等健康服务，满足基层老百姓康养需求。</w:t>
      </w:r>
    </w:p>
    <w:p w14:paraId="0DAAAC34">
      <w:pPr>
        <w:bidi w:val="0"/>
        <w:rPr>
          <w:rFonts w:hint="eastAsia" w:ascii="楷体" w:hAnsi="楷体" w:eastAsia="楷体" w:cs="楷体"/>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eastAsia="zh-CN"/>
        </w:rPr>
        <w:t>强化发展要素支撑，保障规划有序实施。密切跟踪政策导向和资金投向，加强项目谋划储备，积极争取政策资金支持，持续优化“十五五”规划编制。深入推进人才队伍建设，完善引才育才机制，优化人才服务保障，加强重点学科带头人和基层技术骨干培养。加快医共体信息化平台建设，推进资源共享、质量管理和便民服务系统整合，统筹医疗、医防、医养（康养）、医保等一体推进，全力保障“十五五”规划稳健起步，为建设健康峨边奠定坚实基础。</w:t>
      </w:r>
    </w:p>
    <w:p w14:paraId="14B32310">
      <w:pPr>
        <w:bidi w:val="0"/>
        <w:rPr>
          <w:rFonts w:hint="default" w:ascii="黑体" w:hAnsi="黑体" w:eastAsia="黑体" w:cs="黑体"/>
          <w:lang w:val="en-US" w:eastAsia="zh-CN"/>
        </w:rPr>
      </w:pPr>
      <w:r>
        <w:rPr>
          <w:rFonts w:hint="default" w:ascii="黑体" w:hAnsi="黑体" w:eastAsia="黑体" w:cs="黑体"/>
          <w:lang w:val="en-US" w:eastAsia="zh-CN"/>
        </w:rPr>
        <w:t>二、部门预算单位构成</w:t>
      </w:r>
    </w:p>
    <w:p w14:paraId="5F4A0C5D">
      <w:pPr>
        <w:bidi w:val="0"/>
        <w:rPr>
          <w:rFonts w:hint="eastAsia" w:ascii="仿宋" w:hAnsi="仿宋" w:eastAsia="仿宋"/>
          <w:sz w:val="32"/>
          <w:szCs w:val="32"/>
        </w:rPr>
      </w:pPr>
      <w:r>
        <w:rPr>
          <w:rFonts w:hint="eastAsia" w:ascii="仿宋" w:hAnsi="仿宋" w:eastAsia="仿宋"/>
          <w:sz w:val="32"/>
          <w:szCs w:val="32"/>
        </w:rPr>
        <w:t>峨边彝族自治县卫生健康局预算单位</w:t>
      </w:r>
      <w:r>
        <w:rPr>
          <w:rFonts w:hint="eastAsia" w:ascii="仿宋" w:hAnsi="仿宋"/>
          <w:sz w:val="32"/>
          <w:szCs w:val="32"/>
          <w:lang w:val="en-US" w:eastAsia="zh-CN"/>
        </w:rPr>
        <w:t>19</w:t>
      </w:r>
      <w:r>
        <w:rPr>
          <w:rFonts w:hint="eastAsia" w:ascii="仿宋" w:hAnsi="仿宋" w:eastAsia="仿宋"/>
          <w:sz w:val="32"/>
          <w:szCs w:val="32"/>
        </w:rPr>
        <w:t>个，其中：行政单位</w:t>
      </w:r>
      <w:r>
        <w:rPr>
          <w:rFonts w:hint="eastAsia" w:ascii="仿宋" w:hAnsi="仿宋"/>
          <w:sz w:val="32"/>
          <w:szCs w:val="32"/>
          <w:lang w:val="en-US" w:eastAsia="zh-CN"/>
        </w:rPr>
        <w:t>1</w:t>
      </w:r>
      <w:r>
        <w:rPr>
          <w:rFonts w:hint="eastAsia" w:ascii="仿宋" w:hAnsi="仿宋" w:eastAsia="仿宋"/>
          <w:sz w:val="32"/>
          <w:szCs w:val="32"/>
        </w:rPr>
        <w:t>个，事业单位</w:t>
      </w:r>
      <w:r>
        <w:rPr>
          <w:rFonts w:hint="eastAsia" w:ascii="仿宋" w:hAnsi="仿宋"/>
          <w:sz w:val="32"/>
          <w:szCs w:val="32"/>
          <w:lang w:val="en-US" w:eastAsia="zh-CN"/>
        </w:rPr>
        <w:t>18</w:t>
      </w:r>
      <w:r>
        <w:rPr>
          <w:rFonts w:hint="eastAsia" w:ascii="仿宋" w:hAnsi="仿宋" w:eastAsia="仿宋"/>
          <w:sz w:val="32"/>
          <w:szCs w:val="32"/>
        </w:rPr>
        <w:t>个。</w:t>
      </w:r>
    </w:p>
    <w:p w14:paraId="4F03F192">
      <w:pPr>
        <w:bidi w:val="0"/>
        <w:rPr>
          <w:rFonts w:hint="eastAsia" w:ascii="仿宋" w:hAnsi="仿宋" w:eastAsia="仿宋"/>
          <w:sz w:val="32"/>
          <w:szCs w:val="32"/>
        </w:rPr>
      </w:pPr>
      <w:r>
        <w:rPr>
          <w:rFonts w:hint="eastAsia" w:ascii="仿宋" w:hAnsi="仿宋" w:eastAsia="仿宋"/>
          <w:sz w:val="32"/>
          <w:szCs w:val="32"/>
        </w:rPr>
        <w:t>峨边彝族自治县卫生健康局总编制</w:t>
      </w:r>
      <w:r>
        <w:rPr>
          <w:rFonts w:hint="eastAsia" w:ascii="仿宋" w:hAnsi="仿宋"/>
          <w:sz w:val="32"/>
          <w:szCs w:val="32"/>
          <w:lang w:val="en-US" w:eastAsia="zh-CN"/>
        </w:rPr>
        <w:t>501</w:t>
      </w:r>
      <w:r>
        <w:rPr>
          <w:rFonts w:hint="eastAsia" w:ascii="仿宋" w:hAnsi="仿宋" w:eastAsia="仿宋"/>
          <w:sz w:val="32"/>
          <w:szCs w:val="32"/>
        </w:rPr>
        <w:t>名，其中：行政编制</w:t>
      </w:r>
      <w:r>
        <w:rPr>
          <w:rFonts w:hint="eastAsia" w:ascii="仿宋" w:hAnsi="仿宋"/>
          <w:sz w:val="32"/>
          <w:szCs w:val="32"/>
          <w:lang w:val="en-US" w:eastAsia="zh-CN"/>
        </w:rPr>
        <w:t>17</w:t>
      </w:r>
      <w:r>
        <w:rPr>
          <w:rFonts w:hint="eastAsia" w:ascii="仿宋" w:hAnsi="仿宋" w:eastAsia="仿宋"/>
          <w:sz w:val="32"/>
          <w:szCs w:val="32"/>
        </w:rPr>
        <w:t>名，工勤编制</w:t>
      </w:r>
      <w:r>
        <w:rPr>
          <w:rFonts w:hint="eastAsia" w:ascii="仿宋" w:hAnsi="仿宋"/>
          <w:sz w:val="32"/>
          <w:szCs w:val="32"/>
          <w:lang w:val="en-US" w:eastAsia="zh-CN"/>
        </w:rPr>
        <w:t>2</w:t>
      </w:r>
      <w:r>
        <w:rPr>
          <w:rFonts w:hint="eastAsia" w:ascii="仿宋" w:hAnsi="仿宋" w:eastAsia="仿宋"/>
          <w:sz w:val="32"/>
          <w:szCs w:val="32"/>
        </w:rPr>
        <w:t>名，事业编制</w:t>
      </w:r>
      <w:r>
        <w:rPr>
          <w:rFonts w:hint="eastAsia" w:ascii="仿宋" w:hAnsi="仿宋"/>
          <w:sz w:val="32"/>
          <w:szCs w:val="32"/>
          <w:lang w:val="en-US" w:eastAsia="zh-CN"/>
        </w:rPr>
        <w:t>482</w:t>
      </w:r>
      <w:r>
        <w:rPr>
          <w:rFonts w:hint="eastAsia" w:ascii="仿宋" w:hAnsi="仿宋" w:eastAsia="仿宋"/>
          <w:sz w:val="32"/>
          <w:szCs w:val="32"/>
        </w:rPr>
        <w:t>名。在职人员总数</w:t>
      </w:r>
      <w:r>
        <w:rPr>
          <w:rFonts w:hint="eastAsia" w:ascii="仿宋" w:hAnsi="仿宋"/>
          <w:sz w:val="32"/>
          <w:szCs w:val="32"/>
          <w:lang w:val="en-US" w:eastAsia="zh-CN"/>
        </w:rPr>
        <w:t>457</w:t>
      </w:r>
      <w:r>
        <w:rPr>
          <w:rFonts w:hint="eastAsia" w:ascii="仿宋" w:hAnsi="仿宋" w:eastAsia="仿宋"/>
          <w:sz w:val="32"/>
          <w:szCs w:val="32"/>
        </w:rPr>
        <w:t>名，其中：行政</w:t>
      </w:r>
      <w:r>
        <w:rPr>
          <w:rFonts w:hint="eastAsia" w:ascii="仿宋" w:hAnsi="仿宋"/>
          <w:sz w:val="32"/>
          <w:szCs w:val="32"/>
          <w:lang w:val="en-US" w:eastAsia="zh-CN"/>
        </w:rPr>
        <w:t>16</w:t>
      </w:r>
      <w:r>
        <w:rPr>
          <w:rFonts w:hint="eastAsia" w:ascii="仿宋" w:hAnsi="仿宋" w:eastAsia="仿宋"/>
          <w:sz w:val="32"/>
          <w:szCs w:val="32"/>
        </w:rPr>
        <w:t>名，工勤</w:t>
      </w:r>
      <w:r>
        <w:rPr>
          <w:rFonts w:hint="eastAsia" w:ascii="仿宋" w:hAnsi="仿宋"/>
          <w:sz w:val="32"/>
          <w:szCs w:val="32"/>
          <w:lang w:val="en-US" w:eastAsia="zh-CN"/>
        </w:rPr>
        <w:t>1</w:t>
      </w:r>
      <w:r>
        <w:rPr>
          <w:rFonts w:hint="eastAsia" w:ascii="仿宋" w:hAnsi="仿宋" w:eastAsia="仿宋"/>
          <w:sz w:val="32"/>
          <w:szCs w:val="32"/>
        </w:rPr>
        <w:t>名，事业</w:t>
      </w:r>
      <w:r>
        <w:rPr>
          <w:rFonts w:hint="eastAsia" w:ascii="仿宋" w:hAnsi="仿宋"/>
          <w:sz w:val="32"/>
          <w:szCs w:val="32"/>
          <w:lang w:val="en-US" w:eastAsia="zh-CN"/>
        </w:rPr>
        <w:t>440</w:t>
      </w:r>
      <w:r>
        <w:rPr>
          <w:rFonts w:hint="eastAsia" w:ascii="仿宋" w:hAnsi="仿宋" w:eastAsia="仿宋"/>
          <w:sz w:val="32"/>
          <w:szCs w:val="32"/>
        </w:rPr>
        <w:t>名。离休</w:t>
      </w:r>
      <w:r>
        <w:rPr>
          <w:rFonts w:hint="eastAsia" w:ascii="仿宋" w:hAnsi="仿宋"/>
          <w:sz w:val="32"/>
          <w:szCs w:val="32"/>
          <w:lang w:val="en-US" w:eastAsia="zh-CN"/>
        </w:rPr>
        <w:t>1</w:t>
      </w:r>
      <w:r>
        <w:rPr>
          <w:rFonts w:hint="eastAsia" w:ascii="仿宋" w:hAnsi="仿宋" w:eastAsia="仿宋"/>
          <w:sz w:val="32"/>
          <w:szCs w:val="32"/>
        </w:rPr>
        <w:t>名。</w:t>
      </w:r>
    </w:p>
    <w:p w14:paraId="2F956B68">
      <w:pPr>
        <w:spacing w:line="600" w:lineRule="exact"/>
        <w:ind w:firstLine="640" w:firstLineChars="200"/>
        <w:rPr>
          <w:rFonts w:hint="eastAsia" w:ascii="仿宋" w:hAnsi="仿宋" w:eastAsia="仿宋"/>
          <w:sz w:val="32"/>
          <w:szCs w:val="32"/>
        </w:rPr>
      </w:pPr>
    </w:p>
    <w:p w14:paraId="124E6D94">
      <w:pPr>
        <w:spacing w:line="600" w:lineRule="exact"/>
        <w:ind w:left="0" w:leftChars="0" w:firstLine="0" w:firstLineChars="0"/>
        <w:rPr>
          <w:rFonts w:hint="eastAsia" w:ascii="仿宋" w:hAnsi="仿宋" w:eastAsia="仿宋"/>
          <w:sz w:val="32"/>
          <w:szCs w:val="32"/>
        </w:rPr>
      </w:pPr>
    </w:p>
    <w:p w14:paraId="51AD9F35">
      <w:pPr>
        <w:pStyle w:val="2"/>
        <w:numPr>
          <w:ilvl w:val="0"/>
          <w:numId w:val="0"/>
        </w:numPr>
        <w:bidi w:val="0"/>
        <w:jc w:val="both"/>
        <w:rPr>
          <w:rFonts w:hint="eastAsia"/>
          <w:lang w:val="en-US" w:eastAsia="zh-CN"/>
        </w:rPr>
      </w:pPr>
    </w:p>
    <w:p w14:paraId="5BFBA84E">
      <w:pPr>
        <w:rPr>
          <w:rFonts w:hint="eastAsia"/>
          <w:lang w:val="en-US" w:eastAsia="zh-CN"/>
        </w:rPr>
      </w:pPr>
    </w:p>
    <w:p w14:paraId="1F19C87D">
      <w:pPr>
        <w:pStyle w:val="2"/>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第二部分  峨边彝族自治县卫生健康局</w:t>
      </w:r>
    </w:p>
    <w:p w14:paraId="221961C4">
      <w:pPr>
        <w:pStyle w:val="3"/>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2026年部门预算表</w:t>
      </w:r>
    </w:p>
    <w:p w14:paraId="6BFE1A6D">
      <w:pPr>
        <w:spacing w:line="600" w:lineRule="exact"/>
        <w:rPr>
          <w:rFonts w:hint="default" w:ascii="仿宋" w:hAnsi="仿宋" w:eastAsia="仿宋" w:cs="Times New Roman"/>
          <w:sz w:val="32"/>
          <w:szCs w:val="32"/>
          <w:lang w:val="en-US" w:eastAsia="zh-CN"/>
        </w:rPr>
      </w:pPr>
    </w:p>
    <w:p w14:paraId="0E04C1A7">
      <w:pPr>
        <w:spacing w:line="600" w:lineRule="exact"/>
        <w:rPr>
          <w:rFonts w:hint="default" w:ascii="仿宋" w:hAnsi="仿宋" w:eastAsia="仿宋" w:cs="Times New Roman"/>
          <w:sz w:val="32"/>
          <w:szCs w:val="32"/>
          <w:lang w:val="en-US" w:eastAsia="zh-CN"/>
        </w:rPr>
      </w:pPr>
    </w:p>
    <w:p w14:paraId="2B3C3257">
      <w:pPr>
        <w:spacing w:line="600" w:lineRule="exact"/>
        <w:rPr>
          <w:rFonts w:hint="default" w:ascii="仿宋" w:hAnsi="仿宋" w:eastAsia="仿宋" w:cs="Times New Roman"/>
          <w:sz w:val="32"/>
          <w:szCs w:val="32"/>
          <w:lang w:val="en-US" w:eastAsia="zh-CN"/>
        </w:rPr>
      </w:pPr>
    </w:p>
    <w:p w14:paraId="117B2D69">
      <w:pPr>
        <w:spacing w:line="600" w:lineRule="exact"/>
        <w:rPr>
          <w:rFonts w:hint="default" w:ascii="仿宋" w:hAnsi="仿宋" w:eastAsia="仿宋" w:cs="Times New Roman"/>
          <w:sz w:val="32"/>
          <w:szCs w:val="32"/>
          <w:lang w:val="en-US" w:eastAsia="zh-CN"/>
        </w:rPr>
      </w:pPr>
    </w:p>
    <w:p w14:paraId="34834393">
      <w:pPr>
        <w:spacing w:line="600" w:lineRule="exact"/>
        <w:rPr>
          <w:rFonts w:hint="default" w:ascii="仿宋" w:hAnsi="仿宋" w:eastAsia="仿宋" w:cs="Times New Roman"/>
          <w:sz w:val="32"/>
          <w:szCs w:val="32"/>
          <w:lang w:val="en-US" w:eastAsia="zh-CN"/>
        </w:rPr>
      </w:pPr>
    </w:p>
    <w:p w14:paraId="25B3195C">
      <w:pPr>
        <w:spacing w:line="600" w:lineRule="exact"/>
        <w:rPr>
          <w:rFonts w:hint="default" w:ascii="仿宋" w:hAnsi="仿宋" w:eastAsia="仿宋" w:cs="Times New Roman"/>
          <w:sz w:val="32"/>
          <w:szCs w:val="32"/>
          <w:lang w:val="en-US" w:eastAsia="zh-CN"/>
        </w:rPr>
      </w:pPr>
    </w:p>
    <w:p w14:paraId="76B5588A">
      <w:pPr>
        <w:spacing w:line="600" w:lineRule="exact"/>
        <w:rPr>
          <w:rFonts w:hint="default" w:ascii="仿宋" w:hAnsi="仿宋" w:eastAsia="仿宋" w:cs="Times New Roman"/>
          <w:sz w:val="32"/>
          <w:szCs w:val="32"/>
          <w:lang w:val="en-US" w:eastAsia="zh-CN"/>
        </w:rPr>
      </w:pPr>
    </w:p>
    <w:p w14:paraId="2605B1C9">
      <w:pPr>
        <w:spacing w:line="600" w:lineRule="exact"/>
        <w:rPr>
          <w:rFonts w:hint="default" w:ascii="仿宋" w:hAnsi="仿宋" w:eastAsia="仿宋" w:cs="Times New Roman"/>
          <w:sz w:val="32"/>
          <w:szCs w:val="32"/>
          <w:lang w:val="en-US" w:eastAsia="zh-CN"/>
        </w:rPr>
      </w:pPr>
    </w:p>
    <w:p w14:paraId="0B106618">
      <w:pPr>
        <w:spacing w:line="600" w:lineRule="exact"/>
        <w:ind w:left="0" w:leftChars="0" w:firstLine="0" w:firstLineChars="0"/>
        <w:rPr>
          <w:rFonts w:hint="eastAsia" w:ascii="仿宋_GB2312" w:hAnsi="仿宋_GB2312" w:eastAsia="仿宋_GB2312" w:cs="仿宋_GB2312"/>
          <w:sz w:val="32"/>
          <w:szCs w:val="32"/>
          <w:lang w:val="en-US" w:eastAsia="zh-CN"/>
        </w:rPr>
      </w:pPr>
    </w:p>
    <w:p w14:paraId="49694FE0">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详见附件2：峨边彝族自治县卫生健康局预算公开报表  </w:t>
      </w:r>
    </w:p>
    <w:p w14:paraId="06032083">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一、部门收支总表（公开表 1）</w:t>
      </w:r>
    </w:p>
    <w:p w14:paraId="0C8C9D41">
      <w:pPr>
        <w:spacing w:line="240" w:lineRule="auto"/>
        <w:ind w:left="0" w:leftChars="0" w:firstLine="0" w:firstLineChars="0"/>
      </w:pPr>
      <w:r>
        <w:drawing>
          <wp:inline distT="0" distB="0" distL="114300" distR="114300">
            <wp:extent cx="5689600" cy="5751830"/>
            <wp:effectExtent l="0" t="0" r="635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689600" cy="5751830"/>
                    </a:xfrm>
                    <a:prstGeom prst="rect">
                      <a:avLst/>
                    </a:prstGeom>
                    <a:noFill/>
                    <a:ln>
                      <a:noFill/>
                    </a:ln>
                  </pic:spPr>
                </pic:pic>
              </a:graphicData>
            </a:graphic>
          </wp:inline>
        </w:drawing>
      </w:r>
    </w:p>
    <w:p w14:paraId="00E664E9">
      <w:pPr>
        <w:spacing w:line="240" w:lineRule="auto"/>
        <w:ind w:left="0" w:leftChars="0" w:firstLine="0" w:firstLineChars="0"/>
        <w:rPr>
          <w:rFonts w:hint="eastAsia"/>
          <w:lang w:val="en-US" w:eastAsia="zh-CN"/>
        </w:rPr>
      </w:pPr>
    </w:p>
    <w:p w14:paraId="765A6AD0">
      <w:pPr>
        <w:spacing w:line="240" w:lineRule="auto"/>
        <w:ind w:left="0" w:leftChars="0" w:firstLine="0" w:firstLineChars="0"/>
        <w:rPr>
          <w:rFonts w:hint="eastAsia"/>
          <w:lang w:val="en-US" w:eastAsia="zh-CN"/>
        </w:rPr>
      </w:pPr>
    </w:p>
    <w:p w14:paraId="54A7DD77">
      <w:pPr>
        <w:spacing w:line="240" w:lineRule="auto"/>
        <w:ind w:left="0" w:leftChars="0" w:firstLine="0" w:firstLineChars="0"/>
        <w:rPr>
          <w:rFonts w:hint="eastAsia"/>
          <w:lang w:val="en-US" w:eastAsia="zh-CN"/>
        </w:rPr>
      </w:pPr>
    </w:p>
    <w:p w14:paraId="2C52BBFC">
      <w:pPr>
        <w:spacing w:line="240" w:lineRule="auto"/>
        <w:ind w:left="0" w:leftChars="0" w:firstLine="0" w:firstLineChars="0"/>
        <w:rPr>
          <w:rFonts w:hint="eastAsia"/>
          <w:lang w:val="en-US" w:eastAsia="zh-CN"/>
        </w:rPr>
      </w:pPr>
    </w:p>
    <w:p w14:paraId="7D42C8BF">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二、部门收入总表（公开表 1-1）</w:t>
      </w:r>
    </w:p>
    <w:p w14:paraId="0AC11B42">
      <w:pPr>
        <w:spacing w:line="240" w:lineRule="auto"/>
        <w:ind w:left="0" w:leftChars="0" w:firstLine="0" w:firstLineChars="0"/>
        <w:rPr>
          <w:rFonts w:hint="eastAsia" w:ascii="仿宋_GB2312" w:hAnsi="仿宋_GB2312" w:eastAsia="仿宋_GB2312" w:cs="仿宋_GB2312"/>
          <w:sz w:val="32"/>
          <w:szCs w:val="32"/>
          <w:lang w:val="en-US" w:eastAsia="zh-CN"/>
        </w:rPr>
      </w:pPr>
      <w:r>
        <w:drawing>
          <wp:inline distT="0" distB="0" distL="114300" distR="114300">
            <wp:extent cx="5689600" cy="3733800"/>
            <wp:effectExtent l="0" t="0" r="635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689600" cy="3733800"/>
                    </a:xfrm>
                    <a:prstGeom prst="rect">
                      <a:avLst/>
                    </a:prstGeom>
                    <a:noFill/>
                    <a:ln>
                      <a:noFill/>
                    </a:ln>
                  </pic:spPr>
                </pic:pic>
              </a:graphicData>
            </a:graphic>
          </wp:inline>
        </w:drawing>
      </w:r>
    </w:p>
    <w:p w14:paraId="0D37C736">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三、部门支出总表（公开表 1-2）</w:t>
      </w:r>
    </w:p>
    <w:p w14:paraId="25282C05">
      <w:pPr>
        <w:spacing w:line="240" w:lineRule="auto"/>
        <w:ind w:left="0" w:leftChars="0" w:firstLine="0" w:firstLineChars="0"/>
      </w:pPr>
      <w:r>
        <w:drawing>
          <wp:inline distT="0" distB="0" distL="114300" distR="114300">
            <wp:extent cx="5690235" cy="3661410"/>
            <wp:effectExtent l="0" t="0" r="5715" b="1524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5690235" cy="3661410"/>
                    </a:xfrm>
                    <a:prstGeom prst="rect">
                      <a:avLst/>
                    </a:prstGeom>
                    <a:noFill/>
                    <a:ln>
                      <a:noFill/>
                    </a:ln>
                  </pic:spPr>
                </pic:pic>
              </a:graphicData>
            </a:graphic>
          </wp:inline>
        </w:drawing>
      </w:r>
    </w:p>
    <w:p w14:paraId="3EC514E1">
      <w:pPr>
        <w:spacing w:line="240" w:lineRule="auto"/>
        <w:ind w:left="0" w:leftChars="0" w:firstLine="0" w:firstLineChars="0"/>
      </w:pPr>
      <w:r>
        <w:drawing>
          <wp:inline distT="0" distB="0" distL="114300" distR="114300">
            <wp:extent cx="5690235" cy="8257540"/>
            <wp:effectExtent l="0" t="0" r="5715" b="1016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0"/>
                    <a:stretch>
                      <a:fillRect/>
                    </a:stretch>
                  </pic:blipFill>
                  <pic:spPr>
                    <a:xfrm>
                      <a:off x="0" y="0"/>
                      <a:ext cx="5690235" cy="8257540"/>
                    </a:xfrm>
                    <a:prstGeom prst="rect">
                      <a:avLst/>
                    </a:prstGeom>
                    <a:noFill/>
                    <a:ln>
                      <a:noFill/>
                    </a:ln>
                  </pic:spPr>
                </pic:pic>
              </a:graphicData>
            </a:graphic>
          </wp:inline>
        </w:drawing>
      </w:r>
    </w:p>
    <w:p w14:paraId="07EDC2B1">
      <w:pPr>
        <w:spacing w:line="240" w:lineRule="auto"/>
        <w:ind w:left="0" w:leftChars="0" w:firstLine="0" w:firstLineChars="0"/>
      </w:pPr>
      <w:r>
        <w:drawing>
          <wp:inline distT="0" distB="0" distL="114300" distR="114300">
            <wp:extent cx="5690235" cy="8257540"/>
            <wp:effectExtent l="0" t="0" r="5715" b="1016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1"/>
                    <a:stretch>
                      <a:fillRect/>
                    </a:stretch>
                  </pic:blipFill>
                  <pic:spPr>
                    <a:xfrm>
                      <a:off x="0" y="0"/>
                      <a:ext cx="5690235" cy="8257540"/>
                    </a:xfrm>
                    <a:prstGeom prst="rect">
                      <a:avLst/>
                    </a:prstGeom>
                    <a:noFill/>
                    <a:ln>
                      <a:noFill/>
                    </a:ln>
                  </pic:spPr>
                </pic:pic>
              </a:graphicData>
            </a:graphic>
          </wp:inline>
        </w:drawing>
      </w:r>
    </w:p>
    <w:p w14:paraId="17FE9FB5">
      <w:pPr>
        <w:spacing w:line="240" w:lineRule="auto"/>
        <w:ind w:left="0" w:leftChars="0" w:firstLine="0" w:firstLineChars="0"/>
        <w:rPr>
          <w:rFonts w:hint="eastAsia"/>
          <w:lang w:val="en-US" w:eastAsia="zh-CN"/>
        </w:rPr>
      </w:pPr>
      <w:r>
        <w:drawing>
          <wp:inline distT="0" distB="0" distL="114300" distR="114300">
            <wp:extent cx="5690235" cy="3836670"/>
            <wp:effectExtent l="0" t="0" r="5715" b="1143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2"/>
                    <a:stretch>
                      <a:fillRect/>
                    </a:stretch>
                  </pic:blipFill>
                  <pic:spPr>
                    <a:xfrm>
                      <a:off x="0" y="0"/>
                      <a:ext cx="5690235" cy="3836670"/>
                    </a:xfrm>
                    <a:prstGeom prst="rect">
                      <a:avLst/>
                    </a:prstGeom>
                    <a:noFill/>
                    <a:ln>
                      <a:noFill/>
                    </a:ln>
                  </pic:spPr>
                </pic:pic>
              </a:graphicData>
            </a:graphic>
          </wp:inline>
        </w:drawing>
      </w:r>
    </w:p>
    <w:p w14:paraId="2C8E7B11">
      <w:pPr>
        <w:spacing w:line="600" w:lineRule="exact"/>
        <w:ind w:left="0" w:leftChars="0" w:firstLine="0" w:firstLineChars="0"/>
        <w:rPr>
          <w:rFonts w:hint="eastAsia" w:ascii="仿宋_GB2312" w:hAnsi="仿宋_GB2312" w:eastAsia="仿宋_GB2312" w:cs="仿宋_GB2312"/>
          <w:sz w:val="32"/>
          <w:szCs w:val="32"/>
          <w:lang w:val="en-US" w:eastAsia="zh-CN"/>
        </w:rPr>
      </w:pPr>
    </w:p>
    <w:p w14:paraId="546757C8">
      <w:pPr>
        <w:spacing w:line="600" w:lineRule="exact"/>
        <w:ind w:left="0" w:leftChars="0" w:firstLine="0" w:firstLineChars="0"/>
        <w:rPr>
          <w:rFonts w:hint="eastAsia" w:ascii="仿宋_GB2312" w:hAnsi="仿宋_GB2312" w:eastAsia="仿宋_GB2312" w:cs="仿宋_GB2312"/>
          <w:sz w:val="32"/>
          <w:szCs w:val="32"/>
          <w:lang w:val="en-US" w:eastAsia="zh-CN"/>
        </w:rPr>
      </w:pPr>
    </w:p>
    <w:p w14:paraId="59CBFB7C">
      <w:pPr>
        <w:spacing w:line="600" w:lineRule="exact"/>
        <w:ind w:left="0" w:leftChars="0" w:firstLine="0" w:firstLineChars="0"/>
        <w:rPr>
          <w:rFonts w:hint="eastAsia" w:ascii="仿宋_GB2312" w:hAnsi="仿宋_GB2312" w:eastAsia="仿宋_GB2312" w:cs="仿宋_GB2312"/>
          <w:sz w:val="32"/>
          <w:szCs w:val="32"/>
          <w:lang w:val="en-US" w:eastAsia="zh-CN"/>
        </w:rPr>
      </w:pPr>
    </w:p>
    <w:p w14:paraId="0BA6438F">
      <w:pPr>
        <w:spacing w:line="600" w:lineRule="exact"/>
        <w:ind w:left="0" w:leftChars="0" w:firstLine="0" w:firstLineChars="0"/>
        <w:rPr>
          <w:rFonts w:hint="eastAsia" w:ascii="仿宋_GB2312" w:hAnsi="仿宋_GB2312" w:eastAsia="仿宋_GB2312" w:cs="仿宋_GB2312"/>
          <w:sz w:val="32"/>
          <w:szCs w:val="32"/>
          <w:lang w:val="en-US" w:eastAsia="zh-CN"/>
        </w:rPr>
      </w:pPr>
    </w:p>
    <w:p w14:paraId="44F8D414">
      <w:pPr>
        <w:spacing w:line="600" w:lineRule="exact"/>
        <w:ind w:left="0" w:leftChars="0" w:firstLine="0" w:firstLineChars="0"/>
        <w:rPr>
          <w:rFonts w:hint="eastAsia" w:ascii="仿宋_GB2312" w:hAnsi="仿宋_GB2312" w:eastAsia="仿宋_GB2312" w:cs="仿宋_GB2312"/>
          <w:sz w:val="32"/>
          <w:szCs w:val="32"/>
          <w:lang w:val="en-US" w:eastAsia="zh-CN"/>
        </w:rPr>
      </w:pPr>
    </w:p>
    <w:p w14:paraId="3829D4A8">
      <w:pPr>
        <w:spacing w:line="600" w:lineRule="exact"/>
        <w:ind w:left="0" w:leftChars="0" w:firstLine="0" w:firstLineChars="0"/>
        <w:rPr>
          <w:rFonts w:hint="eastAsia" w:ascii="仿宋_GB2312" w:hAnsi="仿宋_GB2312" w:eastAsia="仿宋_GB2312" w:cs="仿宋_GB2312"/>
          <w:sz w:val="32"/>
          <w:szCs w:val="32"/>
          <w:lang w:val="en-US" w:eastAsia="zh-CN"/>
        </w:rPr>
      </w:pPr>
    </w:p>
    <w:p w14:paraId="12671176">
      <w:pPr>
        <w:spacing w:line="600" w:lineRule="exact"/>
        <w:ind w:left="0" w:leftChars="0" w:firstLine="0" w:firstLineChars="0"/>
        <w:rPr>
          <w:rFonts w:hint="eastAsia" w:ascii="仿宋_GB2312" w:hAnsi="仿宋_GB2312" w:eastAsia="仿宋_GB2312" w:cs="仿宋_GB2312"/>
          <w:sz w:val="32"/>
          <w:szCs w:val="32"/>
          <w:lang w:val="en-US" w:eastAsia="zh-CN"/>
        </w:rPr>
      </w:pPr>
    </w:p>
    <w:p w14:paraId="0E4FDB0D">
      <w:pPr>
        <w:spacing w:line="600" w:lineRule="exact"/>
        <w:ind w:left="0" w:leftChars="0" w:firstLine="0" w:firstLineChars="0"/>
        <w:rPr>
          <w:rFonts w:hint="eastAsia" w:ascii="仿宋_GB2312" w:hAnsi="仿宋_GB2312" w:eastAsia="仿宋_GB2312" w:cs="仿宋_GB2312"/>
          <w:sz w:val="32"/>
          <w:szCs w:val="32"/>
          <w:lang w:val="en-US" w:eastAsia="zh-CN"/>
        </w:rPr>
      </w:pPr>
    </w:p>
    <w:p w14:paraId="6AA2586A">
      <w:pPr>
        <w:spacing w:line="600" w:lineRule="exact"/>
        <w:ind w:left="0" w:leftChars="0" w:firstLine="0" w:firstLineChars="0"/>
        <w:rPr>
          <w:rFonts w:hint="eastAsia" w:ascii="仿宋_GB2312" w:hAnsi="仿宋_GB2312" w:eastAsia="仿宋_GB2312" w:cs="仿宋_GB2312"/>
          <w:sz w:val="32"/>
          <w:szCs w:val="32"/>
          <w:lang w:val="en-US" w:eastAsia="zh-CN"/>
        </w:rPr>
      </w:pPr>
    </w:p>
    <w:p w14:paraId="14DD426F">
      <w:pPr>
        <w:spacing w:line="600" w:lineRule="exact"/>
        <w:ind w:left="0" w:leftChars="0" w:firstLine="0" w:firstLineChars="0"/>
        <w:rPr>
          <w:rFonts w:hint="eastAsia" w:ascii="仿宋_GB2312" w:hAnsi="仿宋_GB2312" w:eastAsia="仿宋_GB2312" w:cs="仿宋_GB2312"/>
          <w:sz w:val="32"/>
          <w:szCs w:val="32"/>
          <w:lang w:val="en-US" w:eastAsia="zh-CN"/>
        </w:rPr>
      </w:pPr>
    </w:p>
    <w:p w14:paraId="1AAC8D2B">
      <w:pPr>
        <w:spacing w:line="600" w:lineRule="exact"/>
        <w:ind w:left="0" w:leftChars="0" w:firstLine="0" w:firstLineChars="0"/>
        <w:rPr>
          <w:rFonts w:hint="eastAsia" w:ascii="仿宋_GB2312" w:hAnsi="仿宋_GB2312" w:eastAsia="仿宋_GB2312" w:cs="仿宋_GB2312"/>
          <w:sz w:val="32"/>
          <w:szCs w:val="32"/>
          <w:lang w:val="en-US" w:eastAsia="zh-CN"/>
        </w:rPr>
      </w:pPr>
    </w:p>
    <w:p w14:paraId="7703F756">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四、财政拨款收支预算总表（公开表 2）</w:t>
      </w:r>
    </w:p>
    <w:p w14:paraId="364C3C59">
      <w:pPr>
        <w:spacing w:line="240" w:lineRule="auto"/>
        <w:ind w:left="0" w:leftChars="0" w:firstLine="0" w:firstLineChars="0"/>
        <w:rPr>
          <w:rFonts w:hint="eastAsia" w:ascii="仿宋_GB2312" w:hAnsi="仿宋_GB2312" w:eastAsia="仿宋_GB2312" w:cs="仿宋_GB2312"/>
          <w:sz w:val="32"/>
          <w:szCs w:val="32"/>
          <w:lang w:val="en-US" w:eastAsia="zh-CN"/>
        </w:rPr>
      </w:pPr>
      <w:r>
        <w:drawing>
          <wp:inline distT="0" distB="0" distL="114300" distR="114300">
            <wp:extent cx="5692775" cy="4143375"/>
            <wp:effectExtent l="0" t="0" r="3175" b="952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3"/>
                    <a:stretch>
                      <a:fillRect/>
                    </a:stretch>
                  </pic:blipFill>
                  <pic:spPr>
                    <a:xfrm>
                      <a:off x="0" y="0"/>
                      <a:ext cx="5692775" cy="4143375"/>
                    </a:xfrm>
                    <a:prstGeom prst="rect">
                      <a:avLst/>
                    </a:prstGeom>
                    <a:noFill/>
                    <a:ln>
                      <a:noFill/>
                    </a:ln>
                  </pic:spPr>
                </pic:pic>
              </a:graphicData>
            </a:graphic>
          </wp:inline>
        </w:drawing>
      </w:r>
    </w:p>
    <w:p w14:paraId="2E5D50E5">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五、财政拨款支出预算表（部门经济分类科目）（公开</w:t>
      </w:r>
    </w:p>
    <w:p w14:paraId="06661976">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 2-1）</w:t>
      </w:r>
    </w:p>
    <w:p w14:paraId="48C5700F">
      <w:pPr>
        <w:spacing w:line="240" w:lineRule="auto"/>
        <w:ind w:left="0" w:leftChars="0" w:firstLine="0" w:firstLineChars="0"/>
      </w:pPr>
      <w:r>
        <w:drawing>
          <wp:inline distT="0" distB="0" distL="114300" distR="114300">
            <wp:extent cx="5681345" cy="2631440"/>
            <wp:effectExtent l="0" t="0" r="14605" b="1651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4"/>
                    <a:stretch>
                      <a:fillRect/>
                    </a:stretch>
                  </pic:blipFill>
                  <pic:spPr>
                    <a:xfrm>
                      <a:off x="0" y="0"/>
                      <a:ext cx="5681345" cy="2631440"/>
                    </a:xfrm>
                    <a:prstGeom prst="rect">
                      <a:avLst/>
                    </a:prstGeom>
                    <a:noFill/>
                    <a:ln>
                      <a:noFill/>
                    </a:ln>
                  </pic:spPr>
                </pic:pic>
              </a:graphicData>
            </a:graphic>
          </wp:inline>
        </w:drawing>
      </w:r>
    </w:p>
    <w:p w14:paraId="4088E2F8">
      <w:pPr>
        <w:spacing w:line="240" w:lineRule="auto"/>
        <w:ind w:left="0" w:leftChars="0" w:firstLine="0" w:firstLineChars="0"/>
      </w:pPr>
      <w:r>
        <w:drawing>
          <wp:inline distT="0" distB="0" distL="114300" distR="114300">
            <wp:extent cx="5681345" cy="8293735"/>
            <wp:effectExtent l="0" t="0" r="14605" b="1206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5"/>
                    <a:stretch>
                      <a:fillRect/>
                    </a:stretch>
                  </pic:blipFill>
                  <pic:spPr>
                    <a:xfrm>
                      <a:off x="0" y="0"/>
                      <a:ext cx="5681345" cy="8293735"/>
                    </a:xfrm>
                    <a:prstGeom prst="rect">
                      <a:avLst/>
                    </a:prstGeom>
                    <a:noFill/>
                    <a:ln>
                      <a:noFill/>
                    </a:ln>
                  </pic:spPr>
                </pic:pic>
              </a:graphicData>
            </a:graphic>
          </wp:inline>
        </w:drawing>
      </w:r>
    </w:p>
    <w:p w14:paraId="7AC5A56B">
      <w:pPr>
        <w:spacing w:line="240" w:lineRule="auto"/>
        <w:ind w:left="0" w:leftChars="0" w:firstLine="0" w:firstLineChars="0"/>
      </w:pPr>
      <w:r>
        <w:drawing>
          <wp:inline distT="0" distB="0" distL="114300" distR="114300">
            <wp:extent cx="5681345" cy="8355330"/>
            <wp:effectExtent l="0" t="0" r="14605" b="762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6"/>
                    <a:stretch>
                      <a:fillRect/>
                    </a:stretch>
                  </pic:blipFill>
                  <pic:spPr>
                    <a:xfrm>
                      <a:off x="0" y="0"/>
                      <a:ext cx="5681345" cy="8355330"/>
                    </a:xfrm>
                    <a:prstGeom prst="rect">
                      <a:avLst/>
                    </a:prstGeom>
                    <a:noFill/>
                    <a:ln>
                      <a:noFill/>
                    </a:ln>
                  </pic:spPr>
                </pic:pic>
              </a:graphicData>
            </a:graphic>
          </wp:inline>
        </w:drawing>
      </w:r>
    </w:p>
    <w:p w14:paraId="4084CE0B">
      <w:pPr>
        <w:spacing w:line="240" w:lineRule="auto"/>
        <w:ind w:left="0" w:leftChars="0" w:firstLine="0" w:firstLineChars="0"/>
      </w:pPr>
      <w:r>
        <w:drawing>
          <wp:inline distT="0" distB="0" distL="114300" distR="114300">
            <wp:extent cx="5681345" cy="7925435"/>
            <wp:effectExtent l="0" t="0" r="14605" b="1841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7"/>
                    <a:stretch>
                      <a:fillRect/>
                    </a:stretch>
                  </pic:blipFill>
                  <pic:spPr>
                    <a:xfrm>
                      <a:off x="0" y="0"/>
                      <a:ext cx="5681345" cy="7925435"/>
                    </a:xfrm>
                    <a:prstGeom prst="rect">
                      <a:avLst/>
                    </a:prstGeom>
                    <a:noFill/>
                    <a:ln>
                      <a:noFill/>
                    </a:ln>
                  </pic:spPr>
                </pic:pic>
              </a:graphicData>
            </a:graphic>
          </wp:inline>
        </w:drawing>
      </w:r>
    </w:p>
    <w:p w14:paraId="57212BEF">
      <w:pPr>
        <w:spacing w:line="240" w:lineRule="auto"/>
        <w:ind w:left="0" w:leftChars="0" w:firstLine="0" w:firstLineChars="0"/>
        <w:rPr>
          <w:rFonts w:hint="eastAsia"/>
          <w:lang w:val="en-US" w:eastAsia="zh-CN"/>
        </w:rPr>
      </w:pPr>
    </w:p>
    <w:p w14:paraId="70282FC0">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六、一般公共预算支出预算表（公开表 3）</w:t>
      </w:r>
    </w:p>
    <w:p w14:paraId="76FA4A51">
      <w:pPr>
        <w:spacing w:line="240" w:lineRule="auto"/>
        <w:ind w:left="0" w:leftChars="0" w:firstLine="0" w:firstLineChars="0"/>
        <w:rPr>
          <w:rFonts w:hint="eastAsia" w:ascii="仿宋_GB2312" w:hAnsi="仿宋_GB2312" w:eastAsia="仿宋_GB2312" w:cs="仿宋_GB2312"/>
          <w:sz w:val="32"/>
          <w:szCs w:val="32"/>
          <w:lang w:val="en-US" w:eastAsia="zh-CN"/>
        </w:rPr>
      </w:pPr>
      <w:r>
        <w:drawing>
          <wp:inline distT="0" distB="0" distL="114300" distR="114300">
            <wp:extent cx="5690235" cy="4692650"/>
            <wp:effectExtent l="0" t="0" r="5715" b="1270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8"/>
                    <a:stretch>
                      <a:fillRect/>
                    </a:stretch>
                  </pic:blipFill>
                  <pic:spPr>
                    <a:xfrm>
                      <a:off x="0" y="0"/>
                      <a:ext cx="5690235" cy="4692650"/>
                    </a:xfrm>
                    <a:prstGeom prst="rect">
                      <a:avLst/>
                    </a:prstGeom>
                    <a:noFill/>
                    <a:ln>
                      <a:noFill/>
                    </a:ln>
                  </pic:spPr>
                </pic:pic>
              </a:graphicData>
            </a:graphic>
          </wp:inline>
        </w:drawing>
      </w:r>
    </w:p>
    <w:p w14:paraId="48C29B4D">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七、一般公共预算基本支出预算表（公开表 3-1）</w:t>
      </w:r>
    </w:p>
    <w:p w14:paraId="59161A3C">
      <w:pPr>
        <w:spacing w:line="240" w:lineRule="auto"/>
        <w:ind w:left="0" w:leftChars="0" w:firstLine="0" w:firstLineChars="0"/>
      </w:pPr>
      <w:r>
        <w:drawing>
          <wp:inline distT="0" distB="0" distL="114300" distR="114300">
            <wp:extent cx="5688330" cy="2620010"/>
            <wp:effectExtent l="0" t="0" r="7620" b="889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9"/>
                    <a:stretch>
                      <a:fillRect/>
                    </a:stretch>
                  </pic:blipFill>
                  <pic:spPr>
                    <a:xfrm>
                      <a:off x="0" y="0"/>
                      <a:ext cx="5688330" cy="2620010"/>
                    </a:xfrm>
                    <a:prstGeom prst="rect">
                      <a:avLst/>
                    </a:prstGeom>
                    <a:noFill/>
                    <a:ln>
                      <a:noFill/>
                    </a:ln>
                  </pic:spPr>
                </pic:pic>
              </a:graphicData>
            </a:graphic>
          </wp:inline>
        </w:drawing>
      </w:r>
    </w:p>
    <w:p w14:paraId="2F0C9F13">
      <w:pPr>
        <w:spacing w:line="240" w:lineRule="auto"/>
        <w:ind w:left="0" w:leftChars="0" w:firstLine="0" w:firstLineChars="0"/>
      </w:pPr>
      <w:r>
        <w:drawing>
          <wp:inline distT="0" distB="0" distL="114300" distR="114300">
            <wp:extent cx="5688330" cy="8404225"/>
            <wp:effectExtent l="0" t="0" r="7620" b="1587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20"/>
                    <a:stretch>
                      <a:fillRect/>
                    </a:stretch>
                  </pic:blipFill>
                  <pic:spPr>
                    <a:xfrm>
                      <a:off x="0" y="0"/>
                      <a:ext cx="5688330" cy="8404225"/>
                    </a:xfrm>
                    <a:prstGeom prst="rect">
                      <a:avLst/>
                    </a:prstGeom>
                    <a:noFill/>
                    <a:ln>
                      <a:noFill/>
                    </a:ln>
                  </pic:spPr>
                </pic:pic>
              </a:graphicData>
            </a:graphic>
          </wp:inline>
        </w:drawing>
      </w:r>
    </w:p>
    <w:p w14:paraId="43FA12CB">
      <w:pPr>
        <w:spacing w:line="240" w:lineRule="auto"/>
        <w:ind w:left="0" w:leftChars="0" w:firstLine="0" w:firstLineChars="0"/>
      </w:pPr>
      <w:r>
        <w:drawing>
          <wp:inline distT="0" distB="0" distL="114300" distR="114300">
            <wp:extent cx="5688330" cy="8404225"/>
            <wp:effectExtent l="0" t="0" r="7620" b="1587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21">
                      <a:lum bright="-6000"/>
                    </a:blip>
                    <a:stretch>
                      <a:fillRect/>
                    </a:stretch>
                  </pic:blipFill>
                  <pic:spPr>
                    <a:xfrm>
                      <a:off x="0" y="0"/>
                      <a:ext cx="5688330" cy="8404225"/>
                    </a:xfrm>
                    <a:prstGeom prst="rect">
                      <a:avLst/>
                    </a:prstGeom>
                    <a:noFill/>
                    <a:ln>
                      <a:noFill/>
                    </a:ln>
                  </pic:spPr>
                </pic:pic>
              </a:graphicData>
            </a:graphic>
          </wp:inline>
        </w:drawing>
      </w:r>
    </w:p>
    <w:p w14:paraId="1A4E7E2A">
      <w:pPr>
        <w:spacing w:line="240" w:lineRule="auto"/>
        <w:ind w:left="0" w:leftChars="0" w:firstLine="0" w:firstLineChars="0"/>
      </w:pPr>
      <w:r>
        <w:drawing>
          <wp:inline distT="0" distB="0" distL="114300" distR="114300">
            <wp:extent cx="5688330" cy="8248650"/>
            <wp:effectExtent l="0" t="0" r="7620" b="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22"/>
                    <a:stretch>
                      <a:fillRect/>
                    </a:stretch>
                  </pic:blipFill>
                  <pic:spPr>
                    <a:xfrm>
                      <a:off x="0" y="0"/>
                      <a:ext cx="5688330" cy="8248650"/>
                    </a:xfrm>
                    <a:prstGeom prst="rect">
                      <a:avLst/>
                    </a:prstGeom>
                    <a:noFill/>
                    <a:ln>
                      <a:noFill/>
                    </a:ln>
                  </pic:spPr>
                </pic:pic>
              </a:graphicData>
            </a:graphic>
          </wp:inline>
        </w:drawing>
      </w:r>
    </w:p>
    <w:p w14:paraId="787C60A1">
      <w:pPr>
        <w:spacing w:line="240" w:lineRule="auto"/>
        <w:ind w:left="0" w:leftChars="0" w:firstLine="0" w:firstLineChars="0"/>
      </w:pPr>
      <w:r>
        <w:drawing>
          <wp:inline distT="0" distB="0" distL="114300" distR="114300">
            <wp:extent cx="5688330" cy="8248650"/>
            <wp:effectExtent l="0" t="0" r="7620" b="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3"/>
                    <a:stretch>
                      <a:fillRect/>
                    </a:stretch>
                  </pic:blipFill>
                  <pic:spPr>
                    <a:xfrm>
                      <a:off x="0" y="0"/>
                      <a:ext cx="5688330" cy="8248650"/>
                    </a:xfrm>
                    <a:prstGeom prst="rect">
                      <a:avLst/>
                    </a:prstGeom>
                    <a:noFill/>
                    <a:ln>
                      <a:noFill/>
                    </a:ln>
                  </pic:spPr>
                </pic:pic>
              </a:graphicData>
            </a:graphic>
          </wp:inline>
        </w:drawing>
      </w:r>
    </w:p>
    <w:p w14:paraId="2C64F0CC">
      <w:pPr>
        <w:spacing w:line="240" w:lineRule="auto"/>
        <w:ind w:left="0" w:leftChars="0" w:firstLine="0" w:firstLineChars="0"/>
      </w:pPr>
      <w:r>
        <w:drawing>
          <wp:inline distT="0" distB="0" distL="114300" distR="114300">
            <wp:extent cx="5688330" cy="8248650"/>
            <wp:effectExtent l="0" t="0" r="7620" b="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24"/>
                    <a:stretch>
                      <a:fillRect/>
                    </a:stretch>
                  </pic:blipFill>
                  <pic:spPr>
                    <a:xfrm>
                      <a:off x="0" y="0"/>
                      <a:ext cx="5688330" cy="8248650"/>
                    </a:xfrm>
                    <a:prstGeom prst="rect">
                      <a:avLst/>
                    </a:prstGeom>
                    <a:noFill/>
                    <a:ln>
                      <a:noFill/>
                    </a:ln>
                  </pic:spPr>
                </pic:pic>
              </a:graphicData>
            </a:graphic>
          </wp:inline>
        </w:drawing>
      </w:r>
    </w:p>
    <w:p w14:paraId="7DE0E1F7">
      <w:pPr>
        <w:spacing w:line="240" w:lineRule="auto"/>
        <w:ind w:left="0" w:leftChars="0" w:firstLine="0" w:firstLineChars="0"/>
      </w:pPr>
      <w:r>
        <w:drawing>
          <wp:inline distT="0" distB="0" distL="114300" distR="114300">
            <wp:extent cx="5688330" cy="8248650"/>
            <wp:effectExtent l="0" t="0" r="7620" b="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25"/>
                    <a:stretch>
                      <a:fillRect/>
                    </a:stretch>
                  </pic:blipFill>
                  <pic:spPr>
                    <a:xfrm>
                      <a:off x="0" y="0"/>
                      <a:ext cx="5688330" cy="8248650"/>
                    </a:xfrm>
                    <a:prstGeom prst="rect">
                      <a:avLst/>
                    </a:prstGeom>
                    <a:noFill/>
                    <a:ln>
                      <a:noFill/>
                    </a:ln>
                  </pic:spPr>
                </pic:pic>
              </a:graphicData>
            </a:graphic>
          </wp:inline>
        </w:drawing>
      </w:r>
    </w:p>
    <w:p w14:paraId="29C1125E">
      <w:pPr>
        <w:spacing w:line="240" w:lineRule="auto"/>
        <w:ind w:left="0" w:leftChars="0" w:firstLine="0" w:firstLineChars="0"/>
      </w:pPr>
      <w:r>
        <w:drawing>
          <wp:inline distT="0" distB="0" distL="114300" distR="114300">
            <wp:extent cx="5688330" cy="8248650"/>
            <wp:effectExtent l="0" t="0" r="7620" b="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26"/>
                    <a:stretch>
                      <a:fillRect/>
                    </a:stretch>
                  </pic:blipFill>
                  <pic:spPr>
                    <a:xfrm>
                      <a:off x="0" y="0"/>
                      <a:ext cx="5688330" cy="8248650"/>
                    </a:xfrm>
                    <a:prstGeom prst="rect">
                      <a:avLst/>
                    </a:prstGeom>
                    <a:noFill/>
                    <a:ln>
                      <a:noFill/>
                    </a:ln>
                  </pic:spPr>
                </pic:pic>
              </a:graphicData>
            </a:graphic>
          </wp:inline>
        </w:drawing>
      </w:r>
    </w:p>
    <w:p w14:paraId="3A21F9DA">
      <w:pPr>
        <w:spacing w:line="240" w:lineRule="auto"/>
        <w:ind w:left="0" w:leftChars="0" w:firstLine="0" w:firstLineChars="0"/>
        <w:rPr>
          <w:rFonts w:hint="eastAsia"/>
          <w:lang w:val="en-US" w:eastAsia="zh-CN"/>
        </w:rPr>
      </w:pPr>
      <w:r>
        <w:drawing>
          <wp:inline distT="0" distB="0" distL="114300" distR="114300">
            <wp:extent cx="5688330" cy="6537960"/>
            <wp:effectExtent l="0" t="0" r="7620" b="1524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27"/>
                    <a:stretch>
                      <a:fillRect/>
                    </a:stretch>
                  </pic:blipFill>
                  <pic:spPr>
                    <a:xfrm>
                      <a:off x="0" y="0"/>
                      <a:ext cx="5688330" cy="6537960"/>
                    </a:xfrm>
                    <a:prstGeom prst="rect">
                      <a:avLst/>
                    </a:prstGeom>
                    <a:noFill/>
                    <a:ln>
                      <a:noFill/>
                    </a:ln>
                  </pic:spPr>
                </pic:pic>
              </a:graphicData>
            </a:graphic>
          </wp:inline>
        </w:drawing>
      </w:r>
    </w:p>
    <w:p w14:paraId="4CEF447D">
      <w:pPr>
        <w:spacing w:line="600" w:lineRule="exact"/>
        <w:ind w:left="0" w:leftChars="0" w:firstLine="0" w:firstLineChars="0"/>
        <w:rPr>
          <w:rFonts w:hint="eastAsia" w:ascii="仿宋_GB2312" w:hAnsi="仿宋_GB2312" w:eastAsia="仿宋_GB2312" w:cs="仿宋_GB2312"/>
          <w:sz w:val="32"/>
          <w:szCs w:val="32"/>
          <w:lang w:val="en-US" w:eastAsia="zh-CN"/>
        </w:rPr>
      </w:pPr>
    </w:p>
    <w:p w14:paraId="4B77FC41">
      <w:pPr>
        <w:spacing w:line="600" w:lineRule="exact"/>
        <w:ind w:left="0" w:leftChars="0" w:firstLine="0" w:firstLineChars="0"/>
        <w:rPr>
          <w:rFonts w:hint="eastAsia" w:ascii="仿宋_GB2312" w:hAnsi="仿宋_GB2312" w:eastAsia="仿宋_GB2312" w:cs="仿宋_GB2312"/>
          <w:sz w:val="32"/>
          <w:szCs w:val="32"/>
          <w:lang w:val="en-US" w:eastAsia="zh-CN"/>
        </w:rPr>
      </w:pPr>
    </w:p>
    <w:p w14:paraId="182017EE">
      <w:pPr>
        <w:spacing w:line="600" w:lineRule="exact"/>
        <w:ind w:left="0" w:leftChars="0" w:firstLine="0" w:firstLineChars="0"/>
        <w:rPr>
          <w:rFonts w:hint="eastAsia" w:ascii="仿宋_GB2312" w:hAnsi="仿宋_GB2312" w:eastAsia="仿宋_GB2312" w:cs="仿宋_GB2312"/>
          <w:sz w:val="32"/>
          <w:szCs w:val="32"/>
          <w:lang w:val="en-US" w:eastAsia="zh-CN"/>
        </w:rPr>
      </w:pPr>
    </w:p>
    <w:p w14:paraId="62A02D36">
      <w:pPr>
        <w:spacing w:line="600" w:lineRule="exact"/>
        <w:ind w:left="0" w:leftChars="0" w:firstLine="0" w:firstLineChars="0"/>
        <w:rPr>
          <w:rFonts w:hint="eastAsia" w:ascii="仿宋_GB2312" w:hAnsi="仿宋_GB2312" w:eastAsia="仿宋_GB2312" w:cs="仿宋_GB2312"/>
          <w:sz w:val="32"/>
          <w:szCs w:val="32"/>
          <w:lang w:val="en-US" w:eastAsia="zh-CN"/>
        </w:rPr>
      </w:pPr>
    </w:p>
    <w:p w14:paraId="20A54B62">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八、一般公共预算项目支出预算表（公开表 3-2）</w:t>
      </w:r>
    </w:p>
    <w:p w14:paraId="237868A7">
      <w:pPr>
        <w:widowControl w:val="0"/>
        <w:numPr>
          <w:ilvl w:val="0"/>
          <w:numId w:val="0"/>
        </w:numPr>
        <w:spacing w:line="240" w:lineRule="auto"/>
        <w:jc w:val="left"/>
      </w:pPr>
      <w:r>
        <w:drawing>
          <wp:inline distT="0" distB="0" distL="114300" distR="114300">
            <wp:extent cx="5692140" cy="7828915"/>
            <wp:effectExtent l="0" t="0" r="3810" b="635"/>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28"/>
                    <a:stretch>
                      <a:fillRect/>
                    </a:stretch>
                  </pic:blipFill>
                  <pic:spPr>
                    <a:xfrm>
                      <a:off x="0" y="0"/>
                      <a:ext cx="5692140" cy="7828915"/>
                    </a:xfrm>
                    <a:prstGeom prst="rect">
                      <a:avLst/>
                    </a:prstGeom>
                    <a:noFill/>
                    <a:ln>
                      <a:noFill/>
                    </a:ln>
                  </pic:spPr>
                </pic:pic>
              </a:graphicData>
            </a:graphic>
          </wp:inline>
        </w:drawing>
      </w:r>
    </w:p>
    <w:p w14:paraId="063F94D2">
      <w:pPr>
        <w:widowControl w:val="0"/>
        <w:numPr>
          <w:ilvl w:val="0"/>
          <w:numId w:val="0"/>
        </w:numPr>
        <w:spacing w:line="240" w:lineRule="auto"/>
        <w:jc w:val="left"/>
        <w:rPr>
          <w:rFonts w:hint="eastAsia"/>
          <w:lang w:val="en-US" w:eastAsia="zh-CN"/>
        </w:rPr>
      </w:pPr>
      <w:r>
        <w:drawing>
          <wp:inline distT="0" distB="0" distL="114300" distR="114300">
            <wp:extent cx="5692140" cy="3324225"/>
            <wp:effectExtent l="0" t="0" r="3810" b="9525"/>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29"/>
                    <a:stretch>
                      <a:fillRect/>
                    </a:stretch>
                  </pic:blipFill>
                  <pic:spPr>
                    <a:xfrm>
                      <a:off x="0" y="0"/>
                      <a:ext cx="5692140" cy="3324225"/>
                    </a:xfrm>
                    <a:prstGeom prst="rect">
                      <a:avLst/>
                    </a:prstGeom>
                    <a:noFill/>
                    <a:ln>
                      <a:noFill/>
                    </a:ln>
                  </pic:spPr>
                </pic:pic>
              </a:graphicData>
            </a:graphic>
          </wp:inline>
        </w:drawing>
      </w:r>
    </w:p>
    <w:p w14:paraId="5D6CEDAC">
      <w:pPr>
        <w:widowControl w:val="0"/>
        <w:numPr>
          <w:ilvl w:val="0"/>
          <w:numId w:val="0"/>
        </w:numPr>
        <w:spacing w:line="600" w:lineRule="exact"/>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九、一般公共预算“三公”经费支出预算表（公开表 3-3）</w:t>
      </w:r>
    </w:p>
    <w:p w14:paraId="0A8EC33D">
      <w:pPr>
        <w:widowControl w:val="0"/>
        <w:numPr>
          <w:ilvl w:val="0"/>
          <w:numId w:val="0"/>
        </w:numPr>
        <w:spacing w:line="240" w:lineRule="auto"/>
        <w:jc w:val="left"/>
      </w:pPr>
      <w:r>
        <w:drawing>
          <wp:inline distT="0" distB="0" distL="114300" distR="114300">
            <wp:extent cx="5691505" cy="3251200"/>
            <wp:effectExtent l="0" t="0" r="444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5691505" cy="3251200"/>
                    </a:xfrm>
                    <a:prstGeom prst="rect">
                      <a:avLst/>
                    </a:prstGeom>
                    <a:noFill/>
                    <a:ln>
                      <a:noFill/>
                    </a:ln>
                  </pic:spPr>
                </pic:pic>
              </a:graphicData>
            </a:graphic>
          </wp:inline>
        </w:drawing>
      </w:r>
    </w:p>
    <w:p w14:paraId="1D1E9FA1">
      <w:pPr>
        <w:widowControl w:val="0"/>
        <w:numPr>
          <w:ilvl w:val="0"/>
          <w:numId w:val="0"/>
        </w:numPr>
        <w:spacing w:line="240" w:lineRule="auto"/>
        <w:jc w:val="left"/>
      </w:pPr>
    </w:p>
    <w:p w14:paraId="59746FAA">
      <w:pPr>
        <w:widowControl w:val="0"/>
        <w:numPr>
          <w:ilvl w:val="0"/>
          <w:numId w:val="0"/>
        </w:numPr>
        <w:spacing w:line="240" w:lineRule="auto"/>
        <w:jc w:val="left"/>
      </w:pPr>
    </w:p>
    <w:p w14:paraId="3304CB82">
      <w:pPr>
        <w:widowControl w:val="0"/>
        <w:numPr>
          <w:ilvl w:val="0"/>
          <w:numId w:val="0"/>
        </w:numPr>
        <w:spacing w:line="240" w:lineRule="auto"/>
        <w:jc w:val="left"/>
        <w:rPr>
          <w:rFonts w:hint="eastAsia"/>
          <w:lang w:val="en-US" w:eastAsia="zh-CN"/>
        </w:rPr>
      </w:pPr>
    </w:p>
    <w:p w14:paraId="5521E96C">
      <w:pPr>
        <w:widowControl w:val="0"/>
        <w:numPr>
          <w:ilvl w:val="0"/>
          <w:numId w:val="0"/>
        </w:numPr>
        <w:spacing w:line="600" w:lineRule="exact"/>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十、政府性基金预算支出表（公开表 4）</w:t>
      </w:r>
    </w:p>
    <w:p w14:paraId="7C520BFB">
      <w:pPr>
        <w:widowControl w:val="0"/>
        <w:numPr>
          <w:ilvl w:val="0"/>
          <w:numId w:val="0"/>
        </w:numPr>
        <w:spacing w:line="240" w:lineRule="auto"/>
        <w:jc w:val="left"/>
        <w:rPr>
          <w:rFonts w:hint="eastAsia" w:ascii="仿宋_GB2312" w:hAnsi="仿宋_GB2312" w:eastAsia="仿宋_GB2312" w:cs="仿宋_GB2312"/>
          <w:sz w:val="32"/>
          <w:szCs w:val="32"/>
          <w:lang w:val="en-US" w:eastAsia="zh-CN"/>
        </w:rPr>
      </w:pPr>
      <w:r>
        <w:drawing>
          <wp:inline distT="0" distB="0" distL="114300" distR="114300">
            <wp:extent cx="5689600" cy="1492250"/>
            <wp:effectExtent l="0" t="0" r="6350" b="1270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1"/>
                    <a:stretch>
                      <a:fillRect/>
                    </a:stretch>
                  </pic:blipFill>
                  <pic:spPr>
                    <a:xfrm>
                      <a:off x="0" y="0"/>
                      <a:ext cx="5689600" cy="1492250"/>
                    </a:xfrm>
                    <a:prstGeom prst="rect">
                      <a:avLst/>
                    </a:prstGeom>
                    <a:noFill/>
                    <a:ln>
                      <a:noFill/>
                    </a:ln>
                  </pic:spPr>
                </pic:pic>
              </a:graphicData>
            </a:graphic>
          </wp:inline>
        </w:drawing>
      </w:r>
    </w:p>
    <w:p w14:paraId="5835508F">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十一、政府性基金预算“三公”经费支出预算表（公开4-1表）</w:t>
      </w:r>
    </w:p>
    <w:p w14:paraId="0028704D">
      <w:pPr>
        <w:widowControl w:val="0"/>
        <w:numPr>
          <w:ilvl w:val="0"/>
          <w:numId w:val="0"/>
        </w:numPr>
        <w:spacing w:line="240" w:lineRule="auto"/>
        <w:jc w:val="left"/>
        <w:rPr>
          <w:rFonts w:hint="eastAsia" w:ascii="仿宋_GB2312" w:hAnsi="仿宋_GB2312" w:eastAsia="仿宋_GB2312" w:cs="仿宋_GB2312"/>
          <w:sz w:val="32"/>
          <w:szCs w:val="32"/>
          <w:lang w:val="en-US" w:eastAsia="zh-CN"/>
        </w:rPr>
      </w:pPr>
      <w:r>
        <w:drawing>
          <wp:inline distT="0" distB="0" distL="114300" distR="114300">
            <wp:extent cx="5691505" cy="1071245"/>
            <wp:effectExtent l="0" t="0" r="4445" b="146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2"/>
                    <a:stretch>
                      <a:fillRect/>
                    </a:stretch>
                  </pic:blipFill>
                  <pic:spPr>
                    <a:xfrm>
                      <a:off x="0" y="0"/>
                      <a:ext cx="5691505" cy="1071245"/>
                    </a:xfrm>
                    <a:prstGeom prst="rect">
                      <a:avLst/>
                    </a:prstGeom>
                    <a:noFill/>
                    <a:ln>
                      <a:noFill/>
                    </a:ln>
                  </pic:spPr>
                </pic:pic>
              </a:graphicData>
            </a:graphic>
          </wp:inline>
        </w:drawing>
      </w:r>
    </w:p>
    <w:p w14:paraId="06F262B9">
      <w:pPr>
        <w:widowControl w:val="0"/>
        <w:numPr>
          <w:ilvl w:val="0"/>
          <w:numId w:val="0"/>
        </w:numPr>
        <w:spacing w:line="600" w:lineRule="exact"/>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十二、国有资本经营预算支出表（公开表 5）</w:t>
      </w:r>
    </w:p>
    <w:p w14:paraId="53088E2E">
      <w:pPr>
        <w:widowControl w:val="0"/>
        <w:numPr>
          <w:ilvl w:val="0"/>
          <w:numId w:val="0"/>
        </w:numPr>
        <w:spacing w:line="240" w:lineRule="auto"/>
        <w:jc w:val="left"/>
        <w:rPr>
          <w:rFonts w:hint="eastAsia" w:ascii="仿宋_GB2312" w:hAnsi="仿宋_GB2312" w:eastAsia="仿宋_GB2312" w:cs="仿宋_GB2312"/>
          <w:sz w:val="32"/>
          <w:szCs w:val="32"/>
          <w:lang w:val="en-US" w:eastAsia="zh-CN"/>
        </w:rPr>
      </w:pPr>
      <w:r>
        <w:drawing>
          <wp:inline distT="0" distB="0" distL="114300" distR="114300">
            <wp:extent cx="5689600" cy="1492250"/>
            <wp:effectExtent l="0" t="0" r="6350" b="1270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3"/>
                    <a:stretch>
                      <a:fillRect/>
                    </a:stretch>
                  </pic:blipFill>
                  <pic:spPr>
                    <a:xfrm>
                      <a:off x="0" y="0"/>
                      <a:ext cx="5689600" cy="1492250"/>
                    </a:xfrm>
                    <a:prstGeom prst="rect">
                      <a:avLst/>
                    </a:prstGeom>
                    <a:noFill/>
                    <a:ln>
                      <a:noFill/>
                    </a:ln>
                  </pic:spPr>
                </pic:pic>
              </a:graphicData>
            </a:graphic>
          </wp:inline>
        </w:drawing>
      </w:r>
    </w:p>
    <w:p w14:paraId="53C677E9">
      <w:pPr>
        <w:widowControl w:val="0"/>
        <w:numPr>
          <w:ilvl w:val="0"/>
          <w:numId w:val="0"/>
        </w:numPr>
        <w:spacing w:line="600" w:lineRule="exact"/>
        <w:jc w:val="left"/>
        <w:rPr>
          <w:rFonts w:hint="eastAsia" w:ascii="仿宋_GB2312" w:hAnsi="仿宋_GB2312" w:eastAsia="仿宋_GB2312" w:cs="仿宋_GB2312"/>
          <w:sz w:val="32"/>
          <w:szCs w:val="32"/>
          <w:lang w:val="en-US" w:eastAsia="zh-CN"/>
        </w:rPr>
      </w:pPr>
    </w:p>
    <w:p w14:paraId="01298CE8">
      <w:pPr>
        <w:widowControl w:val="0"/>
        <w:numPr>
          <w:ilvl w:val="0"/>
          <w:numId w:val="0"/>
        </w:numPr>
        <w:spacing w:line="600" w:lineRule="exact"/>
        <w:jc w:val="left"/>
        <w:rPr>
          <w:rFonts w:hint="eastAsia" w:ascii="仿宋_GB2312" w:hAnsi="仿宋_GB2312" w:eastAsia="仿宋_GB2312" w:cs="仿宋_GB2312"/>
          <w:sz w:val="32"/>
          <w:szCs w:val="32"/>
          <w:lang w:val="en-US" w:eastAsia="zh-CN"/>
        </w:rPr>
      </w:pPr>
    </w:p>
    <w:p w14:paraId="5A7A89FB">
      <w:pPr>
        <w:widowControl w:val="0"/>
        <w:numPr>
          <w:ilvl w:val="0"/>
          <w:numId w:val="0"/>
        </w:numPr>
        <w:spacing w:line="600" w:lineRule="exact"/>
        <w:jc w:val="left"/>
        <w:rPr>
          <w:rFonts w:hint="eastAsia" w:ascii="仿宋_GB2312" w:hAnsi="仿宋_GB2312" w:eastAsia="仿宋_GB2312" w:cs="仿宋_GB2312"/>
          <w:sz w:val="32"/>
          <w:szCs w:val="32"/>
          <w:lang w:val="en-US" w:eastAsia="zh-CN"/>
        </w:rPr>
      </w:pPr>
    </w:p>
    <w:p w14:paraId="0BCA329A">
      <w:pPr>
        <w:widowControl w:val="0"/>
        <w:numPr>
          <w:ilvl w:val="0"/>
          <w:numId w:val="0"/>
        </w:numPr>
        <w:spacing w:line="600" w:lineRule="exact"/>
        <w:jc w:val="left"/>
        <w:rPr>
          <w:rFonts w:hint="eastAsia" w:ascii="仿宋_GB2312" w:hAnsi="仿宋_GB2312" w:eastAsia="仿宋_GB2312" w:cs="仿宋_GB2312"/>
          <w:sz w:val="32"/>
          <w:szCs w:val="32"/>
          <w:lang w:val="en-US" w:eastAsia="zh-CN"/>
        </w:rPr>
      </w:pPr>
    </w:p>
    <w:p w14:paraId="3B602CD3">
      <w:pPr>
        <w:widowControl w:val="0"/>
        <w:numPr>
          <w:ilvl w:val="0"/>
          <w:numId w:val="0"/>
        </w:numPr>
        <w:spacing w:line="600" w:lineRule="exact"/>
        <w:jc w:val="left"/>
        <w:rPr>
          <w:rFonts w:hint="eastAsia" w:ascii="仿宋_GB2312" w:hAnsi="仿宋_GB2312" w:eastAsia="仿宋_GB2312" w:cs="仿宋_GB2312"/>
          <w:sz w:val="32"/>
          <w:szCs w:val="32"/>
          <w:lang w:val="en-US" w:eastAsia="zh-CN"/>
        </w:rPr>
      </w:pPr>
    </w:p>
    <w:p w14:paraId="364F94FB">
      <w:pPr>
        <w:widowControl w:val="0"/>
        <w:numPr>
          <w:ilvl w:val="0"/>
          <w:numId w:val="0"/>
        </w:numPr>
        <w:spacing w:line="600" w:lineRule="exact"/>
        <w:jc w:val="left"/>
        <w:rPr>
          <w:rFonts w:hint="eastAsia" w:ascii="仿宋_GB2312" w:hAnsi="仿宋_GB2312" w:eastAsia="仿宋_GB2312" w:cs="仿宋_GB2312"/>
          <w:sz w:val="32"/>
          <w:szCs w:val="32"/>
          <w:lang w:val="en-US" w:eastAsia="zh-CN"/>
        </w:rPr>
      </w:pPr>
    </w:p>
    <w:p w14:paraId="37D53634">
      <w:pPr>
        <w:widowControl w:val="0"/>
        <w:numPr>
          <w:ilvl w:val="0"/>
          <w:numId w:val="0"/>
        </w:numPr>
        <w:spacing w:line="600" w:lineRule="exact"/>
        <w:jc w:val="left"/>
        <w:rPr>
          <w:rFonts w:hint="eastAsia" w:ascii="仿宋_GB2312" w:hAnsi="仿宋_GB2312" w:eastAsia="仿宋_GB2312" w:cs="仿宋_GB2312"/>
          <w:sz w:val="32"/>
          <w:szCs w:val="32"/>
          <w:lang w:val="en-US" w:eastAsia="zh-CN"/>
        </w:rPr>
      </w:pPr>
    </w:p>
    <w:p w14:paraId="7BBE924B">
      <w:pPr>
        <w:widowControl w:val="0"/>
        <w:numPr>
          <w:ilvl w:val="0"/>
          <w:numId w:val="0"/>
        </w:numPr>
        <w:spacing w:line="600" w:lineRule="exact"/>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十三、部门预算项目支出绩效目标表（公开表 6）</w:t>
      </w:r>
    </w:p>
    <w:p w14:paraId="0025DF61">
      <w:pPr>
        <w:widowControl w:val="0"/>
        <w:numPr>
          <w:ilvl w:val="0"/>
          <w:numId w:val="0"/>
        </w:numPr>
        <w:spacing w:line="240" w:lineRule="auto"/>
        <w:jc w:val="left"/>
      </w:pPr>
      <w:r>
        <w:drawing>
          <wp:inline distT="0" distB="0" distL="114300" distR="114300">
            <wp:extent cx="5685790" cy="7548880"/>
            <wp:effectExtent l="0" t="0" r="10160" b="1397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34"/>
                    <a:stretch>
                      <a:fillRect/>
                    </a:stretch>
                  </pic:blipFill>
                  <pic:spPr>
                    <a:xfrm>
                      <a:off x="0" y="0"/>
                      <a:ext cx="5685790" cy="7548880"/>
                    </a:xfrm>
                    <a:prstGeom prst="rect">
                      <a:avLst/>
                    </a:prstGeom>
                    <a:noFill/>
                    <a:ln>
                      <a:noFill/>
                    </a:ln>
                  </pic:spPr>
                </pic:pic>
              </a:graphicData>
            </a:graphic>
          </wp:inline>
        </w:drawing>
      </w:r>
    </w:p>
    <w:p w14:paraId="111D6987">
      <w:pPr>
        <w:widowControl w:val="0"/>
        <w:numPr>
          <w:ilvl w:val="0"/>
          <w:numId w:val="0"/>
        </w:numPr>
        <w:spacing w:line="240" w:lineRule="auto"/>
        <w:jc w:val="left"/>
        <w:rPr>
          <w:rFonts w:hint="eastAsia"/>
          <w:lang w:val="en-US" w:eastAsia="zh-CN"/>
        </w:rPr>
      </w:pPr>
    </w:p>
    <w:p w14:paraId="2C6D87DF">
      <w:pPr>
        <w:widowControl w:val="0"/>
        <w:numPr>
          <w:ilvl w:val="0"/>
          <w:numId w:val="0"/>
        </w:numPr>
        <w:spacing w:line="600" w:lineRule="exact"/>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十四、部门整体支出绩效目标表（公开表 7）</w:t>
      </w:r>
    </w:p>
    <w:p w14:paraId="4B171B77">
      <w:pPr>
        <w:widowControl w:val="0"/>
        <w:numPr>
          <w:ilvl w:val="0"/>
          <w:numId w:val="0"/>
        </w:numPr>
        <w:spacing w:line="240" w:lineRule="auto"/>
        <w:jc w:val="left"/>
      </w:pPr>
      <w:r>
        <w:drawing>
          <wp:inline distT="0" distB="0" distL="114300" distR="114300">
            <wp:extent cx="5688965" cy="7025005"/>
            <wp:effectExtent l="0" t="0" r="6985" b="444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35"/>
                    <a:stretch>
                      <a:fillRect/>
                    </a:stretch>
                  </pic:blipFill>
                  <pic:spPr>
                    <a:xfrm>
                      <a:off x="0" y="0"/>
                      <a:ext cx="5688965" cy="7025005"/>
                    </a:xfrm>
                    <a:prstGeom prst="rect">
                      <a:avLst/>
                    </a:prstGeom>
                    <a:noFill/>
                    <a:ln>
                      <a:noFill/>
                    </a:ln>
                  </pic:spPr>
                </pic:pic>
              </a:graphicData>
            </a:graphic>
          </wp:inline>
        </w:drawing>
      </w:r>
    </w:p>
    <w:p w14:paraId="0B769A1C">
      <w:pPr>
        <w:widowControl w:val="0"/>
        <w:numPr>
          <w:ilvl w:val="0"/>
          <w:numId w:val="0"/>
        </w:numPr>
        <w:spacing w:line="240" w:lineRule="auto"/>
        <w:jc w:val="left"/>
      </w:pPr>
    </w:p>
    <w:p w14:paraId="47E2C228">
      <w:pPr>
        <w:widowControl w:val="0"/>
        <w:numPr>
          <w:ilvl w:val="0"/>
          <w:numId w:val="0"/>
        </w:numPr>
        <w:spacing w:line="240" w:lineRule="auto"/>
        <w:jc w:val="left"/>
        <w:rPr>
          <w:rFonts w:hint="eastAsia"/>
          <w:lang w:val="en-US" w:eastAsia="zh-CN"/>
        </w:rPr>
      </w:pPr>
    </w:p>
    <w:p w14:paraId="3C7151DA">
      <w:pPr>
        <w:numPr>
          <w:ilvl w:val="0"/>
          <w:numId w:val="0"/>
        </w:numPr>
        <w:spacing w:line="600" w:lineRule="exact"/>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十五、政府采购预算表（公开表 8）</w:t>
      </w:r>
    </w:p>
    <w:p w14:paraId="3AAA7A42">
      <w:pPr>
        <w:numPr>
          <w:ilvl w:val="0"/>
          <w:numId w:val="0"/>
        </w:numPr>
        <w:ind w:leftChars="0"/>
        <w:jc w:val="both"/>
      </w:pPr>
      <w:r>
        <w:drawing>
          <wp:inline distT="0" distB="0" distL="114300" distR="114300">
            <wp:extent cx="5691505" cy="2160905"/>
            <wp:effectExtent l="0" t="0" r="4445" b="1079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36"/>
                    <a:stretch>
                      <a:fillRect/>
                    </a:stretch>
                  </pic:blipFill>
                  <pic:spPr>
                    <a:xfrm>
                      <a:off x="0" y="0"/>
                      <a:ext cx="5691505" cy="2160905"/>
                    </a:xfrm>
                    <a:prstGeom prst="rect">
                      <a:avLst/>
                    </a:prstGeom>
                    <a:noFill/>
                    <a:ln>
                      <a:noFill/>
                    </a:ln>
                  </pic:spPr>
                </pic:pic>
              </a:graphicData>
            </a:graphic>
          </wp:inline>
        </w:drawing>
      </w:r>
    </w:p>
    <w:p w14:paraId="4A13A04F">
      <w:pPr>
        <w:numPr>
          <w:ilvl w:val="0"/>
          <w:numId w:val="0"/>
        </w:numPr>
        <w:ind w:leftChars="0"/>
        <w:jc w:val="both"/>
      </w:pPr>
    </w:p>
    <w:p w14:paraId="628560F4">
      <w:pPr>
        <w:numPr>
          <w:ilvl w:val="0"/>
          <w:numId w:val="0"/>
        </w:numPr>
        <w:ind w:leftChars="0"/>
        <w:jc w:val="both"/>
      </w:pPr>
    </w:p>
    <w:p w14:paraId="508C919C">
      <w:pPr>
        <w:numPr>
          <w:ilvl w:val="0"/>
          <w:numId w:val="0"/>
        </w:numPr>
        <w:ind w:leftChars="0"/>
        <w:jc w:val="both"/>
      </w:pPr>
    </w:p>
    <w:p w14:paraId="46C1609B">
      <w:pPr>
        <w:numPr>
          <w:ilvl w:val="0"/>
          <w:numId w:val="0"/>
        </w:numPr>
        <w:ind w:leftChars="0"/>
        <w:jc w:val="both"/>
      </w:pPr>
    </w:p>
    <w:p w14:paraId="5B63255F">
      <w:pPr>
        <w:numPr>
          <w:ilvl w:val="0"/>
          <w:numId w:val="0"/>
        </w:numPr>
        <w:ind w:leftChars="0"/>
        <w:jc w:val="both"/>
      </w:pPr>
    </w:p>
    <w:p w14:paraId="4A8A1BC3">
      <w:pPr>
        <w:numPr>
          <w:ilvl w:val="0"/>
          <w:numId w:val="0"/>
        </w:numPr>
        <w:ind w:leftChars="0"/>
        <w:jc w:val="both"/>
      </w:pPr>
    </w:p>
    <w:p w14:paraId="2FFDEB2E">
      <w:pPr>
        <w:numPr>
          <w:ilvl w:val="0"/>
          <w:numId w:val="0"/>
        </w:numPr>
        <w:ind w:leftChars="0"/>
        <w:jc w:val="both"/>
      </w:pPr>
    </w:p>
    <w:p w14:paraId="5689EC9F">
      <w:pPr>
        <w:numPr>
          <w:ilvl w:val="0"/>
          <w:numId w:val="0"/>
        </w:numPr>
        <w:ind w:leftChars="0"/>
        <w:jc w:val="both"/>
      </w:pPr>
    </w:p>
    <w:p w14:paraId="0456F67C">
      <w:pPr>
        <w:numPr>
          <w:ilvl w:val="0"/>
          <w:numId w:val="0"/>
        </w:numPr>
        <w:ind w:leftChars="0"/>
        <w:jc w:val="both"/>
      </w:pPr>
    </w:p>
    <w:p w14:paraId="0CA62AD1">
      <w:pPr>
        <w:numPr>
          <w:ilvl w:val="0"/>
          <w:numId w:val="0"/>
        </w:numPr>
        <w:ind w:leftChars="0"/>
        <w:jc w:val="both"/>
      </w:pPr>
    </w:p>
    <w:p w14:paraId="1AD42CED">
      <w:pPr>
        <w:numPr>
          <w:ilvl w:val="0"/>
          <w:numId w:val="0"/>
        </w:numPr>
        <w:ind w:leftChars="0"/>
        <w:jc w:val="both"/>
      </w:pPr>
    </w:p>
    <w:p w14:paraId="261C2DC9">
      <w:pPr>
        <w:numPr>
          <w:ilvl w:val="0"/>
          <w:numId w:val="0"/>
        </w:numPr>
        <w:ind w:leftChars="0"/>
        <w:jc w:val="both"/>
      </w:pPr>
    </w:p>
    <w:p w14:paraId="52A914FF">
      <w:pPr>
        <w:numPr>
          <w:ilvl w:val="0"/>
          <w:numId w:val="0"/>
        </w:numPr>
        <w:ind w:leftChars="0"/>
        <w:jc w:val="both"/>
      </w:pPr>
    </w:p>
    <w:p w14:paraId="2BED869C">
      <w:pPr>
        <w:numPr>
          <w:ilvl w:val="0"/>
          <w:numId w:val="0"/>
        </w:numPr>
        <w:ind w:leftChars="0"/>
        <w:jc w:val="both"/>
      </w:pPr>
    </w:p>
    <w:p w14:paraId="412E0BA6">
      <w:pPr>
        <w:numPr>
          <w:ilvl w:val="0"/>
          <w:numId w:val="0"/>
        </w:numPr>
        <w:ind w:leftChars="0"/>
        <w:jc w:val="both"/>
      </w:pPr>
    </w:p>
    <w:p w14:paraId="06F884B2">
      <w:pPr>
        <w:numPr>
          <w:ilvl w:val="0"/>
          <w:numId w:val="0"/>
        </w:numPr>
        <w:ind w:leftChars="0"/>
        <w:jc w:val="both"/>
        <w:rPr>
          <w:rFonts w:hint="eastAsia"/>
          <w:lang w:val="en-US" w:eastAsia="zh-CN"/>
        </w:rPr>
      </w:pPr>
    </w:p>
    <w:p w14:paraId="30DA47C4">
      <w:pPr>
        <w:pStyle w:val="2"/>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第三部分  峨边彝族自治县卫生健康局</w:t>
      </w:r>
    </w:p>
    <w:p w14:paraId="7F975BF5">
      <w:pPr>
        <w:pStyle w:val="3"/>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2026年部门预算情况说明</w:t>
      </w:r>
    </w:p>
    <w:p w14:paraId="7AC08D83">
      <w:pPr>
        <w:numPr>
          <w:ilvl w:val="0"/>
          <w:numId w:val="0"/>
        </w:numPr>
        <w:jc w:val="center"/>
        <w:rPr>
          <w:rFonts w:hint="default"/>
          <w:b/>
          <w:bCs/>
          <w:sz w:val="52"/>
          <w:szCs w:val="52"/>
          <w:lang w:val="en-US" w:eastAsia="zh-CN"/>
        </w:rPr>
      </w:pPr>
    </w:p>
    <w:p w14:paraId="245F5656">
      <w:pPr>
        <w:numPr>
          <w:ilvl w:val="0"/>
          <w:numId w:val="0"/>
        </w:numPr>
        <w:spacing w:line="600" w:lineRule="exact"/>
        <w:rPr>
          <w:rFonts w:hint="eastAsia" w:ascii="仿宋" w:hAnsi="仿宋" w:eastAsia="仿宋" w:cs="Times New Roman"/>
          <w:sz w:val="32"/>
          <w:szCs w:val="32"/>
          <w:lang w:val="en-US" w:eastAsia="zh-CN"/>
        </w:rPr>
      </w:pPr>
    </w:p>
    <w:p w14:paraId="2B5D1E88">
      <w:pPr>
        <w:numPr>
          <w:ilvl w:val="0"/>
          <w:numId w:val="0"/>
        </w:numPr>
        <w:spacing w:line="600" w:lineRule="exact"/>
        <w:rPr>
          <w:rFonts w:hint="eastAsia" w:ascii="仿宋" w:hAnsi="仿宋" w:eastAsia="仿宋" w:cs="Times New Roman"/>
          <w:sz w:val="32"/>
          <w:szCs w:val="32"/>
          <w:lang w:val="en-US" w:eastAsia="zh-CN"/>
        </w:rPr>
      </w:pPr>
    </w:p>
    <w:p w14:paraId="7F4973F6">
      <w:pPr>
        <w:numPr>
          <w:ilvl w:val="0"/>
          <w:numId w:val="0"/>
        </w:numPr>
        <w:spacing w:line="600" w:lineRule="exact"/>
        <w:rPr>
          <w:rFonts w:hint="eastAsia" w:ascii="仿宋" w:hAnsi="仿宋" w:eastAsia="仿宋" w:cs="Times New Roman"/>
          <w:sz w:val="32"/>
          <w:szCs w:val="32"/>
          <w:lang w:val="en-US" w:eastAsia="zh-CN"/>
        </w:rPr>
      </w:pPr>
    </w:p>
    <w:p w14:paraId="7E845951">
      <w:pPr>
        <w:numPr>
          <w:ilvl w:val="0"/>
          <w:numId w:val="0"/>
        </w:numPr>
        <w:spacing w:line="600" w:lineRule="exact"/>
        <w:rPr>
          <w:rFonts w:hint="eastAsia" w:ascii="仿宋" w:hAnsi="仿宋" w:eastAsia="仿宋" w:cs="Times New Roman"/>
          <w:sz w:val="32"/>
          <w:szCs w:val="32"/>
          <w:lang w:val="en-US" w:eastAsia="zh-CN"/>
        </w:rPr>
      </w:pPr>
    </w:p>
    <w:p w14:paraId="2479626D">
      <w:pPr>
        <w:numPr>
          <w:ilvl w:val="0"/>
          <w:numId w:val="0"/>
        </w:numPr>
        <w:jc w:val="center"/>
        <w:rPr>
          <w:rFonts w:hint="default"/>
          <w:b/>
          <w:bCs/>
          <w:sz w:val="52"/>
          <w:szCs w:val="52"/>
          <w:lang w:val="en-US" w:eastAsia="zh-CN"/>
        </w:rPr>
      </w:pPr>
    </w:p>
    <w:p w14:paraId="0AF2D6BA">
      <w:pPr>
        <w:numPr>
          <w:ilvl w:val="0"/>
          <w:numId w:val="0"/>
        </w:numPr>
        <w:jc w:val="center"/>
        <w:rPr>
          <w:rFonts w:hint="default"/>
          <w:b/>
          <w:bCs/>
          <w:sz w:val="52"/>
          <w:szCs w:val="52"/>
          <w:lang w:val="en-US" w:eastAsia="zh-CN"/>
        </w:rPr>
      </w:pPr>
    </w:p>
    <w:p w14:paraId="0168191F">
      <w:pPr>
        <w:pStyle w:val="4"/>
        <w:bidi w:val="0"/>
        <w:rPr>
          <w:rFonts w:hint="eastAsia" w:ascii="黑体" w:hAnsi="黑体" w:eastAsia="黑体" w:cs="黑体"/>
          <w:b w:val="0"/>
          <w:bCs/>
          <w:lang w:val="en-US" w:eastAsia="zh-CN"/>
        </w:rPr>
      </w:pPr>
      <w:r>
        <w:rPr>
          <w:rFonts w:hint="eastAsia" w:ascii="黑体" w:hAnsi="黑体" w:eastAsia="黑体" w:cs="黑体"/>
          <w:b w:val="0"/>
          <w:bCs/>
          <w:lang w:val="en-US" w:eastAsia="zh-CN"/>
        </w:rPr>
        <w:t>一、收支预算情况说明</w:t>
      </w:r>
    </w:p>
    <w:p w14:paraId="68552F99">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按照综合预算的原则，峨边彝族自治县卫生健康局所有收入和支出均纳入部门预算管理。收入包括：一般公共预算拨款收入；支出包括：一般公共服务支出、社会保障和就业支出、卫生健康支出、住房保障支出。</w:t>
      </w:r>
    </w:p>
    <w:p w14:paraId="7C35599E">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kern w:val="0"/>
          <w:sz w:val="32"/>
          <w:szCs w:val="32"/>
          <w:lang w:eastAsia="zh-CN"/>
        </w:rPr>
        <w:t>峨边彝族自治县卫生健康局202</w:t>
      </w:r>
      <w:r>
        <w:rPr>
          <w:rFonts w:hint="eastAsia" w:ascii="Times New Roman" w:hAnsi="Times New Roman" w:eastAsia="仿宋_GB2312" w:cs="仿宋_GB2312"/>
          <w:kern w:val="0"/>
          <w:sz w:val="32"/>
          <w:szCs w:val="32"/>
          <w:lang w:val="en-US" w:eastAsia="zh-CN"/>
        </w:rPr>
        <w:t>6</w:t>
      </w:r>
      <w:r>
        <w:rPr>
          <w:rFonts w:hint="eastAsia" w:ascii="Times New Roman" w:hAnsi="Times New Roman" w:eastAsia="仿宋_GB2312" w:cs="仿宋_GB2312"/>
          <w:kern w:val="0"/>
          <w:sz w:val="32"/>
          <w:szCs w:val="32"/>
          <w:lang w:eastAsia="zh-CN"/>
        </w:rPr>
        <w:t>年收支总预算8344.48万元，比2025年收支预算总数增加1780.93万元</w:t>
      </w:r>
      <w:r>
        <w:rPr>
          <w:rFonts w:hint="eastAsia" w:ascii="Times New Roman" w:hAnsi="Times New Roman" w:eastAsia="仿宋_GB2312" w:cs="仿宋_GB2312"/>
          <w:kern w:val="0"/>
          <w:sz w:val="32"/>
          <w:szCs w:val="32"/>
        </w:rPr>
        <w:t>，主要</w:t>
      </w:r>
      <w:r>
        <w:rPr>
          <w:rFonts w:hint="eastAsia" w:ascii="Times New Roman" w:hAnsi="Times New Roman" w:eastAsia="仿宋_GB2312" w:cs="仿宋_GB2312"/>
          <w:kern w:val="0"/>
          <w:sz w:val="32"/>
          <w:szCs w:val="32"/>
          <w:lang w:eastAsia="zh-CN"/>
        </w:rPr>
        <w:t>原因是</w:t>
      </w:r>
      <w:r>
        <w:rPr>
          <w:rFonts w:hint="eastAsia" w:ascii="Times New Roman" w:hAnsi="Times New Roman" w:eastAsia="仿宋_GB2312" w:cs="仿宋_GB2312"/>
          <w:kern w:val="0"/>
          <w:sz w:val="32"/>
          <w:szCs w:val="32"/>
          <w:lang w:val="en-US" w:eastAsia="zh-CN"/>
        </w:rPr>
        <w:t>2026年育儿补贴、医共体、基药等项目资金预算增加</w:t>
      </w:r>
      <w:r>
        <w:rPr>
          <w:rFonts w:hint="eastAsia" w:ascii="Times New Roman" w:hAnsi="Times New Roman" w:eastAsia="仿宋_GB2312" w:cs="仿宋_GB2312"/>
          <w:kern w:val="0"/>
          <w:sz w:val="32"/>
          <w:szCs w:val="32"/>
        </w:rPr>
        <w:t>。</w:t>
      </w:r>
    </w:p>
    <w:p w14:paraId="6BA7DE67">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（一）收入预算情况</w:t>
      </w:r>
      <w:r>
        <w:rPr>
          <w:rFonts w:hint="eastAsia" w:ascii="Times New Roman" w:hAnsi="Times New Roman" w:eastAsia="楷体_GB2312" w:cs="Times New Roman"/>
          <w:b w:val="0"/>
          <w:bCs/>
          <w:sz w:val="32"/>
          <w:szCs w:val="32"/>
          <w:lang w:eastAsia="zh-CN"/>
        </w:rPr>
        <w:t>。</w:t>
      </w:r>
    </w:p>
    <w:p w14:paraId="6BF329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kern w:val="0"/>
          <w:sz w:val="32"/>
          <w:szCs w:val="32"/>
          <w:lang w:eastAsia="zh-CN"/>
        </w:rPr>
      </w:pPr>
      <w:r>
        <w:rPr>
          <w:rFonts w:hint="eastAsia" w:ascii="Times New Roman" w:hAnsi="Times New Roman" w:eastAsia="仿宋_GB2312" w:cs="仿宋_GB2312"/>
          <w:kern w:val="0"/>
          <w:sz w:val="32"/>
          <w:szCs w:val="32"/>
          <w:lang w:eastAsia="zh-CN"/>
        </w:rPr>
        <w:t>峨边彝族自治县卫生健康局2026年收入预算8344.48万元，其中：上年结转608.87万元，占7.30%；一般公共预算拨款收入7735.61万元，占92.70%；政府性基金预算拨款收入0万元，占0.00%；事业收入0万元，占0.00%。</w:t>
      </w:r>
    </w:p>
    <w:p w14:paraId="69F874FE">
      <w:pPr>
        <w:suppressAutoHyphens/>
        <w:spacing w:line="580" w:lineRule="exact"/>
        <w:ind w:firstLine="640" w:firstLineChars="200"/>
        <w:jc w:val="both"/>
        <w:outlineLvl w:val="2"/>
        <w:rPr>
          <w:rFonts w:hint="default" w:ascii="Times New Roman" w:hAnsi="Times New Roman" w:eastAsia="楷体_GB2312" w:cs="Times New Roman"/>
          <w:b w:val="0"/>
          <w:bCs/>
          <w:sz w:val="32"/>
          <w:szCs w:val="32"/>
          <w:lang w:val="en-US" w:eastAsia="zh-CN"/>
        </w:rPr>
      </w:pPr>
      <w:r>
        <w:rPr>
          <w:rFonts w:hint="eastAsia" w:ascii="Times New Roman" w:hAnsi="Times New Roman" w:eastAsia="楷体_GB2312" w:cs="Times New Roman"/>
          <w:b w:val="0"/>
          <w:bCs/>
          <w:sz w:val="32"/>
          <w:szCs w:val="32"/>
        </w:rPr>
        <w:t>（二）支出预算情况</w:t>
      </w:r>
    </w:p>
    <w:p w14:paraId="041608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kern w:val="0"/>
          <w:sz w:val="32"/>
          <w:szCs w:val="32"/>
          <w:lang w:eastAsia="zh-CN"/>
        </w:rPr>
      </w:pPr>
      <w:r>
        <w:rPr>
          <w:rFonts w:hint="eastAsia" w:ascii="Times New Roman" w:hAnsi="Times New Roman" w:eastAsia="仿宋_GB2312" w:cs="仿宋_GB2312"/>
          <w:kern w:val="0"/>
          <w:sz w:val="32"/>
          <w:szCs w:val="32"/>
          <w:lang w:eastAsia="zh-CN"/>
        </w:rPr>
        <w:t>峨边彝族自治县疾病预防控制中心2026年支出预算8344.48万元，其中：基本支出6450.71万元，占77.31%；项目支出1893.77万元，占22.69%。</w:t>
      </w:r>
    </w:p>
    <w:p w14:paraId="265D2D6B">
      <w:pPr>
        <w:pStyle w:val="4"/>
        <w:bidi w:val="0"/>
        <w:rPr>
          <w:rFonts w:hint="eastAsia" w:ascii="黑体" w:hAnsi="黑体" w:eastAsia="黑体" w:cs="黑体"/>
          <w:b w:val="0"/>
          <w:bCs/>
          <w:lang w:val="en-US" w:eastAsia="zh-CN"/>
        </w:rPr>
      </w:pPr>
      <w:r>
        <w:rPr>
          <w:rFonts w:hint="eastAsia" w:ascii="黑体" w:hAnsi="黑体" w:eastAsia="黑体" w:cs="黑体"/>
          <w:b w:val="0"/>
          <w:bCs/>
          <w:lang w:val="en-US" w:eastAsia="zh-CN"/>
        </w:rPr>
        <w:t>二、财政拨款收支预算情况说明</w:t>
      </w:r>
    </w:p>
    <w:p w14:paraId="4E30F7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kern w:val="0"/>
          <w:sz w:val="32"/>
          <w:szCs w:val="32"/>
          <w:lang w:eastAsia="zh-CN"/>
        </w:rPr>
      </w:pPr>
      <w:r>
        <w:rPr>
          <w:rFonts w:hint="eastAsia" w:ascii="Times New Roman" w:hAnsi="Times New Roman" w:eastAsia="仿宋_GB2312" w:cs="仿宋_GB2312"/>
          <w:kern w:val="0"/>
          <w:sz w:val="32"/>
          <w:szCs w:val="32"/>
          <w:lang w:eastAsia="zh-CN"/>
        </w:rPr>
        <w:t>峨边彝族自治县卫生健康局2026年财政拨款收支预算总数8344.48万元，比2025年财政拨款收支预算总数6563.55万元增加1780.93万元，主要原因是2026年育儿补贴、医共体、基药等项目资金预算增加。</w:t>
      </w:r>
    </w:p>
    <w:p w14:paraId="03057D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kern w:val="0"/>
          <w:sz w:val="32"/>
          <w:szCs w:val="32"/>
          <w:lang w:eastAsia="zh-CN"/>
        </w:rPr>
        <w:t>收入包括：本年一般公共预算拨款收入8344.48万元、本年政府性基金预算拨款收入0万元；支出包括：一般公共服务支出6.53万元，社会保障和就业支出962.4万元、卫生健康支出6806.14万元，住房保障支出569.41万元。</w:t>
      </w:r>
    </w:p>
    <w:p w14:paraId="1CBFB948">
      <w:pPr>
        <w:numPr>
          <w:ilvl w:val="0"/>
          <w:numId w:val="0"/>
        </w:numPr>
        <w:spacing w:line="600" w:lineRule="exact"/>
        <w:ind w:firstLine="640" w:firstLineChars="200"/>
        <w:rPr>
          <w:rStyle w:val="23"/>
          <w:rFonts w:hint="eastAsia" w:ascii="黑体" w:hAnsi="黑体" w:eastAsia="黑体" w:cs="黑体"/>
          <w:b w:val="0"/>
          <w:bCs/>
          <w:color w:val="FF0000"/>
          <w:sz w:val="28"/>
          <w:szCs w:val="22"/>
          <w:lang w:eastAsia="zh-CN"/>
        </w:rPr>
      </w:pPr>
      <w:r>
        <w:rPr>
          <w:rStyle w:val="23"/>
          <w:rFonts w:hint="eastAsia" w:ascii="黑体" w:hAnsi="黑体" w:eastAsia="黑体" w:cs="黑体"/>
          <w:b w:val="0"/>
          <w:bCs/>
        </w:rPr>
        <w:t>三、一般公共预算当年拨款情况说明</w:t>
      </w:r>
    </w:p>
    <w:p w14:paraId="33215C0F">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（一）一般公共预算当年拨款规模及变化情况。</w:t>
      </w:r>
    </w:p>
    <w:p w14:paraId="1DD2CFF7">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峨边彝族自治县卫生健康局2026年一般公共预算当年拨款7735.61万元，较上年预算数增加1274.54万元。主要原因是2026年育儿补贴、医共</w:t>
      </w:r>
      <w:bookmarkStart w:id="0" w:name="_GoBack"/>
      <w:bookmarkEnd w:id="0"/>
      <w:r>
        <w:rPr>
          <w:rFonts w:hint="eastAsia" w:ascii="Times New Roman" w:hAnsi="Times New Roman" w:eastAsia="仿宋_GB2312" w:cs="仿宋_GB2312"/>
          <w:color w:val="000000"/>
          <w:kern w:val="0"/>
          <w:sz w:val="32"/>
          <w:szCs w:val="32"/>
          <w:lang w:eastAsia="zh-CN"/>
        </w:rPr>
        <w:t>体、基药等项目资金预算增加。</w:t>
      </w:r>
    </w:p>
    <w:p w14:paraId="2673A0E5">
      <w:pPr>
        <w:numPr>
          <w:ilvl w:val="0"/>
          <w:numId w:val="0"/>
        </w:numPr>
        <w:spacing w:line="600" w:lineRule="exact"/>
        <w:ind w:firstLine="640" w:firstLineChars="200"/>
        <w:rPr>
          <w:rFonts w:hint="eastAsia" w:ascii="仿宋" w:hAnsi="仿宋" w:eastAsia="仿宋" w:cs="宋体"/>
          <w:color w:val="000000"/>
          <w:kern w:val="0"/>
          <w:sz w:val="32"/>
          <w:szCs w:val="32"/>
          <w:lang w:eastAsia="zh-CN"/>
        </w:rPr>
      </w:pPr>
      <w:r>
        <w:rPr>
          <w:rFonts w:hint="eastAsia" w:ascii="Times New Roman" w:hAnsi="Times New Roman" w:eastAsia="楷体_GB2312" w:cs="Times New Roman"/>
          <w:b w:val="0"/>
          <w:bCs/>
          <w:sz w:val="32"/>
          <w:szCs w:val="32"/>
        </w:rPr>
        <w:t>（二）一般公共预算当年拨款结构情况</w:t>
      </w:r>
      <w:r>
        <w:rPr>
          <w:rFonts w:hint="eastAsia" w:ascii="仿宋" w:hAnsi="仿宋" w:eastAsia="仿宋" w:cs="宋体"/>
          <w:color w:val="000000"/>
          <w:kern w:val="0"/>
          <w:sz w:val="32"/>
          <w:szCs w:val="32"/>
        </w:rPr>
        <w:t>。</w:t>
      </w:r>
    </w:p>
    <w:p w14:paraId="2E3DCE8A">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社会保障和就业支出962.4万元，占12.44%；卫生健康支出6203.8万元，占80.20%；住房保障支出569.41万元，占7.36%。</w:t>
      </w:r>
    </w:p>
    <w:p w14:paraId="5E459BC2">
      <w:pPr>
        <w:numPr>
          <w:ilvl w:val="0"/>
          <w:numId w:val="0"/>
        </w:numPr>
        <w:spacing w:line="600" w:lineRule="exact"/>
        <w:ind w:firstLine="640" w:firstLineChars="200"/>
        <w:rPr>
          <w:rFonts w:hint="eastAsia" w:ascii="Times New Roman" w:hAnsi="Times New Roman" w:eastAsia="仿宋_GB2312" w:cs="仿宋_GB2312"/>
          <w:color w:val="FF0000"/>
          <w:kern w:val="0"/>
          <w:sz w:val="32"/>
          <w:szCs w:val="32"/>
          <w:lang w:eastAsia="zh-CN"/>
        </w:rPr>
      </w:pPr>
      <w:r>
        <w:rPr>
          <w:rFonts w:hint="eastAsia" w:ascii="Times New Roman" w:hAnsi="Times New Roman" w:eastAsia="楷体_GB2312" w:cs="Times New Roman"/>
          <w:b w:val="0"/>
          <w:bCs/>
          <w:sz w:val="32"/>
          <w:szCs w:val="32"/>
        </w:rPr>
        <w:t>（三）一般公共预算当年拨款具体使用情况</w:t>
      </w:r>
    </w:p>
    <w:p w14:paraId="5183D4D8">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1.社会保障和就业（类）行政事业单位养老支出（款）事业单位离退休（项）</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202</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年预算数为16.79万元，主要用于：事业单位（包括实行公务员管理的事业单位）开支的离退休经费。</w:t>
      </w:r>
    </w:p>
    <w:p w14:paraId="51023C39">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2.社会保障和就业（类）行政事业单位养老支出（款）机关事业单位基本养老保险缴费支出（项）</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202</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年预算数为596.47万元，主要用于：实施养老保险制度后，部门按规定由单位缴纳的基本养老保险费支出。</w:t>
      </w:r>
    </w:p>
    <w:p w14:paraId="2C34C9A6">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3.社会保障和就业（类）行政事业单位养老支出（款）机关事业单位职业年金缴费支出（项）</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202</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年预算数为298.2</w:t>
      </w:r>
      <w:r>
        <w:rPr>
          <w:rFonts w:hint="eastAsia" w:ascii="Times New Roman" w:hAnsi="Times New Roman" w:eastAsia="仿宋_GB2312" w:cs="仿宋_GB2312"/>
          <w:color w:val="000000"/>
          <w:kern w:val="0"/>
          <w:sz w:val="32"/>
          <w:szCs w:val="32"/>
          <w:lang w:val="en-US" w:eastAsia="zh-CN"/>
        </w:rPr>
        <w:t>3</w:t>
      </w:r>
      <w:r>
        <w:rPr>
          <w:rFonts w:hint="eastAsia" w:ascii="Times New Roman" w:hAnsi="Times New Roman" w:eastAsia="仿宋_GB2312" w:cs="仿宋_GB2312"/>
          <w:color w:val="000000"/>
          <w:kern w:val="0"/>
          <w:sz w:val="32"/>
          <w:szCs w:val="32"/>
        </w:rPr>
        <w:t>万元，主要用于：实施养老保险制度后，部门按规定由单位缴纳的职业年金支出。</w:t>
      </w:r>
    </w:p>
    <w:p w14:paraId="0F52CB76">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4.社会保障和就业（类）其他社会保障和就业支出（款）其他社会保障和就业支出（项）</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202</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年预算数为50.91万元，主要用于：其他社会保障和就业方面的支出。</w:t>
      </w:r>
    </w:p>
    <w:p w14:paraId="76374A48">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5.卫生健康支出（类）卫生健康管理事务（款）行政运行（项）</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202</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年预算数为194.47万元，主要用于：卫生健康部门的基本支出。</w:t>
      </w:r>
    </w:p>
    <w:p w14:paraId="4EB6AA2A">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6.卫生健康支出（类）卫生健康管理事务（款）其他卫生健康管理事务支出（项）</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202</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年预算数为207.81万元，主要用于：其他用于卫生健康管理事务方面的支出。</w:t>
      </w:r>
    </w:p>
    <w:p w14:paraId="557BC246">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7.卫生健康支出（类）公立医院（款）综合医院（项）</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202</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年预算数为1216.24万元，主要用于：县人民医院的支出。</w:t>
      </w:r>
    </w:p>
    <w:p w14:paraId="2DCDA7D2">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8.卫生健康支出（类）公立医院（款）中医（民族）医院（项）</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202</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年预算数为632.95万元，主要用于：县中医医院的支出。</w:t>
      </w:r>
    </w:p>
    <w:p w14:paraId="32DF9510">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9.卫生健康支出（类）基层医疗卫生机构（款）乡镇卫生院（项）</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202</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年预算数为1770.65万元，主要用于：乡镇卫生院的支出。</w:t>
      </w:r>
    </w:p>
    <w:p w14:paraId="569B1D94">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10.卫生健康支出（类）基层医疗卫生机构（款）其他基层医疗卫生机构支出（项）</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202</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年预算数为197.05万元，主要用于：乡镇卫生院的其他支出。</w:t>
      </w:r>
    </w:p>
    <w:p w14:paraId="33F3E43A">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11.卫生健康支出（类）公共卫生（款）疾病预防控制机构（项）</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202</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年预算数为407.93万元，主要用于：疾病预防控制机构的支出。</w:t>
      </w:r>
    </w:p>
    <w:p w14:paraId="437E1D53">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1</w:t>
      </w:r>
      <w:r>
        <w:rPr>
          <w:rFonts w:hint="eastAsia" w:ascii="Times New Roman" w:hAnsi="Times New Roman" w:eastAsia="仿宋_GB2312" w:cs="仿宋_GB2312"/>
          <w:color w:val="000000"/>
          <w:kern w:val="0"/>
          <w:sz w:val="32"/>
          <w:szCs w:val="32"/>
          <w:lang w:val="en-US" w:eastAsia="zh-CN"/>
        </w:rPr>
        <w:t>2</w:t>
      </w:r>
      <w:r>
        <w:rPr>
          <w:rFonts w:hint="eastAsia" w:ascii="Times New Roman" w:hAnsi="Times New Roman" w:eastAsia="仿宋_GB2312" w:cs="仿宋_GB2312"/>
          <w:color w:val="000000"/>
          <w:kern w:val="0"/>
          <w:sz w:val="32"/>
          <w:szCs w:val="32"/>
        </w:rPr>
        <w:t>.卫生健康支出（类）公共卫生（款）妇幼保健机构（项）</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202</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年预算数为261.59万元，主要用于：卫生健康部门所属妇幼保健机构的支出。</w:t>
      </w:r>
    </w:p>
    <w:p w14:paraId="52DF1FA2">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1</w:t>
      </w:r>
      <w:r>
        <w:rPr>
          <w:rFonts w:hint="eastAsia" w:ascii="Times New Roman" w:hAnsi="Times New Roman" w:eastAsia="仿宋_GB2312" w:cs="仿宋_GB2312"/>
          <w:color w:val="000000"/>
          <w:kern w:val="0"/>
          <w:sz w:val="32"/>
          <w:szCs w:val="32"/>
          <w:lang w:val="en-US" w:eastAsia="zh-CN"/>
        </w:rPr>
        <w:t>3</w:t>
      </w:r>
      <w:r>
        <w:rPr>
          <w:rFonts w:hint="eastAsia" w:ascii="Times New Roman" w:hAnsi="Times New Roman" w:eastAsia="仿宋_GB2312" w:cs="仿宋_GB2312"/>
          <w:color w:val="000000"/>
          <w:kern w:val="0"/>
          <w:sz w:val="32"/>
          <w:szCs w:val="32"/>
        </w:rPr>
        <w:t>.卫生健康支出（类）公共卫生（款）基本公共卫生服务（项）</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202</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年预算数为130万元，主要用于：基本公共卫生服务支出。</w:t>
      </w:r>
    </w:p>
    <w:p w14:paraId="2ACF038F">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1</w:t>
      </w:r>
      <w:r>
        <w:rPr>
          <w:rFonts w:hint="eastAsia" w:ascii="Times New Roman" w:hAnsi="Times New Roman" w:eastAsia="仿宋_GB2312" w:cs="仿宋_GB2312"/>
          <w:color w:val="000000"/>
          <w:kern w:val="0"/>
          <w:sz w:val="32"/>
          <w:szCs w:val="32"/>
          <w:lang w:val="en-US" w:eastAsia="zh-CN"/>
        </w:rPr>
        <w:t>4</w:t>
      </w:r>
      <w:r>
        <w:rPr>
          <w:rFonts w:hint="eastAsia" w:ascii="Times New Roman" w:hAnsi="Times New Roman" w:eastAsia="仿宋_GB2312" w:cs="仿宋_GB2312"/>
          <w:color w:val="000000"/>
          <w:kern w:val="0"/>
          <w:sz w:val="32"/>
          <w:szCs w:val="32"/>
        </w:rPr>
        <w:t>.卫生健康支出（类）公共卫生（款）重大公共卫生服务（项）</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202</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年预算数为215.22万元，主要用于：基本公共卫生服务支出。</w:t>
      </w:r>
    </w:p>
    <w:p w14:paraId="15C279BC">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1</w:t>
      </w:r>
      <w:r>
        <w:rPr>
          <w:rFonts w:hint="eastAsia" w:ascii="Times New Roman" w:hAnsi="Times New Roman" w:eastAsia="仿宋_GB2312" w:cs="仿宋_GB2312"/>
          <w:color w:val="000000"/>
          <w:kern w:val="0"/>
          <w:sz w:val="32"/>
          <w:szCs w:val="32"/>
          <w:lang w:val="en-US" w:eastAsia="zh-CN"/>
        </w:rPr>
        <w:t>5</w:t>
      </w:r>
      <w:r>
        <w:rPr>
          <w:rFonts w:hint="eastAsia" w:ascii="Times New Roman" w:hAnsi="Times New Roman" w:eastAsia="仿宋_GB2312" w:cs="仿宋_GB2312"/>
          <w:color w:val="000000"/>
          <w:kern w:val="0"/>
          <w:sz w:val="32"/>
          <w:szCs w:val="32"/>
        </w:rPr>
        <w:t>.卫生健康支出（类）公共卫生（款）其他公共卫生支出（项）</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202</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年预算数为120.0万元，主要用于：其他公共卫生支出。</w:t>
      </w:r>
    </w:p>
    <w:p w14:paraId="6B609FB0">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16.卫生健康支出（类）计划生育服务（款）其他计划生育事务支出（项）</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202</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年预算数为80.63万元，主要用于：计划生育服务支出。</w:t>
      </w:r>
    </w:p>
    <w:p w14:paraId="7C07C580">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17.卫生健康支出（类）行政事业单位医疗（款）行政单位医疗（项）</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202</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年预算数为14.41万元，主要用于：行政单位基本医疗保险缴费经费。</w:t>
      </w:r>
    </w:p>
    <w:p w14:paraId="43159D5E">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18.卫生健康支出（类）行政事业单位医疗（款）事业单位医疗（项）</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202</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年预算数为212.85万元，主要用于：事业单位基本医疗保险缴费经费。</w:t>
      </w:r>
    </w:p>
    <w:p w14:paraId="73DDCE60">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rPr>
        <w:t>1</w:t>
      </w:r>
      <w:r>
        <w:rPr>
          <w:rFonts w:hint="eastAsia" w:ascii="Times New Roman" w:hAnsi="Times New Roman" w:eastAsia="仿宋_GB2312" w:cs="仿宋_GB2312"/>
          <w:color w:val="000000"/>
          <w:kern w:val="0"/>
          <w:sz w:val="32"/>
          <w:szCs w:val="32"/>
          <w:lang w:val="en-US" w:eastAsia="zh-CN"/>
        </w:rPr>
        <w:t>9</w:t>
      </w:r>
      <w:r>
        <w:rPr>
          <w:rFonts w:hint="eastAsia" w:ascii="Times New Roman" w:hAnsi="Times New Roman" w:eastAsia="仿宋_GB2312" w:cs="仿宋_GB2312"/>
          <w:color w:val="000000"/>
          <w:kern w:val="0"/>
          <w:sz w:val="32"/>
          <w:szCs w:val="32"/>
        </w:rPr>
        <w:t>.卫生健康支出（类）</w:t>
      </w:r>
      <w:r>
        <w:rPr>
          <w:rFonts w:hint="eastAsia" w:ascii="Times New Roman" w:hAnsi="Times New Roman" w:eastAsia="仿宋_GB2312" w:cs="仿宋_GB2312"/>
          <w:color w:val="000000"/>
          <w:kern w:val="0"/>
          <w:sz w:val="32"/>
          <w:szCs w:val="32"/>
          <w:lang w:val="en-US" w:eastAsia="zh-CN"/>
        </w:rPr>
        <w:t>育幼服务</w:t>
      </w:r>
      <w:r>
        <w:rPr>
          <w:rFonts w:hint="eastAsia" w:ascii="Times New Roman" w:hAnsi="Times New Roman" w:eastAsia="仿宋_GB2312" w:cs="仿宋_GB2312"/>
          <w:color w:val="000000"/>
          <w:kern w:val="0"/>
          <w:sz w:val="32"/>
          <w:szCs w:val="32"/>
        </w:rPr>
        <w:t>（款）其他育幼服务支出（项）</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202</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年预算数为67万元，主要用于：</w:t>
      </w:r>
      <w:r>
        <w:rPr>
          <w:rFonts w:hint="eastAsia" w:ascii="Times New Roman" w:hAnsi="Times New Roman" w:eastAsia="仿宋_GB2312" w:cs="仿宋_GB2312"/>
          <w:color w:val="000000"/>
          <w:kern w:val="0"/>
          <w:sz w:val="32"/>
          <w:szCs w:val="32"/>
          <w:lang w:val="en-US" w:eastAsia="zh-CN"/>
        </w:rPr>
        <w:t>其他育幼服务的支出</w:t>
      </w:r>
      <w:r>
        <w:rPr>
          <w:rFonts w:hint="eastAsia" w:ascii="Times New Roman" w:hAnsi="Times New Roman" w:eastAsia="仿宋_GB2312" w:cs="仿宋_GB2312"/>
          <w:color w:val="000000"/>
          <w:kern w:val="0"/>
          <w:sz w:val="32"/>
          <w:szCs w:val="32"/>
        </w:rPr>
        <w:t>。</w:t>
      </w:r>
    </w:p>
    <w:p w14:paraId="169B6D00">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lang w:val="en-US" w:eastAsia="zh-CN"/>
        </w:rPr>
        <w:t>20</w:t>
      </w:r>
      <w:r>
        <w:rPr>
          <w:rFonts w:hint="eastAsia" w:ascii="Times New Roman" w:hAnsi="Times New Roman" w:eastAsia="仿宋_GB2312" w:cs="仿宋_GB2312"/>
          <w:color w:val="000000"/>
          <w:kern w:val="0"/>
          <w:sz w:val="32"/>
          <w:szCs w:val="32"/>
        </w:rPr>
        <w:t>.卫生健康支出（类）</w:t>
      </w:r>
      <w:r>
        <w:rPr>
          <w:rFonts w:hint="eastAsia" w:ascii="Times New Roman" w:hAnsi="Times New Roman" w:eastAsia="仿宋_GB2312" w:cs="仿宋_GB2312"/>
          <w:color w:val="000000"/>
          <w:kern w:val="0"/>
          <w:sz w:val="32"/>
          <w:szCs w:val="32"/>
          <w:lang w:val="en-US" w:eastAsia="zh-CN"/>
        </w:rPr>
        <w:t>其他卫生健康支出</w:t>
      </w:r>
      <w:r>
        <w:rPr>
          <w:rFonts w:hint="eastAsia" w:ascii="Times New Roman" w:hAnsi="Times New Roman" w:eastAsia="仿宋_GB2312" w:cs="仿宋_GB2312"/>
          <w:color w:val="000000"/>
          <w:kern w:val="0"/>
          <w:sz w:val="32"/>
          <w:szCs w:val="32"/>
        </w:rPr>
        <w:t>（款）其他卫生健康支出（项）</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202</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年预算数为475万元，主要用于：</w:t>
      </w:r>
      <w:r>
        <w:rPr>
          <w:rFonts w:hint="eastAsia" w:ascii="Times New Roman" w:hAnsi="Times New Roman" w:eastAsia="仿宋_GB2312" w:cs="仿宋_GB2312"/>
          <w:color w:val="000000"/>
          <w:kern w:val="0"/>
          <w:sz w:val="32"/>
          <w:szCs w:val="32"/>
          <w:lang w:val="en-US" w:eastAsia="zh-CN"/>
        </w:rPr>
        <w:t>其他卫生健康支出</w:t>
      </w:r>
      <w:r>
        <w:rPr>
          <w:rFonts w:hint="eastAsia" w:ascii="Times New Roman" w:hAnsi="Times New Roman" w:eastAsia="仿宋_GB2312" w:cs="仿宋_GB2312"/>
          <w:color w:val="000000"/>
          <w:kern w:val="0"/>
          <w:sz w:val="32"/>
          <w:szCs w:val="32"/>
        </w:rPr>
        <w:t>。</w:t>
      </w:r>
    </w:p>
    <w:p w14:paraId="7553DDDB">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lang w:val="en-US" w:eastAsia="zh-CN"/>
        </w:rPr>
        <w:t>21</w:t>
      </w:r>
      <w:r>
        <w:rPr>
          <w:rFonts w:hint="eastAsia" w:ascii="Times New Roman" w:hAnsi="Times New Roman" w:eastAsia="仿宋_GB2312" w:cs="仿宋_GB2312"/>
          <w:color w:val="000000"/>
          <w:kern w:val="0"/>
          <w:sz w:val="32"/>
          <w:szCs w:val="32"/>
        </w:rPr>
        <w:t>.住房保障（类）住房改革支出（款）住房公积金（项）</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202</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年预算数为569.41万元，主要用于：部门按人力资源和社会保障部、财政部规定的基本工资和津贴补贴以及规定比例为职工缴纳的住房公积金支出。</w:t>
      </w:r>
    </w:p>
    <w:p w14:paraId="1E940E86">
      <w:pPr>
        <w:pStyle w:val="4"/>
        <w:bidi w:val="0"/>
        <w:rPr>
          <w:rStyle w:val="23"/>
          <w:rFonts w:hint="eastAsia" w:ascii="黑体" w:hAnsi="黑体" w:eastAsia="黑体" w:cs="黑体"/>
          <w:b w:val="0"/>
          <w:bCs/>
          <w:lang w:eastAsia="zh-CN"/>
        </w:rPr>
      </w:pPr>
      <w:r>
        <w:rPr>
          <w:rStyle w:val="23"/>
          <w:rFonts w:hint="eastAsia" w:ascii="黑体" w:hAnsi="黑体" w:eastAsia="黑体" w:cs="黑体"/>
          <w:b w:val="0"/>
          <w:bCs/>
          <w:lang w:eastAsia="zh-CN"/>
        </w:rPr>
        <w:t>四</w:t>
      </w:r>
      <w:r>
        <w:rPr>
          <w:rStyle w:val="23"/>
          <w:rFonts w:hint="eastAsia" w:ascii="黑体" w:hAnsi="黑体" w:eastAsia="黑体" w:cs="黑体"/>
          <w:b w:val="0"/>
          <w:bCs/>
        </w:rPr>
        <w:t>、一般公共预算基本支出情况说明</w:t>
      </w:r>
    </w:p>
    <w:p w14:paraId="7AB4F26F">
      <w:pPr>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峨边彝族自治县卫生健康局2026</w:t>
      </w:r>
      <w:r>
        <w:rPr>
          <w:rFonts w:hint="eastAsia" w:ascii="Times New Roman" w:hAnsi="Times New Roman" w:eastAsia="仿宋_GB2312" w:cs="仿宋_GB2312"/>
          <w:color w:val="000000"/>
          <w:kern w:val="0"/>
          <w:sz w:val="32"/>
          <w:szCs w:val="32"/>
        </w:rPr>
        <w:t>年一般公共预算基本支出6450.71万元，其中：</w:t>
      </w:r>
    </w:p>
    <w:p w14:paraId="0C0CFE37">
      <w:pPr>
        <w:rPr>
          <w:rFonts w:hint="eastAsia" w:ascii="Times New Roman" w:hAnsi="Times New Roman" w:eastAsia="仿宋_GB2312" w:cs="仿宋_GB2312"/>
          <w:color w:val="FF0000"/>
          <w:kern w:val="0"/>
          <w:sz w:val="32"/>
          <w:szCs w:val="32"/>
          <w:lang w:eastAsia="zh-CN"/>
        </w:rPr>
      </w:pPr>
      <w:r>
        <w:rPr>
          <w:rFonts w:hint="eastAsia" w:ascii="Times New Roman" w:hAnsi="Times New Roman" w:eastAsia="仿宋_GB2312" w:cs="仿宋_GB2312"/>
          <w:color w:val="000000"/>
          <w:kern w:val="0"/>
          <w:sz w:val="32"/>
          <w:szCs w:val="32"/>
        </w:rPr>
        <w:t>人员经费5970.38万元，主要包括：基本工资、津贴补贴、奖金、  伙食补助费、绩效工资、机关事业单位基本养老保险缴费、职业年金缴费、职工基本医疗保险缴费、其他社会保障缴费、住房公积金、其他工资福利支出、离休费、生活补助、其他对个人和家庭的补助支出</w:t>
      </w:r>
      <w:r>
        <w:rPr>
          <w:rFonts w:hint="eastAsia" w:ascii="Times New Roman" w:hAnsi="Times New Roman" w:eastAsia="仿宋_GB2312" w:cs="仿宋_GB2312"/>
          <w:color w:val="auto"/>
          <w:kern w:val="0"/>
          <w:sz w:val="32"/>
          <w:szCs w:val="32"/>
        </w:rPr>
        <w:t>。</w:t>
      </w:r>
    </w:p>
    <w:p w14:paraId="40E79E5A">
      <w:pPr>
        <w:rPr>
          <w:rFonts w:hint="eastAsia" w:ascii="Times New Roman" w:hAnsi="Times New Roman" w:eastAsia="仿宋_GB2312" w:cs="仿宋_GB2312"/>
          <w:color w:val="FF0000"/>
          <w:kern w:val="0"/>
          <w:sz w:val="32"/>
          <w:szCs w:val="32"/>
          <w:lang w:eastAsia="zh-CN"/>
        </w:rPr>
      </w:pPr>
      <w:r>
        <w:rPr>
          <w:rFonts w:hint="eastAsia" w:ascii="Times New Roman" w:hAnsi="Times New Roman" w:eastAsia="仿宋_GB2312" w:cs="仿宋_GB2312"/>
          <w:color w:val="000000"/>
          <w:kern w:val="0"/>
          <w:sz w:val="32"/>
          <w:szCs w:val="32"/>
        </w:rPr>
        <w:t>公用经费480.33万元，主要包括：办公费、印刷费、手续费、水费、电费、邮电费、差旅费、维修（护）费、会议费、培训费、劳务费、工会经费、其他交通费、其他商品和服务支出</w:t>
      </w:r>
      <w:r>
        <w:rPr>
          <w:rFonts w:hint="eastAsia" w:ascii="Times New Roman" w:hAnsi="Times New Roman" w:eastAsia="仿宋_GB2312" w:cs="仿宋_GB2312"/>
          <w:color w:val="auto"/>
          <w:kern w:val="0"/>
          <w:sz w:val="32"/>
          <w:szCs w:val="32"/>
        </w:rPr>
        <w:t>。</w:t>
      </w:r>
    </w:p>
    <w:p w14:paraId="20D57508">
      <w:pPr>
        <w:rPr>
          <w:rStyle w:val="23"/>
          <w:rFonts w:hint="eastAsia" w:ascii="黑体" w:hAnsi="黑体" w:eastAsia="黑体" w:cs="黑体"/>
          <w:b w:val="0"/>
          <w:bCs/>
          <w:lang w:eastAsia="zh-CN"/>
        </w:rPr>
      </w:pPr>
      <w:r>
        <w:rPr>
          <w:rStyle w:val="23"/>
          <w:rFonts w:hint="eastAsia" w:ascii="黑体" w:hAnsi="黑体" w:eastAsia="黑体" w:cs="黑体"/>
          <w:b w:val="0"/>
          <w:bCs/>
          <w:lang w:eastAsia="zh-CN"/>
        </w:rPr>
        <w:t>五</w:t>
      </w:r>
      <w:r>
        <w:rPr>
          <w:rStyle w:val="23"/>
          <w:rFonts w:hint="eastAsia" w:ascii="黑体" w:hAnsi="黑体" w:eastAsia="黑体" w:cs="黑体"/>
          <w:b w:val="0"/>
          <w:bCs/>
        </w:rPr>
        <w:t>、政府性基金预算支出规模及变化情况说明</w:t>
      </w:r>
    </w:p>
    <w:p w14:paraId="6387ECA5">
      <w:pPr>
        <w:rPr>
          <w:rFonts w:hint="eastAsia" w:ascii="Times New Roman" w:hAnsi="Times New Roman" w:eastAsia="仿宋_GB2312" w:cs="仿宋_GB2312"/>
          <w:color w:val="000000" w:themeColor="text1"/>
          <w:kern w:val="0"/>
          <w:sz w:val="32"/>
          <w:szCs w:val="32"/>
          <w:lang w:eastAsia="zh-CN"/>
          <w14:textFill>
            <w14:solidFill>
              <w14:schemeClr w14:val="tx1"/>
            </w14:solidFill>
          </w14:textFill>
        </w:rPr>
      </w:pPr>
      <w:r>
        <w:rPr>
          <w:rFonts w:hint="eastAsia" w:ascii="Times New Roman" w:hAnsi="Times New Roman" w:eastAsia="仿宋_GB2312" w:cs="仿宋_GB2312"/>
          <w:color w:val="000000" w:themeColor="text1"/>
          <w:kern w:val="0"/>
          <w:sz w:val="32"/>
          <w:szCs w:val="32"/>
          <w:lang w:eastAsia="zh-CN"/>
          <w14:textFill>
            <w14:solidFill>
              <w14:schemeClr w14:val="tx1"/>
            </w14:solidFill>
          </w14:textFill>
        </w:rPr>
        <w:t>峨边彝族自治县卫生健康局2026年没有使用政府性基金预算拨款安排的支出。</w:t>
      </w:r>
    </w:p>
    <w:p w14:paraId="00542996">
      <w:pPr>
        <w:rPr>
          <w:rStyle w:val="23"/>
          <w:rFonts w:hint="eastAsia" w:ascii="黑体" w:hAnsi="黑体" w:eastAsia="黑体" w:cs="黑体"/>
          <w:b w:val="0"/>
          <w:bCs/>
        </w:rPr>
      </w:pPr>
      <w:r>
        <w:rPr>
          <w:rStyle w:val="23"/>
          <w:rFonts w:hint="eastAsia" w:ascii="黑体" w:hAnsi="黑体" w:eastAsia="黑体" w:cs="黑体"/>
          <w:b w:val="0"/>
          <w:bCs/>
          <w:lang w:eastAsia="zh-CN"/>
        </w:rPr>
        <w:t>六</w:t>
      </w:r>
      <w:r>
        <w:rPr>
          <w:rStyle w:val="23"/>
          <w:rFonts w:hint="eastAsia" w:ascii="黑体" w:hAnsi="黑体" w:eastAsia="黑体" w:cs="黑体"/>
          <w:b w:val="0"/>
          <w:bCs/>
        </w:rPr>
        <w:t>、国有资本经营预算支出规模及变化情况说明</w:t>
      </w:r>
    </w:p>
    <w:p w14:paraId="7807C274">
      <w:pPr>
        <w:rPr>
          <w:rFonts w:hint="eastAsia" w:ascii="Times New Roman" w:hAnsi="Times New Roman" w:eastAsia="仿宋_GB2312" w:cs="仿宋_GB2312"/>
          <w:color w:val="FF0000"/>
          <w:kern w:val="0"/>
          <w:sz w:val="32"/>
          <w:szCs w:val="32"/>
          <w:lang w:eastAsia="zh-CN"/>
        </w:rPr>
      </w:pPr>
      <w:r>
        <w:rPr>
          <w:rFonts w:hint="eastAsia" w:ascii="Times New Roman" w:hAnsi="Times New Roman" w:eastAsia="仿宋_GB2312" w:cs="仿宋_GB2312"/>
          <w:color w:val="000000" w:themeColor="text1"/>
          <w:kern w:val="0"/>
          <w:sz w:val="32"/>
          <w:szCs w:val="32"/>
          <w:lang w:eastAsia="zh-CN"/>
          <w14:textFill>
            <w14:solidFill>
              <w14:schemeClr w14:val="tx1"/>
            </w14:solidFill>
          </w14:textFill>
        </w:rPr>
        <w:t>峨边彝族自治县卫生健康局2026年没有使用国有资本经营预算拨款安排的支出。</w:t>
      </w:r>
    </w:p>
    <w:p w14:paraId="6E6E65AF">
      <w:pPr>
        <w:pStyle w:val="4"/>
        <w:bidi w:val="0"/>
        <w:rPr>
          <w:rStyle w:val="23"/>
          <w:rFonts w:hint="eastAsia" w:ascii="黑体" w:hAnsi="黑体" w:eastAsia="黑体" w:cs="黑体"/>
          <w:b w:val="0"/>
          <w:bCs/>
          <w:lang w:eastAsia="zh-CN"/>
        </w:rPr>
      </w:pPr>
      <w:r>
        <w:rPr>
          <w:rStyle w:val="23"/>
          <w:rFonts w:hint="eastAsia" w:ascii="黑体" w:hAnsi="黑体" w:eastAsia="黑体" w:cs="黑体"/>
          <w:b w:val="0"/>
          <w:bCs/>
          <w:lang w:eastAsia="zh-CN"/>
        </w:rPr>
        <w:t>七</w:t>
      </w:r>
      <w:r>
        <w:rPr>
          <w:rStyle w:val="23"/>
          <w:rFonts w:hint="eastAsia" w:ascii="黑体" w:hAnsi="黑体" w:eastAsia="黑体" w:cs="黑体"/>
          <w:b w:val="0"/>
          <w:bCs/>
        </w:rPr>
        <w:t>、“三公”经费预算安排情况说明</w:t>
      </w:r>
    </w:p>
    <w:p w14:paraId="1FD0CF26">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峨边彝族自治县卫生健康局2026</w:t>
      </w:r>
      <w:r>
        <w:rPr>
          <w:rFonts w:hint="eastAsia" w:ascii="Times New Roman" w:hAnsi="Times New Roman" w:eastAsia="仿宋_GB2312" w:cs="仿宋_GB2312"/>
          <w:color w:val="000000"/>
          <w:kern w:val="0"/>
          <w:sz w:val="32"/>
          <w:szCs w:val="32"/>
        </w:rPr>
        <w:t>年“三公”经费</w:t>
      </w:r>
      <w:r>
        <w:rPr>
          <w:rFonts w:hint="eastAsia" w:ascii="Times New Roman" w:hAnsi="Times New Roman" w:eastAsia="仿宋_GB2312" w:cs="仿宋_GB2312"/>
          <w:color w:val="000000"/>
          <w:kern w:val="0"/>
          <w:sz w:val="32"/>
          <w:szCs w:val="32"/>
          <w:lang w:eastAsia="zh-CN"/>
        </w:rPr>
        <w:t>财政拨款</w:t>
      </w:r>
      <w:r>
        <w:rPr>
          <w:rFonts w:hint="eastAsia" w:ascii="Times New Roman" w:hAnsi="Times New Roman" w:eastAsia="仿宋_GB2312" w:cs="仿宋_GB2312"/>
          <w:color w:val="000000"/>
          <w:kern w:val="0"/>
          <w:sz w:val="32"/>
          <w:szCs w:val="32"/>
        </w:rPr>
        <w:t>预算数</w:t>
      </w:r>
      <w:r>
        <w:rPr>
          <w:rFonts w:hint="eastAsia" w:ascii="Times New Roman" w:hAnsi="Times New Roman" w:eastAsia="仿宋_GB2312" w:cs="仿宋_GB2312"/>
          <w:color w:val="000000"/>
          <w:kern w:val="0"/>
          <w:sz w:val="32"/>
          <w:szCs w:val="32"/>
          <w:lang w:val="en-US" w:eastAsia="zh-CN"/>
        </w:rPr>
        <w:t>86</w:t>
      </w:r>
      <w:r>
        <w:rPr>
          <w:rFonts w:hint="eastAsia" w:ascii="Times New Roman" w:hAnsi="Times New Roman" w:eastAsia="仿宋_GB2312" w:cs="仿宋_GB2312"/>
          <w:color w:val="000000"/>
          <w:kern w:val="0"/>
          <w:sz w:val="32"/>
          <w:szCs w:val="32"/>
        </w:rPr>
        <w:t>万元。其中</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因公出国（境）经费</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rPr>
        <w:t>万元，公务接待费</w:t>
      </w:r>
      <w:r>
        <w:rPr>
          <w:rFonts w:hint="eastAsia" w:ascii="Times New Roman" w:hAnsi="Times New Roman" w:eastAsia="仿宋_GB2312" w:cs="仿宋_GB2312"/>
          <w:color w:val="000000"/>
          <w:kern w:val="0"/>
          <w:sz w:val="32"/>
          <w:szCs w:val="32"/>
          <w:lang w:val="en-US" w:eastAsia="zh-CN"/>
        </w:rPr>
        <w:t>5.50</w:t>
      </w:r>
      <w:r>
        <w:rPr>
          <w:rFonts w:hint="eastAsia" w:ascii="Times New Roman" w:hAnsi="Times New Roman" w:eastAsia="仿宋_GB2312" w:cs="仿宋_GB2312"/>
          <w:color w:val="000000"/>
          <w:kern w:val="0"/>
          <w:sz w:val="32"/>
          <w:szCs w:val="32"/>
        </w:rPr>
        <w:t>万元，公务用车购置及运行维护费</w:t>
      </w:r>
      <w:r>
        <w:rPr>
          <w:rFonts w:hint="eastAsia" w:ascii="Times New Roman" w:hAnsi="Times New Roman" w:eastAsia="仿宋_GB2312" w:cs="仿宋_GB2312"/>
          <w:color w:val="000000"/>
          <w:kern w:val="0"/>
          <w:sz w:val="32"/>
          <w:szCs w:val="32"/>
          <w:lang w:val="en-US" w:eastAsia="zh-CN"/>
        </w:rPr>
        <w:t>80.50</w:t>
      </w:r>
      <w:r>
        <w:rPr>
          <w:rFonts w:hint="eastAsia" w:ascii="Times New Roman" w:hAnsi="Times New Roman" w:eastAsia="仿宋_GB2312" w:cs="仿宋_GB2312"/>
          <w:color w:val="000000"/>
          <w:kern w:val="0"/>
          <w:sz w:val="32"/>
          <w:szCs w:val="32"/>
        </w:rPr>
        <w:t>万元。</w:t>
      </w:r>
    </w:p>
    <w:p w14:paraId="3B664436">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lang w:val="en-US" w:eastAsia="zh-CN"/>
        </w:rPr>
        <w:t>1.</w:t>
      </w:r>
      <w:r>
        <w:rPr>
          <w:rFonts w:hint="eastAsia" w:ascii="Times New Roman" w:hAnsi="Times New Roman" w:eastAsia="仿宋_GB2312" w:cs="仿宋_GB2312"/>
          <w:color w:val="000000"/>
          <w:kern w:val="0"/>
          <w:sz w:val="32"/>
          <w:szCs w:val="32"/>
        </w:rPr>
        <w:t>因公出国（境）经费较上年预算持平。主要原因是</w:t>
      </w:r>
      <w:r>
        <w:rPr>
          <w:rFonts w:hint="eastAsia" w:ascii="Times New Roman" w:hAnsi="Times New Roman" w:eastAsia="仿宋_GB2312" w:cs="仿宋_GB2312"/>
          <w:color w:val="000000"/>
          <w:kern w:val="0"/>
          <w:sz w:val="32"/>
          <w:szCs w:val="32"/>
          <w:lang w:eastAsia="zh-CN"/>
        </w:rPr>
        <w:t>2026</w:t>
      </w:r>
      <w:r>
        <w:rPr>
          <w:rFonts w:hint="eastAsia" w:ascii="Times New Roman" w:hAnsi="Times New Roman" w:eastAsia="仿宋_GB2312" w:cs="仿宋_GB2312"/>
          <w:color w:val="000000"/>
          <w:kern w:val="0"/>
          <w:sz w:val="32"/>
          <w:szCs w:val="32"/>
        </w:rPr>
        <w:t>年</w:t>
      </w:r>
      <w:r>
        <w:rPr>
          <w:rFonts w:hint="eastAsia" w:ascii="Times New Roman" w:hAnsi="Times New Roman" w:eastAsia="仿宋_GB2312" w:cs="仿宋_GB2312"/>
          <w:color w:val="000000"/>
          <w:kern w:val="0"/>
          <w:sz w:val="32"/>
          <w:szCs w:val="32"/>
          <w:lang w:eastAsia="zh-CN"/>
        </w:rPr>
        <w:t>和2025</w:t>
      </w:r>
      <w:r>
        <w:rPr>
          <w:rFonts w:hint="eastAsia" w:ascii="Times New Roman" w:hAnsi="Times New Roman" w:eastAsia="仿宋_GB2312" w:cs="仿宋_GB2312"/>
          <w:color w:val="000000"/>
          <w:kern w:val="0"/>
          <w:sz w:val="32"/>
          <w:szCs w:val="32"/>
        </w:rPr>
        <w:t>年均无因公出国（境）费用支出。</w:t>
      </w:r>
    </w:p>
    <w:p w14:paraId="6D2784DF">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2.公务接待费较上年预算减少0.5万元，下降8.33%。主要原因是按照中央八项规定及厉行节约、反对浪费的要求，简化接待程序，严格控制用餐及住宿标准，减少公务接待开支。</w:t>
      </w:r>
    </w:p>
    <w:p w14:paraId="075676B8">
      <w:pPr>
        <w:bidi w:val="0"/>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2026年公务接待费计划用于上级领导部门调研指导工作和其他区县卫健系统单位来我单位交流学习等</w:t>
      </w:r>
      <w:r>
        <w:rPr>
          <w:rFonts w:hint="eastAsia" w:ascii="Times New Roman" w:hAnsi="Times New Roman" w:eastAsia="仿宋_GB2312" w:cs="仿宋_GB2312"/>
          <w:color w:val="000000"/>
          <w:kern w:val="0"/>
          <w:sz w:val="32"/>
          <w:szCs w:val="32"/>
        </w:rPr>
        <w:t>。</w:t>
      </w:r>
    </w:p>
    <w:p w14:paraId="27B10A3D">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3.公务用车购置及运行维护费较上年预算减少</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rPr>
        <w:t>万元，下降</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rPr>
        <w:t>%。主要原因是202</w:t>
      </w:r>
      <w:r>
        <w:rPr>
          <w:rFonts w:hint="eastAsia" w:ascii="Times New Roman" w:hAnsi="Times New Roman" w:eastAsia="仿宋_GB2312" w:cs="仿宋_GB2312"/>
          <w:color w:val="000000"/>
          <w:kern w:val="0"/>
          <w:sz w:val="32"/>
          <w:szCs w:val="32"/>
          <w:lang w:val="en-US" w:eastAsia="zh-CN"/>
        </w:rPr>
        <w:t>6</w:t>
      </w:r>
      <w:r>
        <w:rPr>
          <w:rFonts w:hint="eastAsia" w:ascii="Times New Roman" w:hAnsi="Times New Roman" w:eastAsia="仿宋_GB2312" w:cs="仿宋_GB2312"/>
          <w:color w:val="000000"/>
          <w:kern w:val="0"/>
          <w:sz w:val="32"/>
          <w:szCs w:val="32"/>
        </w:rPr>
        <w:t>年按部门实际保有车辆预算公车运维费用。</w:t>
      </w:r>
    </w:p>
    <w:p w14:paraId="381F7AE1">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单位现有公务用车</w:t>
      </w:r>
      <w:r>
        <w:rPr>
          <w:rFonts w:hint="eastAsia" w:ascii="Times New Roman" w:hAnsi="Times New Roman" w:eastAsia="仿宋_GB2312" w:cs="仿宋_GB2312"/>
          <w:color w:val="000000"/>
          <w:kern w:val="0"/>
          <w:sz w:val="32"/>
          <w:szCs w:val="32"/>
          <w:lang w:val="en-US" w:eastAsia="zh-CN"/>
        </w:rPr>
        <w:t>27</w:t>
      </w:r>
      <w:r>
        <w:rPr>
          <w:rFonts w:hint="eastAsia" w:ascii="Times New Roman" w:hAnsi="Times New Roman" w:eastAsia="仿宋_GB2312" w:cs="仿宋_GB2312"/>
          <w:color w:val="000000"/>
          <w:kern w:val="0"/>
          <w:sz w:val="32"/>
          <w:szCs w:val="32"/>
        </w:rPr>
        <w:t>辆，其中：轿车</w:t>
      </w:r>
      <w:r>
        <w:rPr>
          <w:rFonts w:hint="eastAsia" w:ascii="Times New Roman" w:hAnsi="Times New Roman" w:eastAsia="仿宋_GB2312" w:cs="仿宋_GB2312"/>
          <w:color w:val="000000"/>
          <w:kern w:val="0"/>
          <w:sz w:val="32"/>
          <w:szCs w:val="32"/>
          <w:lang w:val="en-US" w:eastAsia="zh-CN"/>
        </w:rPr>
        <w:t>2</w:t>
      </w:r>
      <w:r>
        <w:rPr>
          <w:rFonts w:hint="eastAsia" w:ascii="Times New Roman" w:hAnsi="Times New Roman" w:eastAsia="仿宋_GB2312" w:cs="仿宋_GB2312"/>
          <w:color w:val="000000"/>
          <w:kern w:val="0"/>
          <w:sz w:val="32"/>
          <w:szCs w:val="32"/>
        </w:rPr>
        <w:t>辆，越野车</w:t>
      </w:r>
      <w:r>
        <w:rPr>
          <w:rFonts w:hint="eastAsia" w:ascii="Times New Roman" w:hAnsi="Times New Roman" w:eastAsia="仿宋_GB2312" w:cs="仿宋_GB2312"/>
          <w:color w:val="000000"/>
          <w:kern w:val="0"/>
          <w:sz w:val="32"/>
          <w:szCs w:val="32"/>
          <w:lang w:val="en-US" w:eastAsia="zh-CN"/>
        </w:rPr>
        <w:t>2</w:t>
      </w:r>
      <w:r>
        <w:rPr>
          <w:rFonts w:hint="eastAsia" w:ascii="Times New Roman" w:hAnsi="Times New Roman" w:eastAsia="仿宋_GB2312" w:cs="仿宋_GB2312"/>
          <w:color w:val="000000"/>
          <w:kern w:val="0"/>
          <w:sz w:val="32"/>
          <w:szCs w:val="32"/>
        </w:rPr>
        <w:t>辆，其他车型</w:t>
      </w:r>
      <w:r>
        <w:rPr>
          <w:rFonts w:hint="eastAsia" w:ascii="Times New Roman" w:hAnsi="Times New Roman" w:eastAsia="仿宋_GB2312" w:cs="仿宋_GB2312"/>
          <w:color w:val="000000"/>
          <w:kern w:val="0"/>
          <w:sz w:val="32"/>
          <w:szCs w:val="32"/>
          <w:lang w:val="en-US" w:eastAsia="zh-CN"/>
        </w:rPr>
        <w:t>23</w:t>
      </w:r>
      <w:r>
        <w:rPr>
          <w:rFonts w:hint="eastAsia" w:ascii="Times New Roman" w:hAnsi="Times New Roman" w:eastAsia="仿宋_GB2312" w:cs="仿宋_GB2312"/>
          <w:color w:val="000000"/>
          <w:kern w:val="0"/>
          <w:sz w:val="32"/>
          <w:szCs w:val="32"/>
        </w:rPr>
        <w:t>辆。</w:t>
      </w:r>
    </w:p>
    <w:p w14:paraId="1144BB5F">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val="en-US" w:eastAsia="zh-CN"/>
        </w:rPr>
      </w:pPr>
      <w:r>
        <w:rPr>
          <w:rFonts w:hint="eastAsia" w:ascii="Times New Roman" w:hAnsi="Times New Roman" w:eastAsia="仿宋_GB2312" w:cs="仿宋_GB2312"/>
          <w:color w:val="000000"/>
          <w:kern w:val="0"/>
          <w:sz w:val="32"/>
          <w:szCs w:val="32"/>
          <w:lang w:val="en-US" w:eastAsia="zh-CN"/>
        </w:rPr>
        <w:t>2026年安排公务用车购置费0万元。</w:t>
      </w:r>
    </w:p>
    <w:p w14:paraId="44FDCDF4">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2026</w:t>
      </w:r>
      <w:r>
        <w:rPr>
          <w:rFonts w:hint="eastAsia" w:ascii="Times New Roman" w:hAnsi="Times New Roman" w:eastAsia="仿宋_GB2312" w:cs="仿宋_GB2312"/>
          <w:color w:val="000000"/>
          <w:kern w:val="0"/>
          <w:sz w:val="32"/>
          <w:szCs w:val="32"/>
        </w:rPr>
        <w:t>年安排公务用车运行维护费</w:t>
      </w:r>
      <w:r>
        <w:rPr>
          <w:rFonts w:hint="eastAsia" w:ascii="Times New Roman" w:hAnsi="Times New Roman" w:eastAsia="仿宋_GB2312" w:cs="仿宋_GB2312"/>
          <w:color w:val="000000"/>
          <w:kern w:val="0"/>
          <w:sz w:val="32"/>
          <w:szCs w:val="32"/>
          <w:lang w:val="en-US" w:eastAsia="zh-CN"/>
        </w:rPr>
        <w:t>80.50</w:t>
      </w:r>
      <w:r>
        <w:rPr>
          <w:rFonts w:hint="eastAsia" w:ascii="Times New Roman" w:hAnsi="Times New Roman" w:eastAsia="仿宋_GB2312" w:cs="仿宋_GB2312"/>
          <w:color w:val="000000"/>
          <w:kern w:val="0"/>
          <w:sz w:val="32"/>
          <w:szCs w:val="32"/>
        </w:rPr>
        <w:t>万元，用于公务用车燃油、维修、保险及其他车辆支出</w:t>
      </w:r>
      <w:r>
        <w:rPr>
          <w:rFonts w:hint="eastAsia" w:ascii="Times New Roman" w:hAnsi="Times New Roman" w:eastAsia="仿宋_GB2312" w:cs="仿宋_GB2312"/>
          <w:color w:val="000000"/>
          <w:kern w:val="0"/>
          <w:sz w:val="32"/>
          <w:szCs w:val="32"/>
          <w:lang w:eastAsia="zh-CN"/>
        </w:rPr>
        <w:t>，主要保障相关工作开展</w:t>
      </w:r>
      <w:r>
        <w:rPr>
          <w:rFonts w:hint="eastAsia" w:ascii="Times New Roman" w:hAnsi="Times New Roman" w:eastAsia="仿宋_GB2312" w:cs="仿宋_GB2312"/>
          <w:color w:val="000000"/>
          <w:kern w:val="0"/>
          <w:sz w:val="32"/>
          <w:szCs w:val="32"/>
        </w:rPr>
        <w:t>。</w:t>
      </w:r>
    </w:p>
    <w:p w14:paraId="52A62573">
      <w:pPr>
        <w:pStyle w:val="4"/>
        <w:bidi w:val="0"/>
        <w:rPr>
          <w:rStyle w:val="23"/>
          <w:rFonts w:hint="eastAsia" w:ascii="黑体" w:hAnsi="黑体" w:eastAsia="黑体" w:cs="黑体"/>
          <w:b w:val="0"/>
          <w:bCs/>
          <w:lang w:eastAsia="zh-CN"/>
        </w:rPr>
      </w:pPr>
      <w:r>
        <w:rPr>
          <w:rStyle w:val="23"/>
          <w:rFonts w:hint="eastAsia" w:ascii="黑体" w:hAnsi="黑体" w:eastAsia="黑体" w:cs="黑体"/>
          <w:b w:val="0"/>
          <w:bCs/>
          <w:lang w:eastAsia="zh-CN"/>
        </w:rPr>
        <w:t>八</w:t>
      </w:r>
      <w:r>
        <w:rPr>
          <w:rStyle w:val="23"/>
          <w:rFonts w:hint="eastAsia" w:ascii="黑体" w:hAnsi="黑体" w:eastAsia="黑体" w:cs="黑体"/>
          <w:b w:val="0"/>
          <w:bCs/>
        </w:rPr>
        <w:t>、其他重要事项的情况说明</w:t>
      </w:r>
    </w:p>
    <w:p w14:paraId="3031EC35">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（一）机关运行经费。</w:t>
      </w:r>
    </w:p>
    <w:p w14:paraId="6CE245EC">
      <w:pPr>
        <w:bidi w:val="0"/>
        <w:rPr>
          <w:rFonts w:hint="eastAsia" w:ascii="Times New Roman" w:hAnsi="Times New Roman" w:eastAsia="仿宋_GB2312" w:cs="仿宋_GB2312"/>
          <w:color w:val="000000"/>
          <w:sz w:val="32"/>
          <w:szCs w:val="32"/>
          <w:shd w:val="clear" w:color="auto" w:fill="FFFFFF"/>
        </w:rPr>
      </w:pPr>
      <w:r>
        <w:rPr>
          <w:rFonts w:hint="eastAsia" w:ascii="Times New Roman" w:hAnsi="Times New Roman" w:eastAsia="仿宋_GB2312" w:cs="仿宋_GB2312"/>
          <w:color w:val="000000"/>
          <w:sz w:val="32"/>
          <w:szCs w:val="32"/>
          <w:shd w:val="clear" w:color="auto" w:fill="FFFFFF"/>
          <w:lang w:eastAsia="zh-CN"/>
        </w:rPr>
        <w:t>2026</w:t>
      </w:r>
      <w:r>
        <w:rPr>
          <w:rFonts w:hint="eastAsia" w:ascii="Times New Roman" w:hAnsi="Times New Roman" w:eastAsia="仿宋_GB2312" w:cs="仿宋_GB2312"/>
          <w:color w:val="000000"/>
          <w:sz w:val="32"/>
          <w:szCs w:val="32"/>
          <w:shd w:val="clear" w:color="auto" w:fill="FFFFFF"/>
        </w:rPr>
        <w:t>年</w:t>
      </w:r>
      <w:r>
        <w:rPr>
          <w:rFonts w:hint="eastAsia" w:ascii="Times New Roman" w:hAnsi="Times New Roman" w:eastAsia="仿宋_GB2312" w:cs="仿宋_GB2312"/>
          <w:color w:val="000000"/>
          <w:sz w:val="32"/>
          <w:szCs w:val="32"/>
          <w:shd w:val="clear" w:color="auto" w:fill="FFFFFF"/>
          <w:lang w:eastAsia="zh-CN"/>
        </w:rPr>
        <w:t>，峨边彝族自治县卫生健康局</w:t>
      </w:r>
      <w:r>
        <w:rPr>
          <w:rFonts w:hint="eastAsia" w:ascii="Times New Roman" w:hAnsi="Times New Roman" w:eastAsia="仿宋_GB2312" w:cs="仿宋_GB2312"/>
          <w:color w:val="000000" w:themeColor="text1"/>
          <w:sz w:val="32"/>
          <w:szCs w:val="32"/>
          <w:lang w:eastAsia="zh-CN"/>
          <w14:textFill>
            <w14:solidFill>
              <w14:schemeClr w14:val="tx1"/>
            </w14:solidFill>
          </w14:textFill>
        </w:rPr>
        <w:t>运行经费财政拨款预算为</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74.30</w:t>
      </w:r>
      <w:r>
        <w:rPr>
          <w:rFonts w:hint="eastAsia" w:ascii="Times New Roman" w:hAnsi="Times New Roman" w:eastAsia="仿宋_GB2312" w:cs="仿宋_GB2312"/>
          <w:color w:val="000000"/>
          <w:sz w:val="32"/>
          <w:szCs w:val="32"/>
          <w:shd w:val="clear" w:color="auto" w:fill="FFFFFF"/>
        </w:rPr>
        <w:t>万元</w:t>
      </w:r>
      <w:r>
        <w:rPr>
          <w:rFonts w:hint="eastAsia" w:ascii="Times New Roman" w:hAnsi="Times New Roman" w:eastAsia="仿宋_GB2312" w:cs="仿宋_GB2312"/>
          <w:color w:val="000000"/>
          <w:sz w:val="32"/>
          <w:szCs w:val="32"/>
          <w:shd w:val="clear" w:color="auto" w:fill="FFFFFF"/>
          <w:lang w:eastAsia="zh-CN"/>
        </w:rPr>
        <w:t>，比2025年预算增</w:t>
      </w:r>
      <w:r>
        <w:rPr>
          <w:rFonts w:hint="eastAsia" w:ascii="Times New Roman" w:hAnsi="Times New Roman" w:eastAsia="仿宋_GB2312" w:cs="仿宋_GB2312"/>
          <w:color w:val="auto"/>
          <w:kern w:val="0"/>
          <w:sz w:val="32"/>
          <w:szCs w:val="32"/>
          <w:lang w:eastAsia="zh-CN"/>
        </w:rPr>
        <w:t>加</w:t>
      </w:r>
      <w:r>
        <w:rPr>
          <w:rFonts w:hint="eastAsia" w:ascii="Times New Roman" w:hAnsi="Times New Roman" w:eastAsia="仿宋_GB2312" w:cs="仿宋_GB2312"/>
          <w:color w:val="auto"/>
          <w:kern w:val="0"/>
          <w:sz w:val="32"/>
          <w:szCs w:val="32"/>
          <w:lang w:val="en-US" w:eastAsia="zh-CN"/>
        </w:rPr>
        <w:t>4.42</w:t>
      </w:r>
      <w:r>
        <w:rPr>
          <w:rFonts w:hint="eastAsia" w:ascii="Times New Roman" w:hAnsi="Times New Roman" w:eastAsia="仿宋_GB2312" w:cs="仿宋_GB2312"/>
          <w:color w:val="auto"/>
          <w:kern w:val="0"/>
          <w:sz w:val="32"/>
          <w:szCs w:val="32"/>
          <w:lang w:eastAsia="zh-CN"/>
        </w:rPr>
        <w:t>万元，主要原因</w:t>
      </w:r>
      <w:r>
        <w:rPr>
          <w:rFonts w:hint="eastAsia" w:ascii="Times New Roman" w:hAnsi="Times New Roman" w:eastAsia="仿宋_GB2312" w:cs="仿宋_GB2312"/>
          <w:color w:val="auto"/>
          <w:kern w:val="0"/>
          <w:sz w:val="32"/>
          <w:szCs w:val="32"/>
          <w:lang w:val="en-US" w:eastAsia="zh-CN"/>
        </w:rPr>
        <w:t>2026年展开医共体建设工作，全力提升全域医疗服务能力，机关运行经费预算调增</w:t>
      </w:r>
      <w:r>
        <w:rPr>
          <w:rFonts w:hint="eastAsia" w:ascii="Times New Roman" w:hAnsi="Times New Roman" w:eastAsia="仿宋_GB2312" w:cs="仿宋_GB2312"/>
          <w:color w:val="000000"/>
          <w:sz w:val="32"/>
          <w:szCs w:val="32"/>
          <w:shd w:val="clear" w:color="auto" w:fill="FFFFFF"/>
        </w:rPr>
        <w:t>。</w:t>
      </w:r>
    </w:p>
    <w:p w14:paraId="09C4AF11">
      <w:pPr>
        <w:suppressAutoHyphens/>
        <w:spacing w:line="580" w:lineRule="exact"/>
        <w:ind w:firstLine="640" w:firstLineChars="200"/>
        <w:jc w:val="both"/>
        <w:outlineLvl w:val="2"/>
        <w:rPr>
          <w:rFonts w:hint="eastAsia" w:ascii="Times New Roman" w:hAnsi="Times New Roman" w:eastAsia="仿宋_GB2312" w:cs="仿宋_GB2312"/>
          <w:color w:val="000000"/>
          <w:kern w:val="0"/>
          <w:sz w:val="32"/>
          <w:szCs w:val="32"/>
          <w:lang w:eastAsia="zh-CN"/>
        </w:rPr>
      </w:pPr>
      <w:r>
        <w:rPr>
          <w:rFonts w:hint="eastAsia" w:ascii="Times New Roman" w:hAnsi="Times New Roman" w:eastAsia="楷体_GB2312" w:cs="Times New Roman"/>
          <w:b w:val="0"/>
          <w:bCs/>
          <w:sz w:val="32"/>
          <w:szCs w:val="32"/>
        </w:rPr>
        <w:t>（二）政府采购情况。</w:t>
      </w:r>
    </w:p>
    <w:p w14:paraId="4E84DB2A">
      <w:pPr>
        <w:suppressAutoHyphens/>
        <w:spacing w:line="580" w:lineRule="exact"/>
        <w:ind w:firstLine="640" w:firstLineChars="200"/>
        <w:jc w:val="both"/>
        <w:outlineLvl w:val="2"/>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峨边彝族自治县卫生健康局2026年无政府采购项目，未安排政府采购预算。</w:t>
      </w:r>
    </w:p>
    <w:p w14:paraId="2802C312">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rPr>
      </w:pPr>
      <w:r>
        <w:rPr>
          <w:rFonts w:hint="eastAsia" w:ascii="Times New Roman" w:hAnsi="Times New Roman" w:eastAsia="楷体_GB2312" w:cs="Times New Roman"/>
          <w:b w:val="0"/>
          <w:bCs/>
          <w:sz w:val="32"/>
          <w:szCs w:val="32"/>
        </w:rPr>
        <w:t>（</w:t>
      </w:r>
      <w:r>
        <w:rPr>
          <w:rFonts w:hint="eastAsia" w:ascii="Times New Roman" w:hAnsi="Times New Roman" w:eastAsia="楷体_GB2312" w:cs="Times New Roman"/>
          <w:b w:val="0"/>
          <w:bCs/>
          <w:sz w:val="32"/>
          <w:szCs w:val="32"/>
          <w:lang w:eastAsia="zh-CN"/>
        </w:rPr>
        <w:t>三</w:t>
      </w:r>
      <w:r>
        <w:rPr>
          <w:rFonts w:hint="eastAsia" w:ascii="Times New Roman" w:hAnsi="Times New Roman" w:eastAsia="楷体_GB2312" w:cs="Times New Roman"/>
          <w:b w:val="0"/>
          <w:bCs/>
          <w:sz w:val="32"/>
          <w:szCs w:val="32"/>
        </w:rPr>
        <w:t>）国有资产占有使用情况。</w:t>
      </w:r>
    </w:p>
    <w:p w14:paraId="6781A535">
      <w:pPr>
        <w:rPr>
          <w:rFonts w:hint="eastAsia" w:ascii="Times New Roman" w:hAnsi="Times New Roman" w:eastAsia="仿宋_GB2312" w:cs="仿宋_GB2312"/>
          <w:color w:val="000000"/>
          <w:kern w:val="0"/>
        </w:rPr>
      </w:pPr>
      <w:r>
        <w:rPr>
          <w:rFonts w:hint="eastAsia" w:ascii="Times New Roman" w:hAnsi="Times New Roman" w:eastAsia="仿宋_GB2312" w:cs="仿宋_GB2312"/>
          <w:color w:val="000000"/>
          <w:kern w:val="0"/>
        </w:rPr>
        <w:t>截至</w:t>
      </w:r>
      <w:r>
        <w:rPr>
          <w:rFonts w:hint="eastAsia" w:ascii="Times New Roman" w:hAnsi="Times New Roman" w:eastAsia="仿宋_GB2312" w:cs="仿宋_GB2312"/>
          <w:color w:val="000000"/>
          <w:kern w:val="0"/>
          <w:lang w:eastAsia="zh-CN"/>
        </w:rPr>
        <w:t>2025</w:t>
      </w:r>
      <w:r>
        <w:rPr>
          <w:rFonts w:hint="eastAsia" w:ascii="Times New Roman" w:hAnsi="Times New Roman" w:eastAsia="仿宋_GB2312" w:cs="仿宋_GB2312"/>
          <w:color w:val="000000"/>
          <w:kern w:val="0"/>
        </w:rPr>
        <w:t>年底，峨边彝族自治县卫生健康局所属各预算单位共有车辆</w:t>
      </w:r>
      <w:r>
        <w:rPr>
          <w:rFonts w:hint="eastAsia" w:ascii="Times New Roman" w:hAnsi="Times New Roman" w:eastAsia="仿宋_GB2312" w:cs="仿宋_GB2312"/>
          <w:color w:val="000000"/>
          <w:kern w:val="0"/>
          <w:lang w:val="en-US" w:eastAsia="zh-CN"/>
        </w:rPr>
        <w:t>27</w:t>
      </w:r>
      <w:r>
        <w:rPr>
          <w:rFonts w:hint="eastAsia" w:ascii="Times New Roman" w:hAnsi="Times New Roman" w:eastAsia="仿宋_GB2312" w:cs="仿宋_GB2312"/>
          <w:color w:val="000000"/>
          <w:kern w:val="0"/>
        </w:rPr>
        <w:t>辆</w:t>
      </w:r>
      <w:r>
        <w:rPr>
          <w:rFonts w:hint="eastAsia" w:ascii="Times New Roman" w:hAnsi="Times New Roman" w:eastAsia="仿宋_GB2312" w:cs="仿宋_GB2312"/>
          <w:color w:val="000000"/>
          <w:kern w:val="0"/>
          <w:lang w:eastAsia="zh-CN"/>
        </w:rPr>
        <w:t>，</w:t>
      </w:r>
      <w:r>
        <w:rPr>
          <w:rFonts w:hint="eastAsia" w:ascii="Times New Roman" w:hAnsi="Times New Roman" w:eastAsia="仿宋_GB2312" w:cs="仿宋_GB2312"/>
          <w:color w:val="000000"/>
          <w:kern w:val="0"/>
        </w:rPr>
        <w:t>其中，县级领导干部用车0辆、定向保障用车4辆、执法执勤用车0辆、特种专业技术用车19辆、其他车辆</w:t>
      </w:r>
      <w:r>
        <w:rPr>
          <w:rFonts w:hint="eastAsia" w:ascii="Times New Roman" w:hAnsi="Times New Roman" w:eastAsia="仿宋_GB2312" w:cs="仿宋_GB2312"/>
          <w:color w:val="000000"/>
          <w:kern w:val="0"/>
          <w:lang w:val="en-US" w:eastAsia="zh-CN"/>
        </w:rPr>
        <w:t>3</w:t>
      </w:r>
      <w:r>
        <w:rPr>
          <w:rFonts w:hint="eastAsia" w:ascii="Times New Roman" w:hAnsi="Times New Roman" w:eastAsia="仿宋_GB2312" w:cs="仿宋_GB2312"/>
          <w:color w:val="000000"/>
          <w:kern w:val="0"/>
        </w:rPr>
        <w:t>辆。单位价值200万元以上大型设备6台（套）。</w:t>
      </w:r>
    </w:p>
    <w:p w14:paraId="2C421AE5">
      <w:pPr>
        <w:rPr>
          <w:rFonts w:hint="eastAsia" w:ascii="Times New Roman" w:hAnsi="Times New Roman" w:eastAsia="仿宋_GB2312" w:cs="仿宋_GB2312"/>
          <w:color w:val="000000"/>
          <w:kern w:val="0"/>
        </w:rPr>
      </w:pPr>
      <w:r>
        <w:rPr>
          <w:rFonts w:hint="eastAsia" w:ascii="Times New Roman" w:hAnsi="Times New Roman" w:eastAsia="仿宋_GB2312" w:cs="仿宋_GB2312"/>
          <w:color w:val="000000"/>
          <w:kern w:val="0"/>
          <w:lang w:eastAsia="zh-CN"/>
        </w:rPr>
        <w:t>2026</w:t>
      </w:r>
      <w:r>
        <w:rPr>
          <w:rFonts w:hint="eastAsia" w:ascii="Times New Roman" w:hAnsi="Times New Roman" w:eastAsia="仿宋_GB2312" w:cs="仿宋_GB2312"/>
          <w:color w:val="000000"/>
          <w:kern w:val="0"/>
        </w:rPr>
        <w:t>年部门预算</w:t>
      </w:r>
      <w:r>
        <w:rPr>
          <w:rFonts w:hint="eastAsia" w:ascii="Times New Roman" w:hAnsi="Times New Roman" w:eastAsia="仿宋_GB2312" w:cs="仿宋_GB2312"/>
          <w:color w:val="000000" w:themeColor="text1"/>
          <w:kern w:val="0"/>
          <w14:textFill>
            <w14:solidFill>
              <w14:schemeClr w14:val="tx1"/>
            </w14:solidFill>
          </w14:textFill>
        </w:rPr>
        <w:t>未</w:t>
      </w:r>
      <w:r>
        <w:rPr>
          <w:rFonts w:hint="eastAsia" w:ascii="Times New Roman" w:hAnsi="Times New Roman" w:eastAsia="仿宋_GB2312" w:cs="仿宋_GB2312"/>
          <w:color w:val="000000"/>
          <w:kern w:val="0"/>
        </w:rPr>
        <w:t>安排购置车辆及单位价值200万元以上大型设备。</w:t>
      </w:r>
    </w:p>
    <w:p w14:paraId="6FA5243C">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w:t>
      </w:r>
      <w:r>
        <w:rPr>
          <w:rFonts w:hint="eastAsia" w:ascii="Times New Roman" w:hAnsi="Times New Roman" w:eastAsia="楷体_GB2312" w:cs="Times New Roman"/>
          <w:b w:val="0"/>
          <w:bCs/>
          <w:sz w:val="32"/>
          <w:szCs w:val="32"/>
          <w:lang w:eastAsia="zh-CN"/>
        </w:rPr>
        <w:t>四</w:t>
      </w:r>
      <w:r>
        <w:rPr>
          <w:rFonts w:hint="eastAsia" w:ascii="Times New Roman" w:hAnsi="Times New Roman" w:eastAsia="楷体_GB2312" w:cs="Times New Roman"/>
          <w:b w:val="0"/>
          <w:bCs/>
          <w:sz w:val="32"/>
          <w:szCs w:val="32"/>
        </w:rPr>
        <w:t>）绩效目标设置情况。</w:t>
      </w:r>
    </w:p>
    <w:p w14:paraId="22432148">
      <w:pPr>
        <w:bidi w:val="0"/>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2026年，峨边彝族自治县卫生健康局开展绩效目标管理的项目</w:t>
      </w:r>
      <w:r>
        <w:rPr>
          <w:rFonts w:hint="eastAsia" w:ascii="Times New Roman" w:hAnsi="Times New Roman" w:eastAsia="仿宋_GB2312" w:cs="仿宋_GB2312"/>
          <w:color w:val="000000"/>
          <w:kern w:val="0"/>
          <w:sz w:val="32"/>
          <w:szCs w:val="32"/>
          <w:lang w:val="en-US" w:eastAsia="zh-CN"/>
        </w:rPr>
        <w:t>24</w:t>
      </w:r>
      <w:r>
        <w:rPr>
          <w:rFonts w:hint="eastAsia" w:ascii="Times New Roman" w:hAnsi="Times New Roman" w:eastAsia="仿宋_GB2312" w:cs="仿宋_GB2312"/>
          <w:color w:val="000000"/>
          <w:kern w:val="0"/>
          <w:sz w:val="32"/>
          <w:szCs w:val="32"/>
          <w:lang w:eastAsia="zh-CN"/>
        </w:rPr>
        <w:t>个，涉及预算</w:t>
      </w:r>
      <w:r>
        <w:rPr>
          <w:rFonts w:hint="eastAsia" w:ascii="Times New Roman" w:hAnsi="Times New Roman" w:eastAsia="仿宋_GB2312" w:cs="仿宋_GB2312"/>
          <w:color w:val="000000"/>
          <w:kern w:val="0"/>
          <w:sz w:val="32"/>
          <w:szCs w:val="32"/>
          <w:lang w:val="en-US" w:eastAsia="zh-CN"/>
        </w:rPr>
        <w:t>7735.63</w:t>
      </w:r>
      <w:r>
        <w:rPr>
          <w:rFonts w:hint="eastAsia" w:ascii="Times New Roman" w:hAnsi="Times New Roman" w:eastAsia="仿宋_GB2312" w:cs="仿宋_GB2312"/>
          <w:color w:val="000000"/>
          <w:kern w:val="0"/>
          <w:sz w:val="32"/>
          <w:szCs w:val="32"/>
          <w:lang w:eastAsia="zh-CN"/>
        </w:rPr>
        <w:t>万元。其中：人员类项目</w:t>
      </w:r>
      <w:r>
        <w:rPr>
          <w:rFonts w:hint="eastAsia" w:ascii="Times New Roman" w:hAnsi="Times New Roman" w:eastAsia="仿宋_GB2312" w:cs="仿宋_GB2312"/>
          <w:color w:val="000000"/>
          <w:kern w:val="0"/>
          <w:sz w:val="32"/>
          <w:szCs w:val="32"/>
          <w:lang w:val="en-US" w:eastAsia="zh-CN"/>
        </w:rPr>
        <w:t>11</w:t>
      </w:r>
      <w:r>
        <w:rPr>
          <w:rFonts w:hint="eastAsia" w:ascii="Times New Roman" w:hAnsi="Times New Roman" w:eastAsia="仿宋_GB2312" w:cs="仿宋_GB2312"/>
          <w:color w:val="000000"/>
          <w:kern w:val="0"/>
          <w:sz w:val="32"/>
          <w:szCs w:val="32"/>
          <w:lang w:eastAsia="zh-CN"/>
        </w:rPr>
        <w:t>个，涉及预算</w:t>
      </w:r>
      <w:r>
        <w:rPr>
          <w:rFonts w:hint="eastAsia" w:ascii="Times New Roman" w:hAnsi="Times New Roman" w:eastAsia="仿宋_GB2312" w:cs="仿宋_GB2312"/>
          <w:color w:val="000000"/>
          <w:kern w:val="0"/>
          <w:sz w:val="32"/>
          <w:szCs w:val="32"/>
          <w:lang w:val="en-US" w:eastAsia="zh-CN"/>
        </w:rPr>
        <w:t>5970.39</w:t>
      </w:r>
      <w:r>
        <w:rPr>
          <w:rFonts w:hint="eastAsia" w:ascii="Times New Roman" w:hAnsi="Times New Roman" w:eastAsia="仿宋_GB2312" w:cs="仿宋_GB2312"/>
          <w:color w:val="000000"/>
          <w:kern w:val="0"/>
          <w:sz w:val="32"/>
          <w:szCs w:val="32"/>
          <w:lang w:eastAsia="zh-CN"/>
        </w:rPr>
        <w:t>万元；运转类项目</w:t>
      </w:r>
      <w:r>
        <w:rPr>
          <w:rFonts w:hint="eastAsia" w:ascii="Times New Roman" w:hAnsi="Times New Roman" w:eastAsia="仿宋_GB2312" w:cs="仿宋_GB2312"/>
          <w:color w:val="000000"/>
          <w:kern w:val="0"/>
          <w:sz w:val="32"/>
          <w:szCs w:val="32"/>
          <w:lang w:val="en-US" w:eastAsia="zh-CN"/>
        </w:rPr>
        <w:t>4</w:t>
      </w:r>
      <w:r>
        <w:rPr>
          <w:rFonts w:hint="eastAsia" w:ascii="Times New Roman" w:hAnsi="Times New Roman" w:eastAsia="仿宋_GB2312" w:cs="仿宋_GB2312"/>
          <w:color w:val="000000"/>
          <w:kern w:val="0"/>
          <w:sz w:val="32"/>
          <w:szCs w:val="32"/>
          <w:lang w:eastAsia="zh-CN"/>
        </w:rPr>
        <w:t>个，涉及预算</w:t>
      </w:r>
      <w:r>
        <w:rPr>
          <w:rFonts w:hint="eastAsia" w:ascii="Times New Roman" w:hAnsi="Times New Roman" w:eastAsia="仿宋_GB2312" w:cs="仿宋_GB2312"/>
          <w:color w:val="000000"/>
          <w:kern w:val="0"/>
          <w:sz w:val="32"/>
          <w:szCs w:val="32"/>
          <w:lang w:val="en-US" w:eastAsia="zh-CN"/>
        </w:rPr>
        <w:t>480.34</w:t>
      </w:r>
      <w:r>
        <w:rPr>
          <w:rFonts w:hint="eastAsia" w:ascii="Times New Roman" w:hAnsi="Times New Roman" w:eastAsia="仿宋_GB2312" w:cs="仿宋_GB2312"/>
          <w:color w:val="000000"/>
          <w:kern w:val="0"/>
          <w:sz w:val="32"/>
          <w:szCs w:val="32"/>
          <w:lang w:eastAsia="zh-CN"/>
        </w:rPr>
        <w:t>万元；特定目标类项目</w:t>
      </w:r>
      <w:r>
        <w:rPr>
          <w:rFonts w:hint="eastAsia" w:ascii="Times New Roman" w:hAnsi="Times New Roman" w:eastAsia="仿宋_GB2312" w:cs="仿宋_GB2312"/>
          <w:color w:val="000000"/>
          <w:kern w:val="0"/>
          <w:sz w:val="32"/>
          <w:szCs w:val="32"/>
          <w:lang w:val="en-US" w:eastAsia="zh-CN"/>
        </w:rPr>
        <w:t>9</w:t>
      </w:r>
      <w:r>
        <w:rPr>
          <w:rFonts w:hint="eastAsia" w:ascii="Times New Roman" w:hAnsi="Times New Roman" w:eastAsia="仿宋_GB2312" w:cs="仿宋_GB2312"/>
          <w:color w:val="000000"/>
          <w:kern w:val="0"/>
          <w:sz w:val="32"/>
          <w:szCs w:val="32"/>
          <w:lang w:eastAsia="zh-CN"/>
        </w:rPr>
        <w:t>个，涉及预算</w:t>
      </w:r>
      <w:r>
        <w:rPr>
          <w:rFonts w:hint="eastAsia" w:ascii="Times New Roman" w:hAnsi="Times New Roman" w:eastAsia="仿宋_GB2312" w:cs="仿宋_GB2312"/>
          <w:color w:val="000000"/>
          <w:kern w:val="0"/>
          <w:sz w:val="32"/>
          <w:szCs w:val="32"/>
          <w:lang w:val="en-US" w:eastAsia="zh-CN"/>
        </w:rPr>
        <w:t>1284.90</w:t>
      </w:r>
      <w:r>
        <w:rPr>
          <w:rFonts w:hint="eastAsia" w:ascii="Times New Roman" w:hAnsi="Times New Roman" w:eastAsia="仿宋_GB2312" w:cs="仿宋_GB2312"/>
          <w:color w:val="000000"/>
          <w:kern w:val="0"/>
          <w:sz w:val="32"/>
          <w:szCs w:val="32"/>
          <w:lang w:eastAsia="zh-CN"/>
        </w:rPr>
        <w:t>万元</w:t>
      </w:r>
      <w:r>
        <w:rPr>
          <w:rFonts w:hint="eastAsia" w:ascii="Times New Roman" w:hAnsi="Times New Roman" w:eastAsia="仿宋_GB2312" w:cs="仿宋_GB2312"/>
          <w:color w:val="000000"/>
          <w:kern w:val="0"/>
          <w:sz w:val="32"/>
          <w:szCs w:val="32"/>
        </w:rPr>
        <w:t>。</w:t>
      </w:r>
    </w:p>
    <w:p w14:paraId="20F608F5">
      <w:pPr>
        <w:pStyle w:val="2"/>
        <w:numPr>
          <w:ilvl w:val="0"/>
          <w:numId w:val="0"/>
        </w:numPr>
        <w:bidi w:val="0"/>
        <w:jc w:val="both"/>
        <w:rPr>
          <w:rFonts w:hint="eastAsia"/>
          <w:lang w:val="en-US" w:eastAsia="zh-CN"/>
        </w:rPr>
      </w:pPr>
    </w:p>
    <w:p w14:paraId="264639D5">
      <w:pPr>
        <w:rPr>
          <w:rFonts w:hint="eastAsia"/>
          <w:lang w:val="en-US" w:eastAsia="zh-CN"/>
        </w:rPr>
      </w:pPr>
    </w:p>
    <w:p w14:paraId="1E415B88">
      <w:pPr>
        <w:rPr>
          <w:rFonts w:hint="eastAsia"/>
          <w:lang w:val="en-US" w:eastAsia="zh-CN"/>
        </w:rPr>
      </w:pPr>
    </w:p>
    <w:p w14:paraId="222414C3">
      <w:pPr>
        <w:pStyle w:val="2"/>
        <w:numPr>
          <w:ilvl w:val="0"/>
          <w:numId w:val="0"/>
        </w:numPr>
        <w:bidi w:val="0"/>
        <w:jc w:val="center"/>
        <w:rPr>
          <w:rFonts w:hint="eastAsia" w:ascii="方正小标宋简体" w:hAnsi="方正小标宋简体" w:eastAsia="方正小标宋简体" w:cs="方正小标宋简体"/>
          <w:b w:val="0"/>
          <w:bCs/>
          <w:lang w:val="en-US" w:eastAsia="zh-CN"/>
        </w:rPr>
      </w:pPr>
    </w:p>
    <w:p w14:paraId="40A97D89">
      <w:pPr>
        <w:pStyle w:val="2"/>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第四部分  名词解释</w:t>
      </w:r>
    </w:p>
    <w:p w14:paraId="093A6DF9">
      <w:pPr>
        <w:widowControl/>
        <w:numPr>
          <w:ilvl w:val="0"/>
          <w:numId w:val="0"/>
        </w:numPr>
        <w:shd w:val="clear" w:color="auto" w:fill="FFFFFF"/>
        <w:ind w:left="960" w:leftChars="0"/>
        <w:jc w:val="left"/>
        <w:rPr>
          <w:rFonts w:hint="eastAsia" w:ascii="仿宋" w:hAnsi="宋体" w:eastAsia="仿宋" w:cs="宋体"/>
          <w:color w:val="000000"/>
          <w:kern w:val="0"/>
          <w:sz w:val="32"/>
          <w:szCs w:val="32"/>
        </w:rPr>
      </w:pPr>
    </w:p>
    <w:p w14:paraId="516D21DD">
      <w:pPr>
        <w:widowControl/>
        <w:numPr>
          <w:ilvl w:val="0"/>
          <w:numId w:val="0"/>
        </w:numPr>
        <w:shd w:val="clear" w:color="auto" w:fill="FFFFFF"/>
        <w:jc w:val="left"/>
        <w:rPr>
          <w:rFonts w:hint="eastAsia" w:ascii="仿宋" w:hAnsi="宋体" w:eastAsia="仿宋" w:cs="宋体"/>
          <w:color w:val="000000"/>
          <w:kern w:val="0"/>
          <w:sz w:val="32"/>
          <w:szCs w:val="32"/>
        </w:rPr>
      </w:pPr>
    </w:p>
    <w:p w14:paraId="3DBA96E8">
      <w:pPr>
        <w:widowControl/>
        <w:numPr>
          <w:ilvl w:val="0"/>
          <w:numId w:val="0"/>
        </w:numPr>
        <w:shd w:val="clear" w:color="auto" w:fill="FFFFFF"/>
        <w:jc w:val="left"/>
        <w:rPr>
          <w:rFonts w:hint="eastAsia" w:ascii="仿宋" w:hAnsi="宋体" w:eastAsia="仿宋" w:cs="宋体"/>
          <w:color w:val="000000"/>
          <w:kern w:val="0"/>
          <w:sz w:val="32"/>
          <w:szCs w:val="32"/>
        </w:rPr>
      </w:pPr>
    </w:p>
    <w:p w14:paraId="1021054B">
      <w:pPr>
        <w:widowControl/>
        <w:numPr>
          <w:ilvl w:val="0"/>
          <w:numId w:val="0"/>
        </w:numPr>
        <w:shd w:val="clear" w:color="auto" w:fill="FFFFFF"/>
        <w:jc w:val="left"/>
        <w:rPr>
          <w:rFonts w:hint="eastAsia" w:ascii="仿宋" w:hAnsi="宋体" w:eastAsia="仿宋" w:cs="宋体"/>
          <w:color w:val="000000"/>
          <w:kern w:val="0"/>
          <w:sz w:val="32"/>
          <w:szCs w:val="32"/>
        </w:rPr>
      </w:pPr>
    </w:p>
    <w:p w14:paraId="42278343">
      <w:pPr>
        <w:widowControl/>
        <w:numPr>
          <w:ilvl w:val="0"/>
          <w:numId w:val="0"/>
        </w:numPr>
        <w:shd w:val="clear" w:color="auto" w:fill="FFFFFF"/>
        <w:jc w:val="left"/>
        <w:rPr>
          <w:rFonts w:hint="eastAsia" w:ascii="仿宋" w:hAnsi="宋体" w:eastAsia="仿宋" w:cs="宋体"/>
          <w:color w:val="000000"/>
          <w:kern w:val="0"/>
          <w:sz w:val="32"/>
          <w:szCs w:val="32"/>
        </w:rPr>
      </w:pPr>
    </w:p>
    <w:p w14:paraId="714F4AF8">
      <w:pPr>
        <w:widowControl/>
        <w:numPr>
          <w:ilvl w:val="0"/>
          <w:numId w:val="0"/>
        </w:numPr>
        <w:shd w:val="clear" w:color="auto" w:fill="FFFFFF"/>
        <w:jc w:val="left"/>
        <w:rPr>
          <w:rFonts w:hint="eastAsia" w:ascii="仿宋" w:hAnsi="宋体" w:eastAsia="仿宋" w:cs="宋体"/>
          <w:color w:val="000000"/>
          <w:kern w:val="0"/>
          <w:sz w:val="32"/>
          <w:szCs w:val="32"/>
        </w:rPr>
      </w:pPr>
    </w:p>
    <w:p w14:paraId="197EBA59">
      <w:pPr>
        <w:widowControl/>
        <w:numPr>
          <w:ilvl w:val="0"/>
          <w:numId w:val="0"/>
        </w:numPr>
        <w:shd w:val="clear" w:color="auto" w:fill="FFFFFF"/>
        <w:jc w:val="left"/>
        <w:rPr>
          <w:rFonts w:hint="eastAsia" w:ascii="仿宋" w:hAnsi="宋体" w:eastAsia="仿宋" w:cs="宋体"/>
          <w:color w:val="000000"/>
          <w:kern w:val="0"/>
          <w:sz w:val="32"/>
          <w:szCs w:val="32"/>
        </w:rPr>
      </w:pPr>
    </w:p>
    <w:p w14:paraId="5255A0DF">
      <w:pPr>
        <w:widowControl/>
        <w:numPr>
          <w:ilvl w:val="0"/>
          <w:numId w:val="0"/>
        </w:numPr>
        <w:shd w:val="clear" w:color="auto" w:fill="FFFFFF"/>
        <w:jc w:val="left"/>
        <w:rPr>
          <w:rFonts w:hint="eastAsia" w:ascii="仿宋" w:hAnsi="宋体" w:eastAsia="仿宋" w:cs="宋体"/>
          <w:color w:val="000000"/>
          <w:kern w:val="0"/>
          <w:sz w:val="32"/>
          <w:szCs w:val="32"/>
        </w:rPr>
      </w:pPr>
    </w:p>
    <w:p w14:paraId="45EF003F">
      <w:pPr>
        <w:widowControl/>
        <w:numPr>
          <w:ilvl w:val="0"/>
          <w:numId w:val="0"/>
        </w:numPr>
        <w:shd w:val="clear" w:color="auto" w:fill="FFFFFF"/>
        <w:jc w:val="left"/>
        <w:rPr>
          <w:rFonts w:hint="eastAsia" w:ascii="仿宋" w:hAnsi="宋体" w:eastAsia="仿宋" w:cs="宋体"/>
          <w:color w:val="000000"/>
          <w:kern w:val="0"/>
          <w:sz w:val="32"/>
          <w:szCs w:val="32"/>
        </w:rPr>
      </w:pPr>
    </w:p>
    <w:p w14:paraId="656F9DBB">
      <w:pPr>
        <w:widowControl/>
        <w:numPr>
          <w:ilvl w:val="0"/>
          <w:numId w:val="0"/>
        </w:numPr>
        <w:shd w:val="clear" w:color="auto" w:fill="FFFFFF"/>
        <w:jc w:val="left"/>
        <w:rPr>
          <w:rFonts w:hint="eastAsia" w:ascii="仿宋" w:hAnsi="宋体" w:eastAsia="仿宋" w:cs="宋体"/>
          <w:color w:val="000000"/>
          <w:kern w:val="0"/>
          <w:sz w:val="32"/>
          <w:szCs w:val="32"/>
        </w:rPr>
      </w:pPr>
    </w:p>
    <w:p w14:paraId="6E0464BB">
      <w:pPr>
        <w:widowControl/>
        <w:numPr>
          <w:ilvl w:val="0"/>
          <w:numId w:val="0"/>
        </w:numPr>
        <w:shd w:val="clear" w:color="auto" w:fill="FFFFFF"/>
        <w:jc w:val="left"/>
        <w:rPr>
          <w:rFonts w:hint="eastAsia" w:ascii="仿宋" w:hAnsi="宋体" w:eastAsia="仿宋" w:cs="宋体"/>
          <w:color w:val="000000"/>
          <w:kern w:val="0"/>
          <w:sz w:val="32"/>
          <w:szCs w:val="32"/>
        </w:rPr>
      </w:pPr>
    </w:p>
    <w:p w14:paraId="2EC0E3D8">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一</w:t>
      </w:r>
      <w:r>
        <w:rPr>
          <w:rFonts w:hint="eastAsia" w:ascii="仿宋" w:hAnsi="仿宋" w:eastAsia="仿宋" w:cs="仿宋"/>
          <w:lang w:eastAsia="zh-CN"/>
        </w:rPr>
        <w:t>）</w:t>
      </w:r>
      <w:r>
        <w:rPr>
          <w:rFonts w:hint="eastAsia" w:ascii="仿宋" w:hAnsi="仿宋" w:eastAsia="仿宋" w:cs="仿宋"/>
        </w:rPr>
        <w:t>财政拨款收支情况：是指一般公共预算、政府性基金预算、国有资本经营预算拨款收支情况。</w:t>
      </w:r>
    </w:p>
    <w:p w14:paraId="4DC3FF72">
      <w:pPr>
        <w:bidi w:val="0"/>
        <w:rPr>
          <w:rFonts w:hint="eastAsia" w:ascii="仿宋" w:hAnsi="仿宋" w:eastAsia="仿宋" w:cs="仿宋"/>
          <w:lang w:eastAsia="zh-CN"/>
        </w:rPr>
      </w:pPr>
      <w:r>
        <w:rPr>
          <w:rFonts w:hint="eastAsia" w:ascii="仿宋" w:hAnsi="仿宋" w:eastAsia="仿宋" w:cs="仿宋"/>
          <w:lang w:eastAsia="zh-CN"/>
        </w:rPr>
        <w:t>（二）财政拨款收入：</w:t>
      </w:r>
      <w:r>
        <w:rPr>
          <w:rFonts w:hint="eastAsia" w:ascii="仿宋" w:hAnsi="仿宋" w:eastAsia="仿宋" w:cs="仿宋"/>
        </w:rPr>
        <w:t>指</w:t>
      </w:r>
      <w:r>
        <w:rPr>
          <w:rFonts w:hint="eastAsia" w:ascii="仿宋" w:hAnsi="仿宋" w:eastAsia="仿宋" w:cs="仿宋"/>
          <w:lang w:eastAsia="zh-CN"/>
        </w:rPr>
        <w:t>县</w:t>
      </w:r>
      <w:r>
        <w:rPr>
          <w:rFonts w:hint="eastAsia" w:ascii="仿宋" w:hAnsi="仿宋" w:eastAsia="仿宋" w:cs="仿宋"/>
        </w:rPr>
        <w:t>级财政当年拨付的资金。</w:t>
      </w:r>
    </w:p>
    <w:p w14:paraId="709B55F8">
      <w:pPr>
        <w:bidi w:val="0"/>
        <w:rPr>
          <w:rFonts w:hint="eastAsia" w:ascii="仿宋" w:hAnsi="仿宋" w:eastAsia="仿宋" w:cs="仿宋"/>
          <w:lang w:eastAsia="zh-CN"/>
        </w:rPr>
      </w:pPr>
      <w:r>
        <w:rPr>
          <w:rFonts w:hint="eastAsia" w:ascii="仿宋" w:hAnsi="仿宋" w:eastAsia="仿宋" w:cs="仿宋"/>
          <w:lang w:eastAsia="zh-CN"/>
        </w:rPr>
        <w:t>（三）事业收入：</w:t>
      </w:r>
      <w:r>
        <w:rPr>
          <w:rFonts w:hint="eastAsia" w:ascii="仿宋" w:hAnsi="仿宋" w:eastAsia="仿宋" w:cs="仿宋"/>
        </w:rPr>
        <w:t>指事业单位开展专业业务活动及辅助活动所取得的收入。</w:t>
      </w:r>
    </w:p>
    <w:p w14:paraId="0B741C76">
      <w:pPr>
        <w:bidi w:val="0"/>
        <w:rPr>
          <w:rFonts w:hint="eastAsia" w:ascii="仿宋" w:hAnsi="仿宋" w:eastAsia="仿宋" w:cs="仿宋"/>
          <w:lang w:eastAsia="zh-CN"/>
        </w:rPr>
      </w:pPr>
      <w:r>
        <w:rPr>
          <w:rFonts w:hint="eastAsia" w:ascii="仿宋" w:hAnsi="仿宋" w:eastAsia="仿宋" w:cs="仿宋"/>
          <w:lang w:eastAsia="zh-CN"/>
        </w:rPr>
        <w:t>（四）事业单位经营收入：</w:t>
      </w:r>
      <w:r>
        <w:rPr>
          <w:rFonts w:hint="eastAsia" w:ascii="仿宋" w:hAnsi="仿宋" w:eastAsia="仿宋" w:cs="仿宋"/>
        </w:rPr>
        <w:t>指事业单位在专业业务活动及其辅助活动之外开展非独立核算经营活动取得的收入。</w:t>
      </w:r>
    </w:p>
    <w:p w14:paraId="20C37CA2">
      <w:pPr>
        <w:bidi w:val="0"/>
        <w:rPr>
          <w:rFonts w:hint="eastAsia" w:ascii="仿宋" w:hAnsi="仿宋" w:eastAsia="仿宋" w:cs="仿宋"/>
          <w:lang w:eastAsia="zh-CN"/>
        </w:rPr>
      </w:pPr>
      <w:r>
        <w:rPr>
          <w:rFonts w:hint="eastAsia" w:ascii="仿宋" w:hAnsi="仿宋" w:eastAsia="仿宋" w:cs="仿宋"/>
          <w:lang w:eastAsia="zh-CN"/>
        </w:rPr>
        <w:t>（五）其他收入：</w:t>
      </w:r>
      <w:r>
        <w:rPr>
          <w:rFonts w:hint="eastAsia" w:ascii="仿宋" w:hAnsi="仿宋" w:eastAsia="仿宋" w:cs="仿宋"/>
        </w:rPr>
        <w:t>指除上述“一般公共预算拨款收入</w:t>
      </w:r>
      <w:r>
        <w:rPr>
          <w:rFonts w:hint="eastAsia" w:ascii="仿宋" w:hAnsi="仿宋" w:cs="仿宋"/>
          <w:lang w:eastAsia="zh-CN"/>
        </w:rPr>
        <w:t>”“</w:t>
      </w:r>
      <w:r>
        <w:rPr>
          <w:rFonts w:hint="eastAsia" w:ascii="仿宋" w:hAnsi="仿宋" w:eastAsia="仿宋" w:cs="仿宋"/>
        </w:rPr>
        <w:t>事业收入</w:t>
      </w:r>
      <w:r>
        <w:rPr>
          <w:rFonts w:hint="eastAsia" w:ascii="仿宋" w:hAnsi="仿宋" w:cs="仿宋"/>
          <w:lang w:eastAsia="zh-CN"/>
        </w:rPr>
        <w:t>”“</w:t>
      </w:r>
      <w:r>
        <w:rPr>
          <w:rFonts w:hint="eastAsia" w:ascii="仿宋" w:hAnsi="仿宋" w:eastAsia="仿宋" w:cs="仿宋"/>
        </w:rPr>
        <w:t>事业单位经营收入”等以外的收入。主要是利息收入、国有资产出租收入等。</w:t>
      </w:r>
    </w:p>
    <w:p w14:paraId="2F8002CA">
      <w:pPr>
        <w:bidi w:val="0"/>
        <w:rPr>
          <w:rFonts w:hint="eastAsia" w:ascii="仿宋" w:hAnsi="仿宋" w:eastAsia="仿宋" w:cs="仿宋"/>
          <w:lang w:eastAsia="zh-CN"/>
        </w:rPr>
      </w:pPr>
      <w:r>
        <w:rPr>
          <w:rFonts w:hint="eastAsia" w:ascii="仿宋" w:hAnsi="仿宋" w:eastAsia="仿宋" w:cs="仿宋"/>
          <w:lang w:val="en-US" w:eastAsia="zh-CN"/>
        </w:rPr>
        <w:t>（六）</w:t>
      </w:r>
      <w:r>
        <w:rPr>
          <w:rFonts w:hint="eastAsia" w:ascii="仿宋" w:hAnsi="仿宋" w:eastAsia="仿宋" w:cs="仿宋"/>
          <w:lang w:eastAsia="zh-CN"/>
        </w:rPr>
        <w:t>上年结转：</w:t>
      </w:r>
      <w:r>
        <w:rPr>
          <w:rFonts w:hint="eastAsia" w:ascii="仿宋" w:hAnsi="仿宋" w:eastAsia="仿宋" w:cs="仿宋"/>
        </w:rPr>
        <w:t>指以前年度</w:t>
      </w:r>
      <w:r>
        <w:rPr>
          <w:rFonts w:hint="eastAsia" w:ascii="仿宋" w:hAnsi="仿宋" w:eastAsia="仿宋" w:cs="仿宋"/>
          <w:lang w:eastAsia="zh-CN"/>
        </w:rPr>
        <w:t>安排、</w:t>
      </w:r>
      <w:r>
        <w:rPr>
          <w:rFonts w:hint="eastAsia" w:ascii="仿宋" w:hAnsi="仿宋" w:eastAsia="仿宋" w:cs="仿宋"/>
        </w:rPr>
        <w:t>结转到本年仍按原规定用途继续使用的资金。</w:t>
      </w:r>
    </w:p>
    <w:p w14:paraId="76B7082C">
      <w:pPr>
        <w:bidi w:val="0"/>
        <w:rPr>
          <w:rFonts w:hint="eastAsia" w:ascii="仿宋" w:hAnsi="仿宋" w:eastAsia="仿宋" w:cs="仿宋"/>
          <w:lang w:eastAsia="zh-CN"/>
        </w:rPr>
      </w:pPr>
      <w:r>
        <w:rPr>
          <w:rFonts w:hint="eastAsia" w:ascii="仿宋" w:hAnsi="仿宋" w:eastAsia="仿宋" w:cs="仿宋"/>
          <w:lang w:val="en-US" w:eastAsia="zh-CN"/>
        </w:rPr>
        <w:t>（七）</w:t>
      </w:r>
      <w:r>
        <w:rPr>
          <w:rFonts w:hint="eastAsia" w:ascii="仿宋" w:hAnsi="仿宋" w:eastAsia="仿宋" w:cs="仿宋"/>
          <w:lang w:eastAsia="zh-CN"/>
        </w:rPr>
        <w:t>社会保障和就业（类）行政事业单位养老支出（款）事业单位离退休（项）：</w:t>
      </w:r>
      <w:r>
        <w:rPr>
          <w:rFonts w:hint="eastAsia" w:ascii="仿宋" w:hAnsi="仿宋" w:eastAsia="仿宋" w:cs="仿宋"/>
        </w:rPr>
        <w:t>指</w:t>
      </w:r>
      <w:r>
        <w:rPr>
          <w:rFonts w:hint="eastAsia" w:ascii="仿宋" w:hAnsi="仿宋" w:eastAsia="仿宋" w:cs="仿宋"/>
          <w:lang w:eastAsia="zh-CN"/>
        </w:rPr>
        <w:t>事业单位开支的离退休经费</w:t>
      </w:r>
      <w:r>
        <w:rPr>
          <w:rFonts w:hint="eastAsia" w:ascii="仿宋" w:hAnsi="仿宋" w:eastAsia="仿宋" w:cs="仿宋"/>
        </w:rPr>
        <w:t>。</w:t>
      </w:r>
    </w:p>
    <w:p w14:paraId="4FFB9562">
      <w:pPr>
        <w:bidi w:val="0"/>
        <w:rPr>
          <w:rFonts w:hint="eastAsia" w:ascii="仿宋" w:hAnsi="仿宋" w:eastAsia="仿宋" w:cs="仿宋"/>
          <w:lang w:eastAsia="zh-CN"/>
        </w:rPr>
      </w:pPr>
      <w:r>
        <w:rPr>
          <w:rFonts w:hint="eastAsia" w:ascii="仿宋" w:hAnsi="仿宋" w:eastAsia="仿宋" w:cs="仿宋"/>
          <w:lang w:val="en-US" w:eastAsia="zh-CN"/>
        </w:rPr>
        <w:t>（八）</w:t>
      </w:r>
      <w:r>
        <w:rPr>
          <w:rFonts w:hint="eastAsia" w:ascii="仿宋" w:hAnsi="仿宋" w:eastAsia="仿宋" w:cs="仿宋"/>
          <w:lang w:eastAsia="zh-CN"/>
        </w:rPr>
        <w:t>社会保障和就业支出（类）行政事业单位养老支出（款）行政单位离退休（项）：</w:t>
      </w:r>
      <w:r>
        <w:rPr>
          <w:rFonts w:hint="eastAsia" w:ascii="仿宋" w:hAnsi="仿宋" w:eastAsia="仿宋" w:cs="仿宋"/>
        </w:rPr>
        <w:t>指</w:t>
      </w:r>
      <w:r>
        <w:rPr>
          <w:rFonts w:hint="eastAsia" w:ascii="仿宋" w:hAnsi="仿宋" w:eastAsia="仿宋" w:cs="仿宋"/>
          <w:lang w:eastAsia="zh-CN"/>
        </w:rPr>
        <w:t>行政单位（包括实行公务员管理的事业单位）开支的离退休经费。</w:t>
      </w:r>
    </w:p>
    <w:p w14:paraId="032F5AC5">
      <w:pPr>
        <w:bidi w:val="0"/>
        <w:rPr>
          <w:rFonts w:hint="eastAsia" w:ascii="仿宋" w:hAnsi="仿宋" w:eastAsia="仿宋" w:cs="仿宋"/>
          <w:lang w:eastAsia="zh-CN"/>
        </w:rPr>
      </w:pPr>
      <w:r>
        <w:rPr>
          <w:rFonts w:hint="eastAsia" w:ascii="仿宋" w:hAnsi="仿宋" w:eastAsia="仿宋" w:cs="仿宋"/>
          <w:lang w:eastAsia="zh-CN"/>
        </w:rPr>
        <w:t>（九）社会保障和就业支出（类）行政事业单位养老支出（款）机关事业单位基本养老保险缴费支出（项）：</w:t>
      </w:r>
      <w:r>
        <w:rPr>
          <w:rFonts w:hint="eastAsia" w:ascii="仿宋" w:hAnsi="仿宋" w:eastAsia="仿宋" w:cs="仿宋"/>
        </w:rPr>
        <w:t>指</w:t>
      </w:r>
      <w:r>
        <w:rPr>
          <w:rFonts w:hint="eastAsia" w:ascii="仿宋" w:hAnsi="仿宋" w:eastAsia="仿宋" w:cs="仿宋"/>
          <w:lang w:eastAsia="zh-CN"/>
        </w:rPr>
        <w:t>机关事业单位</w:t>
      </w:r>
      <w:r>
        <w:rPr>
          <w:rFonts w:hint="eastAsia" w:ascii="仿宋" w:hAnsi="仿宋" w:eastAsia="仿宋" w:cs="仿宋"/>
        </w:rPr>
        <w:t>实施养老保险制度由单位缴纳的</w:t>
      </w:r>
      <w:r>
        <w:rPr>
          <w:rFonts w:hint="eastAsia" w:ascii="仿宋" w:hAnsi="仿宋" w:eastAsia="仿宋" w:cs="仿宋"/>
          <w:lang w:eastAsia="zh-CN"/>
        </w:rPr>
        <w:t>基本</w:t>
      </w:r>
      <w:r>
        <w:rPr>
          <w:rFonts w:hint="eastAsia" w:ascii="仿宋" w:hAnsi="仿宋" w:eastAsia="仿宋" w:cs="仿宋"/>
        </w:rPr>
        <w:t>养老保险费的支出。</w:t>
      </w:r>
    </w:p>
    <w:p w14:paraId="7BD18598">
      <w:pPr>
        <w:bidi w:val="0"/>
        <w:rPr>
          <w:rFonts w:hint="eastAsia" w:ascii="仿宋" w:hAnsi="仿宋" w:eastAsia="仿宋" w:cs="仿宋"/>
          <w:lang w:eastAsia="zh-CN"/>
        </w:rPr>
      </w:pPr>
      <w:r>
        <w:rPr>
          <w:rFonts w:hint="eastAsia" w:ascii="仿宋" w:hAnsi="仿宋" w:eastAsia="仿宋" w:cs="仿宋"/>
          <w:lang w:eastAsia="zh-CN"/>
        </w:rPr>
        <w:t>（十）社会保障和就业支出（类）行政事业单位养老支出（款）机关事业单位职业年金缴费支出（项）：</w:t>
      </w:r>
      <w:r>
        <w:rPr>
          <w:rFonts w:hint="eastAsia" w:ascii="仿宋" w:hAnsi="仿宋" w:eastAsia="仿宋" w:cs="仿宋"/>
        </w:rPr>
        <w:t>指</w:t>
      </w:r>
      <w:r>
        <w:rPr>
          <w:rFonts w:hint="eastAsia" w:ascii="仿宋" w:hAnsi="仿宋" w:eastAsia="仿宋" w:cs="仿宋"/>
          <w:lang w:eastAsia="zh-CN"/>
        </w:rPr>
        <w:t>机关事业单位</w:t>
      </w:r>
      <w:r>
        <w:rPr>
          <w:rFonts w:hint="eastAsia" w:ascii="仿宋" w:hAnsi="仿宋" w:eastAsia="仿宋" w:cs="仿宋"/>
        </w:rPr>
        <w:t>实施养老保险制度由单位缴纳的职业年金的支出</w:t>
      </w:r>
      <w:r>
        <w:rPr>
          <w:rFonts w:hint="eastAsia" w:ascii="仿宋" w:hAnsi="仿宋" w:eastAsia="仿宋" w:cs="仿宋"/>
          <w:lang w:eastAsia="zh-CN"/>
        </w:rPr>
        <w:t>（含职业年金补记支出）</w:t>
      </w:r>
      <w:r>
        <w:rPr>
          <w:rFonts w:hint="eastAsia" w:ascii="仿宋" w:hAnsi="仿宋" w:eastAsia="仿宋" w:cs="仿宋"/>
        </w:rPr>
        <w:t>。</w:t>
      </w:r>
    </w:p>
    <w:p w14:paraId="07178005">
      <w:pPr>
        <w:bidi w:val="0"/>
        <w:rPr>
          <w:rFonts w:hint="eastAsia" w:ascii="仿宋" w:hAnsi="仿宋" w:eastAsia="仿宋" w:cs="仿宋"/>
        </w:rPr>
      </w:pPr>
      <w:r>
        <w:rPr>
          <w:rFonts w:hint="eastAsia" w:ascii="仿宋" w:hAnsi="仿宋" w:eastAsia="仿宋" w:cs="仿宋"/>
          <w:lang w:eastAsia="zh-CN"/>
        </w:rPr>
        <w:t>（十一）社会保障和就业支出（类）其他社会保障和就业支出（款）其他社会保障和就业支出（项）：</w:t>
      </w:r>
      <w:r>
        <w:rPr>
          <w:rFonts w:hint="eastAsia" w:ascii="仿宋" w:hAnsi="仿宋" w:eastAsia="仿宋" w:cs="仿宋"/>
        </w:rPr>
        <w:t>指除上述项目</w:t>
      </w:r>
      <w:r>
        <w:rPr>
          <w:rFonts w:hint="eastAsia" w:ascii="仿宋" w:hAnsi="仿宋" w:eastAsia="仿宋" w:cs="仿宋"/>
          <w:lang w:eastAsia="zh-CN"/>
        </w:rPr>
        <w:t>以外</w:t>
      </w:r>
      <w:r>
        <w:rPr>
          <w:rFonts w:hint="eastAsia" w:ascii="仿宋" w:hAnsi="仿宋" w:eastAsia="仿宋" w:cs="仿宋"/>
        </w:rPr>
        <w:t>其他用于</w:t>
      </w:r>
      <w:r>
        <w:rPr>
          <w:rFonts w:hint="eastAsia" w:ascii="仿宋" w:hAnsi="仿宋" w:eastAsia="仿宋" w:cs="仿宋"/>
          <w:lang w:eastAsia="zh-CN"/>
        </w:rPr>
        <w:t>社会保障和就业</w:t>
      </w:r>
      <w:r>
        <w:rPr>
          <w:rFonts w:hint="eastAsia" w:ascii="仿宋" w:hAnsi="仿宋" w:eastAsia="仿宋" w:cs="仿宋"/>
        </w:rPr>
        <w:t>方面的支出。</w:t>
      </w:r>
    </w:p>
    <w:p w14:paraId="3E7077BA">
      <w:pPr>
        <w:bidi w:val="0"/>
        <w:rPr>
          <w:rFonts w:hint="eastAsia" w:ascii="仿宋" w:hAnsi="仿宋" w:eastAsia="仿宋" w:cs="仿宋"/>
          <w:lang w:eastAsia="zh-CN"/>
        </w:rPr>
      </w:pPr>
      <w:r>
        <w:rPr>
          <w:rFonts w:hint="eastAsia" w:ascii="仿宋" w:hAnsi="仿宋" w:eastAsia="仿宋" w:cs="仿宋"/>
          <w:lang w:eastAsia="zh-CN"/>
        </w:rPr>
        <w:t>（十</w:t>
      </w:r>
      <w:r>
        <w:rPr>
          <w:rFonts w:hint="eastAsia" w:ascii="仿宋" w:hAnsi="仿宋" w:cs="仿宋"/>
          <w:lang w:val="en-US" w:eastAsia="zh-CN"/>
        </w:rPr>
        <w:t>二</w:t>
      </w:r>
      <w:r>
        <w:rPr>
          <w:rFonts w:hint="eastAsia" w:ascii="仿宋" w:hAnsi="仿宋" w:eastAsia="仿宋" w:cs="仿宋"/>
          <w:lang w:eastAsia="zh-CN"/>
        </w:rPr>
        <w:t>）卫生健康支出（类）卫生健康管理事务（款）行政运行（项）：</w:t>
      </w:r>
      <w:r>
        <w:rPr>
          <w:rFonts w:hint="eastAsia" w:ascii="仿宋" w:hAnsi="仿宋" w:cs="仿宋"/>
          <w:lang w:val="en-US" w:eastAsia="zh-CN"/>
        </w:rPr>
        <w:t>指</w:t>
      </w:r>
      <w:r>
        <w:rPr>
          <w:rFonts w:hint="eastAsia" w:ascii="仿宋" w:hAnsi="仿宋" w:eastAsia="仿宋" w:cs="仿宋"/>
          <w:lang w:eastAsia="zh-CN"/>
        </w:rPr>
        <w:t>行政单位（包括实行公务员管理的事业单位）的基本支出。</w:t>
      </w:r>
    </w:p>
    <w:p w14:paraId="6397ECD4">
      <w:pPr>
        <w:bidi w:val="0"/>
        <w:rPr>
          <w:rFonts w:hint="eastAsia" w:ascii="仿宋" w:hAnsi="仿宋" w:eastAsia="仿宋" w:cs="仿宋"/>
          <w:lang w:eastAsia="zh-CN"/>
        </w:rPr>
      </w:pPr>
      <w:r>
        <w:rPr>
          <w:rFonts w:hint="eastAsia" w:ascii="仿宋" w:hAnsi="仿宋" w:eastAsia="仿宋" w:cs="仿宋"/>
          <w:lang w:eastAsia="zh-CN"/>
        </w:rPr>
        <w:t>（十</w:t>
      </w:r>
      <w:r>
        <w:rPr>
          <w:rFonts w:hint="eastAsia" w:ascii="仿宋" w:hAnsi="仿宋" w:cs="仿宋"/>
          <w:lang w:val="en-US" w:eastAsia="zh-CN"/>
        </w:rPr>
        <w:t>三</w:t>
      </w:r>
      <w:r>
        <w:rPr>
          <w:rFonts w:hint="eastAsia" w:ascii="仿宋" w:hAnsi="仿宋" w:eastAsia="仿宋" w:cs="仿宋"/>
          <w:lang w:eastAsia="zh-CN"/>
        </w:rPr>
        <w:t>）卫生健康支出（类）卫生健康管理事务（款）其他卫生健康管理事务支出（项）：</w:t>
      </w:r>
      <w:r>
        <w:rPr>
          <w:rFonts w:hint="eastAsia" w:ascii="仿宋" w:hAnsi="仿宋" w:cs="仿宋"/>
          <w:lang w:val="en-US" w:eastAsia="zh-CN"/>
        </w:rPr>
        <w:t>指</w:t>
      </w:r>
      <w:r>
        <w:rPr>
          <w:rFonts w:hint="eastAsia" w:ascii="仿宋" w:hAnsi="仿宋" w:eastAsia="仿宋" w:cs="仿宋"/>
          <w:lang w:eastAsia="zh-CN"/>
        </w:rPr>
        <w:t>除上述项目以外其他用于卫生健康管理事务方面的支出。</w:t>
      </w:r>
    </w:p>
    <w:p w14:paraId="1F2B7B2C">
      <w:pPr>
        <w:bidi w:val="0"/>
        <w:rPr>
          <w:rFonts w:hint="eastAsia" w:ascii="仿宋" w:hAnsi="仿宋" w:eastAsia="仿宋" w:cs="仿宋"/>
          <w:lang w:eastAsia="zh-CN"/>
        </w:rPr>
      </w:pPr>
      <w:r>
        <w:rPr>
          <w:rFonts w:hint="eastAsia" w:ascii="仿宋" w:hAnsi="仿宋" w:eastAsia="仿宋" w:cs="仿宋"/>
          <w:lang w:eastAsia="zh-CN"/>
        </w:rPr>
        <w:t>（十</w:t>
      </w:r>
      <w:r>
        <w:rPr>
          <w:rFonts w:hint="eastAsia" w:ascii="仿宋" w:hAnsi="仿宋" w:cs="仿宋"/>
          <w:lang w:val="en-US" w:eastAsia="zh-CN"/>
        </w:rPr>
        <w:t>四</w:t>
      </w:r>
      <w:r>
        <w:rPr>
          <w:rFonts w:hint="eastAsia" w:ascii="仿宋" w:hAnsi="仿宋" w:eastAsia="仿宋" w:cs="仿宋"/>
          <w:lang w:eastAsia="zh-CN"/>
        </w:rPr>
        <w:t>）卫生健康支出（类）</w:t>
      </w:r>
      <w:r>
        <w:rPr>
          <w:rFonts w:hint="eastAsia" w:ascii="仿宋" w:hAnsi="仿宋" w:cs="仿宋"/>
          <w:lang w:val="en-US" w:eastAsia="zh-CN"/>
        </w:rPr>
        <w:t>公立医院</w:t>
      </w:r>
      <w:r>
        <w:rPr>
          <w:rFonts w:hint="eastAsia" w:ascii="仿宋" w:hAnsi="仿宋" w:eastAsia="仿宋" w:cs="仿宋"/>
          <w:lang w:eastAsia="zh-CN"/>
        </w:rPr>
        <w:t>（款）</w:t>
      </w:r>
      <w:r>
        <w:rPr>
          <w:rFonts w:hint="eastAsia" w:ascii="仿宋" w:hAnsi="仿宋" w:cs="仿宋"/>
          <w:lang w:val="en-US" w:eastAsia="zh-CN"/>
        </w:rPr>
        <w:t>综合医院</w:t>
      </w:r>
      <w:r>
        <w:rPr>
          <w:rFonts w:hint="eastAsia" w:ascii="仿宋" w:hAnsi="仿宋" w:eastAsia="仿宋" w:cs="仿宋"/>
          <w:lang w:eastAsia="zh-CN"/>
        </w:rPr>
        <w:t>（项）：</w:t>
      </w:r>
      <w:r>
        <w:rPr>
          <w:rFonts w:hint="eastAsia" w:ascii="仿宋" w:hAnsi="仿宋" w:cs="仿宋"/>
          <w:lang w:val="en-US" w:eastAsia="zh-CN"/>
        </w:rPr>
        <w:t>指</w:t>
      </w:r>
      <w:r>
        <w:rPr>
          <w:rFonts w:hint="eastAsia" w:ascii="仿宋" w:hAnsi="仿宋" w:eastAsia="仿宋" w:cs="仿宋"/>
          <w:lang w:eastAsia="zh-CN"/>
        </w:rPr>
        <w:t>反映卫生健康、中医部门所属的城市综合性医院、独立门诊、教学医院、疗养院和县医院的支出。</w:t>
      </w:r>
    </w:p>
    <w:p w14:paraId="16D1A495">
      <w:pPr>
        <w:bidi w:val="0"/>
        <w:rPr>
          <w:rFonts w:hint="eastAsia" w:ascii="仿宋" w:hAnsi="仿宋" w:eastAsia="仿宋" w:cs="仿宋"/>
          <w:lang w:eastAsia="zh-CN"/>
        </w:rPr>
      </w:pPr>
      <w:r>
        <w:rPr>
          <w:rFonts w:hint="eastAsia" w:ascii="仿宋" w:hAnsi="仿宋" w:eastAsia="仿宋" w:cs="仿宋"/>
          <w:lang w:eastAsia="zh-CN"/>
        </w:rPr>
        <w:t>（十</w:t>
      </w:r>
      <w:r>
        <w:rPr>
          <w:rFonts w:hint="eastAsia" w:ascii="仿宋" w:hAnsi="仿宋" w:cs="仿宋"/>
          <w:lang w:val="en-US" w:eastAsia="zh-CN"/>
        </w:rPr>
        <w:t>五</w:t>
      </w:r>
      <w:r>
        <w:rPr>
          <w:rFonts w:hint="eastAsia" w:ascii="仿宋" w:hAnsi="仿宋" w:eastAsia="仿宋" w:cs="仿宋"/>
          <w:lang w:eastAsia="zh-CN"/>
        </w:rPr>
        <w:t>）卫生健康支出（类）公立医院（款）中医（民族）医院（项）：</w:t>
      </w:r>
      <w:r>
        <w:rPr>
          <w:rFonts w:hint="eastAsia" w:ascii="仿宋" w:hAnsi="仿宋" w:cs="仿宋"/>
          <w:lang w:val="en-US" w:eastAsia="zh-CN"/>
        </w:rPr>
        <w:t>指</w:t>
      </w:r>
      <w:r>
        <w:rPr>
          <w:rFonts w:hint="eastAsia" w:ascii="仿宋" w:hAnsi="仿宋" w:eastAsia="仿宋" w:cs="仿宋"/>
          <w:lang w:eastAsia="zh-CN"/>
        </w:rPr>
        <w:t>卫生健康、中医部门所属的中医院、中西医结合医院、民族医院的支出。</w:t>
      </w:r>
    </w:p>
    <w:p w14:paraId="31EDCF95">
      <w:pPr>
        <w:bidi w:val="0"/>
        <w:rPr>
          <w:rFonts w:hint="eastAsia" w:ascii="仿宋" w:hAnsi="仿宋" w:eastAsia="仿宋" w:cs="仿宋"/>
          <w:lang w:eastAsia="zh-CN"/>
        </w:rPr>
      </w:pPr>
      <w:r>
        <w:rPr>
          <w:rFonts w:hint="eastAsia" w:ascii="仿宋" w:hAnsi="仿宋" w:eastAsia="仿宋" w:cs="仿宋"/>
          <w:lang w:eastAsia="zh-CN"/>
        </w:rPr>
        <w:t>（十</w:t>
      </w:r>
      <w:r>
        <w:rPr>
          <w:rFonts w:hint="eastAsia" w:ascii="仿宋" w:hAnsi="仿宋" w:cs="仿宋"/>
          <w:lang w:val="en-US" w:eastAsia="zh-CN"/>
        </w:rPr>
        <w:t>六</w:t>
      </w:r>
      <w:r>
        <w:rPr>
          <w:rFonts w:hint="eastAsia" w:ascii="仿宋" w:hAnsi="仿宋" w:eastAsia="仿宋" w:cs="仿宋"/>
          <w:lang w:eastAsia="zh-CN"/>
        </w:rPr>
        <w:t>）卫生健康支出（类）公立医院（款）其他公立医院支出（项）：</w:t>
      </w:r>
      <w:r>
        <w:rPr>
          <w:rFonts w:hint="eastAsia" w:ascii="仿宋" w:hAnsi="仿宋" w:cs="仿宋"/>
          <w:lang w:val="en-US" w:eastAsia="zh-CN"/>
        </w:rPr>
        <w:t>指</w:t>
      </w:r>
      <w:r>
        <w:rPr>
          <w:rFonts w:hint="eastAsia" w:ascii="仿宋" w:hAnsi="仿宋" w:eastAsia="仿宋" w:cs="仿宋"/>
          <w:lang w:eastAsia="zh-CN"/>
        </w:rPr>
        <w:t>除上述项目以外的其他用于公立医院方面的支出。</w:t>
      </w:r>
    </w:p>
    <w:p w14:paraId="155A0316">
      <w:pPr>
        <w:bidi w:val="0"/>
        <w:rPr>
          <w:rFonts w:hint="eastAsia" w:ascii="仿宋" w:hAnsi="仿宋" w:eastAsia="仿宋" w:cs="仿宋"/>
          <w:lang w:eastAsia="zh-CN"/>
        </w:rPr>
      </w:pPr>
      <w:r>
        <w:rPr>
          <w:rFonts w:hint="eastAsia" w:ascii="仿宋" w:hAnsi="仿宋" w:eastAsia="仿宋" w:cs="仿宋"/>
          <w:lang w:eastAsia="zh-CN"/>
        </w:rPr>
        <w:t>（十</w:t>
      </w:r>
      <w:r>
        <w:rPr>
          <w:rFonts w:hint="eastAsia" w:ascii="仿宋" w:hAnsi="仿宋" w:cs="仿宋"/>
          <w:lang w:val="en-US" w:eastAsia="zh-CN"/>
        </w:rPr>
        <w:t>七</w:t>
      </w:r>
      <w:r>
        <w:rPr>
          <w:rFonts w:hint="eastAsia" w:ascii="仿宋" w:hAnsi="仿宋" w:eastAsia="仿宋" w:cs="仿宋"/>
          <w:lang w:eastAsia="zh-CN"/>
        </w:rPr>
        <w:t>）卫生健康支出（类）基层医疗卫生机构（款）乡镇卫生院（项）：</w:t>
      </w:r>
      <w:r>
        <w:rPr>
          <w:rFonts w:hint="eastAsia" w:ascii="仿宋" w:hAnsi="仿宋" w:cs="仿宋"/>
          <w:lang w:val="en-US" w:eastAsia="zh-CN"/>
        </w:rPr>
        <w:t>指</w:t>
      </w:r>
      <w:r>
        <w:rPr>
          <w:rFonts w:hint="eastAsia" w:ascii="仿宋" w:hAnsi="仿宋" w:eastAsia="仿宋" w:cs="仿宋"/>
          <w:lang w:eastAsia="zh-CN"/>
        </w:rPr>
        <w:t>用于乡镇卫生院的支出。</w:t>
      </w:r>
    </w:p>
    <w:p w14:paraId="054062E5">
      <w:pPr>
        <w:bidi w:val="0"/>
        <w:rPr>
          <w:rFonts w:hint="eastAsia" w:ascii="仿宋" w:hAnsi="仿宋" w:eastAsia="仿宋" w:cs="仿宋"/>
          <w:lang w:eastAsia="zh-CN"/>
        </w:rPr>
      </w:pPr>
      <w:r>
        <w:rPr>
          <w:rFonts w:hint="eastAsia" w:ascii="仿宋" w:hAnsi="仿宋" w:eastAsia="仿宋" w:cs="仿宋"/>
          <w:lang w:eastAsia="zh-CN"/>
        </w:rPr>
        <w:t>（十</w:t>
      </w:r>
      <w:r>
        <w:rPr>
          <w:rFonts w:hint="eastAsia" w:ascii="仿宋" w:hAnsi="仿宋" w:cs="仿宋"/>
          <w:lang w:val="en-US" w:eastAsia="zh-CN"/>
        </w:rPr>
        <w:t>八</w:t>
      </w:r>
      <w:r>
        <w:rPr>
          <w:rFonts w:hint="eastAsia" w:ascii="仿宋" w:hAnsi="仿宋" w:eastAsia="仿宋" w:cs="仿宋"/>
          <w:lang w:eastAsia="zh-CN"/>
        </w:rPr>
        <w:t>）卫生健康支出（类）基层医疗卫生机构（款）其他基层医疗卫生机构（项）：反映除上述项目以外的其他用于基层医疗卫生机构的支出。</w:t>
      </w:r>
    </w:p>
    <w:p w14:paraId="534053F0">
      <w:pPr>
        <w:bidi w:val="0"/>
        <w:rPr>
          <w:rFonts w:hint="eastAsia" w:ascii="仿宋" w:hAnsi="仿宋" w:eastAsia="仿宋" w:cs="仿宋"/>
          <w:lang w:eastAsia="zh-CN"/>
        </w:rPr>
      </w:pPr>
      <w:r>
        <w:rPr>
          <w:rFonts w:hint="eastAsia" w:ascii="仿宋" w:hAnsi="仿宋" w:eastAsia="仿宋" w:cs="仿宋"/>
          <w:lang w:eastAsia="zh-CN"/>
        </w:rPr>
        <w:t>（十</w:t>
      </w:r>
      <w:r>
        <w:rPr>
          <w:rFonts w:hint="eastAsia" w:ascii="仿宋" w:hAnsi="仿宋" w:cs="仿宋"/>
          <w:lang w:val="en-US" w:eastAsia="zh-CN"/>
        </w:rPr>
        <w:t>九</w:t>
      </w:r>
      <w:r>
        <w:rPr>
          <w:rFonts w:hint="eastAsia" w:ascii="仿宋" w:hAnsi="仿宋" w:eastAsia="仿宋" w:cs="仿宋"/>
          <w:lang w:eastAsia="zh-CN"/>
        </w:rPr>
        <w:t>）卫生健康支出（类）</w:t>
      </w:r>
      <w:r>
        <w:rPr>
          <w:rFonts w:hint="eastAsia" w:ascii="仿宋" w:hAnsi="仿宋" w:cs="仿宋"/>
          <w:lang w:val="en-US" w:eastAsia="zh-CN"/>
        </w:rPr>
        <w:t>公共卫生</w:t>
      </w:r>
      <w:r>
        <w:rPr>
          <w:rFonts w:hint="eastAsia" w:ascii="仿宋" w:hAnsi="仿宋" w:eastAsia="仿宋" w:cs="仿宋"/>
          <w:lang w:eastAsia="zh-CN"/>
        </w:rPr>
        <w:t>（款）疾病预防控制机构（项）：</w:t>
      </w:r>
      <w:r>
        <w:rPr>
          <w:rFonts w:hint="eastAsia" w:ascii="仿宋" w:hAnsi="仿宋" w:cs="仿宋"/>
          <w:lang w:val="en-US" w:eastAsia="zh-CN"/>
        </w:rPr>
        <w:t>指</w:t>
      </w:r>
      <w:r>
        <w:rPr>
          <w:rFonts w:hint="eastAsia" w:ascii="仿宋" w:hAnsi="仿宋" w:eastAsia="仿宋" w:cs="仿宋"/>
          <w:lang w:eastAsia="zh-CN"/>
        </w:rPr>
        <w:t>卫生健康、疾病预防控制部门所属疾病预防控制机构的支出。</w:t>
      </w:r>
    </w:p>
    <w:p w14:paraId="5A8E1EF2">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二十</w:t>
      </w:r>
      <w:r>
        <w:rPr>
          <w:rFonts w:hint="eastAsia" w:ascii="仿宋" w:hAnsi="仿宋" w:eastAsia="仿宋" w:cs="仿宋"/>
          <w:lang w:eastAsia="zh-CN"/>
        </w:rPr>
        <w:t>）卫生健康支出（类）</w:t>
      </w:r>
      <w:r>
        <w:rPr>
          <w:rFonts w:hint="eastAsia" w:ascii="仿宋" w:hAnsi="仿宋" w:cs="仿宋"/>
          <w:lang w:val="en-US" w:eastAsia="zh-CN"/>
        </w:rPr>
        <w:t>公共卫生</w:t>
      </w:r>
      <w:r>
        <w:rPr>
          <w:rFonts w:hint="eastAsia" w:ascii="仿宋" w:hAnsi="仿宋" w:eastAsia="仿宋" w:cs="仿宋"/>
          <w:lang w:eastAsia="zh-CN"/>
        </w:rPr>
        <w:t>（款）妇幼保健机构（项）：</w:t>
      </w:r>
      <w:r>
        <w:rPr>
          <w:rFonts w:hint="eastAsia" w:ascii="仿宋" w:hAnsi="仿宋" w:cs="仿宋"/>
          <w:lang w:val="en-US" w:eastAsia="zh-CN"/>
        </w:rPr>
        <w:t>指</w:t>
      </w:r>
      <w:r>
        <w:rPr>
          <w:rFonts w:hint="eastAsia" w:ascii="仿宋" w:hAnsi="仿宋" w:eastAsia="仿宋" w:cs="仿宋"/>
          <w:lang w:eastAsia="zh-CN"/>
        </w:rPr>
        <w:t>卫生健康部门所属妇幼保健机构的支出。</w:t>
      </w:r>
    </w:p>
    <w:p w14:paraId="7A2D1A4C">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二十一</w:t>
      </w:r>
      <w:r>
        <w:rPr>
          <w:rFonts w:hint="eastAsia" w:ascii="仿宋" w:hAnsi="仿宋" w:eastAsia="仿宋" w:cs="仿宋"/>
          <w:lang w:eastAsia="zh-CN"/>
        </w:rPr>
        <w:t>）卫生健康支出（类）公共卫生（款）基本公共卫生服务（项）：</w:t>
      </w:r>
      <w:r>
        <w:rPr>
          <w:rFonts w:hint="eastAsia" w:ascii="仿宋" w:hAnsi="仿宋" w:cs="仿宋"/>
          <w:lang w:val="en-US" w:eastAsia="zh-CN"/>
        </w:rPr>
        <w:t>指</w:t>
      </w:r>
      <w:r>
        <w:rPr>
          <w:rFonts w:hint="eastAsia" w:ascii="仿宋" w:hAnsi="仿宋" w:eastAsia="仿宋" w:cs="仿宋"/>
          <w:lang w:eastAsia="zh-CN"/>
        </w:rPr>
        <w:t>基本公共卫生服务支出。</w:t>
      </w:r>
    </w:p>
    <w:p w14:paraId="50966D5B">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二十二</w:t>
      </w:r>
      <w:r>
        <w:rPr>
          <w:rFonts w:hint="eastAsia" w:ascii="仿宋" w:hAnsi="仿宋" w:eastAsia="仿宋" w:cs="仿宋"/>
          <w:lang w:eastAsia="zh-CN"/>
        </w:rPr>
        <w:t>）卫生健康支出（类）公共卫生（款）重大公共卫生服务（项）：</w:t>
      </w:r>
      <w:r>
        <w:rPr>
          <w:rFonts w:hint="eastAsia" w:ascii="仿宋" w:hAnsi="仿宋" w:cs="仿宋"/>
          <w:lang w:val="en-US" w:eastAsia="zh-CN"/>
        </w:rPr>
        <w:t>指</w:t>
      </w:r>
      <w:r>
        <w:rPr>
          <w:rFonts w:hint="eastAsia" w:ascii="仿宋" w:hAnsi="仿宋" w:eastAsia="仿宋" w:cs="仿宋"/>
          <w:lang w:eastAsia="zh-CN"/>
        </w:rPr>
        <w:t>重大疾病、重大传染病预防控制等重大公共卫生服务项目支出。</w:t>
      </w:r>
    </w:p>
    <w:p w14:paraId="00170881">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二十三</w:t>
      </w:r>
      <w:r>
        <w:rPr>
          <w:rFonts w:hint="eastAsia" w:ascii="仿宋" w:hAnsi="仿宋" w:eastAsia="仿宋" w:cs="仿宋"/>
          <w:lang w:eastAsia="zh-CN"/>
        </w:rPr>
        <w:t>）卫生健康支出（类）公共卫生（款）其他公共卫生支出（项）：</w:t>
      </w:r>
      <w:r>
        <w:rPr>
          <w:rFonts w:hint="eastAsia" w:ascii="仿宋" w:hAnsi="仿宋" w:cs="仿宋"/>
          <w:lang w:val="en-US" w:eastAsia="zh-CN"/>
        </w:rPr>
        <w:t>指</w:t>
      </w:r>
      <w:r>
        <w:rPr>
          <w:rFonts w:hint="eastAsia" w:ascii="仿宋" w:hAnsi="仿宋" w:eastAsia="仿宋" w:cs="仿宋"/>
          <w:lang w:eastAsia="zh-CN"/>
        </w:rPr>
        <w:t>除上述项目以外的其他用于公共卫生方面的支出。</w:t>
      </w:r>
    </w:p>
    <w:p w14:paraId="7728CE8A">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二十四</w:t>
      </w:r>
      <w:r>
        <w:rPr>
          <w:rFonts w:hint="eastAsia" w:ascii="仿宋" w:hAnsi="仿宋" w:eastAsia="仿宋" w:cs="仿宋"/>
          <w:lang w:eastAsia="zh-CN"/>
        </w:rPr>
        <w:t>）卫生健康支出（类）计划生育事务（款）其他计划生育事务支出（项）：反映除上述项目</w:t>
      </w:r>
      <w:r>
        <w:rPr>
          <w:rFonts w:hint="eastAsia" w:ascii="仿宋" w:hAnsi="仿宋" w:cs="仿宋"/>
          <w:lang w:eastAsia="zh-CN"/>
        </w:rPr>
        <w:t>以外</w:t>
      </w:r>
      <w:r>
        <w:rPr>
          <w:rFonts w:hint="eastAsia" w:ascii="仿宋" w:hAnsi="仿宋" w:eastAsia="仿宋" w:cs="仿宋"/>
          <w:lang w:eastAsia="zh-CN"/>
        </w:rPr>
        <w:t>其他用于计划生育管理事务方面的支出。</w:t>
      </w:r>
    </w:p>
    <w:p w14:paraId="5EAC13E1">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二十五</w:t>
      </w:r>
      <w:r>
        <w:rPr>
          <w:rFonts w:hint="eastAsia" w:ascii="仿宋" w:hAnsi="仿宋" w:eastAsia="仿宋" w:cs="仿宋"/>
          <w:lang w:eastAsia="zh-CN"/>
        </w:rPr>
        <w:t>）卫生健康支出（类）行政事业单位医疗（款）行政单位医疗（项）：</w:t>
      </w:r>
      <w:r>
        <w:rPr>
          <w:rFonts w:hint="eastAsia" w:ascii="仿宋" w:hAnsi="仿宋" w:eastAsia="仿宋" w:cs="仿宋"/>
        </w:rPr>
        <w:t>指财政部门安排的行政单位（包括实行公务员管理的事业单位）基本医疗保险缴费经费，未参加医疗保险的行政单位的公费医疗经费，按国家规定享受离休人员、红军老战士待遇人员的医疗经费。</w:t>
      </w:r>
    </w:p>
    <w:p w14:paraId="5A667FB1">
      <w:pPr>
        <w:bidi w:val="0"/>
        <w:rPr>
          <w:rFonts w:hint="eastAsia" w:ascii="仿宋" w:hAnsi="仿宋" w:eastAsia="仿宋" w:cs="仿宋"/>
        </w:rPr>
      </w:pPr>
      <w:r>
        <w:rPr>
          <w:rFonts w:hint="eastAsia" w:ascii="仿宋" w:hAnsi="仿宋" w:eastAsia="仿宋" w:cs="仿宋"/>
          <w:lang w:eastAsia="zh-CN"/>
        </w:rPr>
        <w:t>（</w:t>
      </w:r>
      <w:r>
        <w:rPr>
          <w:rFonts w:hint="eastAsia" w:ascii="仿宋" w:hAnsi="仿宋" w:cs="仿宋"/>
          <w:lang w:val="en-US" w:eastAsia="zh-CN"/>
        </w:rPr>
        <w:t>二十六</w:t>
      </w:r>
      <w:r>
        <w:rPr>
          <w:rFonts w:hint="eastAsia" w:ascii="仿宋" w:hAnsi="仿宋" w:eastAsia="仿宋" w:cs="仿宋"/>
          <w:lang w:eastAsia="zh-CN"/>
        </w:rPr>
        <w:t>）卫生健康支出（类）行政事业单位医疗（款）事业单位医疗（项）：</w:t>
      </w:r>
      <w:r>
        <w:rPr>
          <w:rFonts w:hint="eastAsia" w:ascii="仿宋" w:hAnsi="仿宋" w:eastAsia="仿宋" w:cs="仿宋"/>
        </w:rPr>
        <w:t>指财政部门安排的事业单位基本医疗保险缴费经费，未参加医疗保险的事业单位的公费医疗经费，按国家规定享受离休人员待遇的医疗经费。</w:t>
      </w:r>
    </w:p>
    <w:p w14:paraId="3FCA0927">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二十七</w:t>
      </w:r>
      <w:r>
        <w:rPr>
          <w:rFonts w:hint="eastAsia" w:ascii="仿宋" w:hAnsi="仿宋" w:eastAsia="仿宋" w:cs="仿宋"/>
          <w:lang w:eastAsia="zh-CN"/>
        </w:rPr>
        <w:t>）卫生健康支出（类）行政事业单位医疗（款）公务员医疗补助（项）：</w:t>
      </w:r>
      <w:r>
        <w:rPr>
          <w:rFonts w:hint="eastAsia" w:ascii="仿宋" w:hAnsi="仿宋" w:eastAsia="仿宋" w:cs="仿宋"/>
        </w:rPr>
        <w:t>指财政部门安排的公务员医疗补助经费。</w:t>
      </w:r>
    </w:p>
    <w:p w14:paraId="7FFCFD18">
      <w:pPr>
        <w:bidi w:val="0"/>
        <w:rPr>
          <w:rFonts w:hint="eastAsia" w:ascii="仿宋" w:hAnsi="仿宋" w:eastAsia="仿宋" w:cs="仿宋"/>
        </w:rPr>
      </w:pPr>
      <w:r>
        <w:rPr>
          <w:rFonts w:hint="eastAsia" w:ascii="仿宋" w:hAnsi="仿宋" w:eastAsia="仿宋" w:cs="仿宋"/>
          <w:lang w:eastAsia="zh-CN"/>
        </w:rPr>
        <w:t>（</w:t>
      </w:r>
      <w:r>
        <w:rPr>
          <w:rFonts w:hint="eastAsia" w:ascii="仿宋" w:hAnsi="仿宋" w:cs="仿宋"/>
          <w:lang w:val="en-US" w:eastAsia="zh-CN"/>
        </w:rPr>
        <w:t>二十八</w:t>
      </w:r>
      <w:r>
        <w:rPr>
          <w:rFonts w:hint="eastAsia" w:ascii="仿宋" w:hAnsi="仿宋" w:eastAsia="仿宋" w:cs="仿宋"/>
          <w:lang w:eastAsia="zh-CN"/>
        </w:rPr>
        <w:t>）卫生健康支出（类）育幼服务（款）其他育幼服务支出（项）：</w:t>
      </w:r>
      <w:r>
        <w:rPr>
          <w:rFonts w:hint="eastAsia" w:ascii="仿宋" w:hAnsi="仿宋" w:eastAsia="仿宋" w:cs="仿宋"/>
        </w:rPr>
        <w:t>指</w:t>
      </w:r>
      <w:r>
        <w:rPr>
          <w:rFonts w:hint="eastAsia" w:ascii="仿宋" w:hAnsi="仿宋" w:cs="仿宋"/>
          <w:lang w:val="en-US" w:eastAsia="zh-CN"/>
        </w:rPr>
        <w:t>其他育幼服务支出</w:t>
      </w:r>
      <w:r>
        <w:rPr>
          <w:rFonts w:hint="eastAsia" w:ascii="仿宋" w:hAnsi="仿宋" w:eastAsia="仿宋" w:cs="仿宋"/>
        </w:rPr>
        <w:t>。</w:t>
      </w:r>
    </w:p>
    <w:p w14:paraId="59B60ADC">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二十九</w:t>
      </w:r>
      <w:r>
        <w:rPr>
          <w:rFonts w:hint="eastAsia" w:ascii="仿宋" w:hAnsi="仿宋" w:eastAsia="仿宋" w:cs="仿宋"/>
          <w:lang w:eastAsia="zh-CN"/>
        </w:rPr>
        <w:t>）卫生健康支出（类）</w:t>
      </w:r>
      <w:r>
        <w:rPr>
          <w:rFonts w:hint="eastAsia" w:ascii="仿宋" w:hAnsi="仿宋" w:cs="仿宋"/>
          <w:lang w:val="en-US" w:eastAsia="zh-CN"/>
        </w:rPr>
        <w:t>其他卫生健康支出</w:t>
      </w:r>
      <w:r>
        <w:rPr>
          <w:rFonts w:hint="eastAsia" w:ascii="仿宋" w:hAnsi="仿宋" w:eastAsia="仿宋" w:cs="仿宋"/>
          <w:lang w:eastAsia="zh-CN"/>
        </w:rPr>
        <w:t>（款）其他卫生健康支出（项）：</w:t>
      </w:r>
      <w:r>
        <w:rPr>
          <w:rFonts w:hint="eastAsia" w:ascii="仿宋" w:hAnsi="仿宋" w:eastAsia="仿宋" w:cs="仿宋"/>
        </w:rPr>
        <w:t>指除上述项目以外其他用于卫生健康方面的支出。</w:t>
      </w:r>
    </w:p>
    <w:p w14:paraId="3ABD8C7A">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三十</w:t>
      </w:r>
      <w:r>
        <w:rPr>
          <w:rFonts w:hint="eastAsia" w:ascii="仿宋" w:hAnsi="仿宋" w:eastAsia="仿宋" w:cs="仿宋"/>
          <w:lang w:eastAsia="zh-CN"/>
        </w:rPr>
        <w:t>）住房保障支出（类）住房改革支出（款）住房公积金（项）：</w:t>
      </w:r>
      <w:r>
        <w:rPr>
          <w:rFonts w:hint="eastAsia" w:ascii="仿宋" w:hAnsi="仿宋" w:eastAsia="仿宋" w:cs="仿宋"/>
        </w:rPr>
        <w:t>指行政事业单位按人力资源和社会保障部、财政部规定的基本工资和津贴补贴以及规定比例为职工缴纳的住房公积金。</w:t>
      </w:r>
    </w:p>
    <w:p w14:paraId="7F9FD777">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三十一</w:t>
      </w:r>
      <w:r>
        <w:rPr>
          <w:rFonts w:hint="eastAsia" w:ascii="仿宋" w:hAnsi="仿宋" w:eastAsia="仿宋" w:cs="仿宋"/>
          <w:lang w:eastAsia="zh-CN"/>
        </w:rPr>
        <w:t>）基本支出：</w:t>
      </w:r>
      <w:r>
        <w:rPr>
          <w:rFonts w:hint="eastAsia" w:ascii="仿宋" w:hAnsi="仿宋" w:eastAsia="仿宋" w:cs="仿宋"/>
        </w:rPr>
        <w:t>指为保</w:t>
      </w:r>
      <w:r>
        <w:rPr>
          <w:rFonts w:hint="eastAsia" w:ascii="仿宋" w:hAnsi="仿宋" w:eastAsia="仿宋" w:cs="仿宋"/>
          <w:lang w:eastAsia="zh-CN"/>
        </w:rPr>
        <w:t>障</w:t>
      </w:r>
      <w:r>
        <w:rPr>
          <w:rFonts w:hint="eastAsia" w:ascii="仿宋" w:hAnsi="仿宋" w:eastAsia="仿宋" w:cs="仿宋"/>
        </w:rPr>
        <w:t>机构正常运转，完成日常工作任务而发生的人员支出和公用支出。</w:t>
      </w:r>
    </w:p>
    <w:p w14:paraId="3A35CA7B">
      <w:pPr>
        <w:bidi w:val="0"/>
        <w:rPr>
          <w:rFonts w:hint="eastAsia" w:ascii="仿宋" w:hAnsi="仿宋" w:eastAsia="仿宋" w:cs="仿宋"/>
          <w:lang w:eastAsia="zh-CN"/>
        </w:rPr>
      </w:pPr>
      <w:r>
        <w:rPr>
          <w:rFonts w:hint="eastAsia" w:ascii="仿宋" w:hAnsi="仿宋" w:eastAsia="仿宋" w:cs="仿宋"/>
          <w:lang w:eastAsia="zh-CN"/>
        </w:rPr>
        <w:t>（</w:t>
      </w:r>
      <w:r>
        <w:rPr>
          <w:rFonts w:hint="eastAsia" w:ascii="仿宋" w:hAnsi="仿宋" w:cs="仿宋"/>
          <w:lang w:val="en-US" w:eastAsia="zh-CN"/>
        </w:rPr>
        <w:t>三十二</w:t>
      </w:r>
      <w:r>
        <w:rPr>
          <w:rFonts w:hint="eastAsia" w:ascii="仿宋" w:hAnsi="仿宋" w:eastAsia="仿宋" w:cs="仿宋"/>
          <w:lang w:eastAsia="zh-CN"/>
        </w:rPr>
        <w:t>）项目支出：</w:t>
      </w:r>
      <w:r>
        <w:rPr>
          <w:rFonts w:hint="eastAsia" w:ascii="仿宋" w:hAnsi="仿宋" w:eastAsia="仿宋" w:cs="仿宋"/>
        </w:rPr>
        <w:t>指在基本支出之外为完成特定行政任务</w:t>
      </w:r>
      <w:r>
        <w:rPr>
          <w:rFonts w:hint="eastAsia" w:ascii="仿宋" w:hAnsi="仿宋" w:eastAsia="仿宋" w:cs="仿宋"/>
          <w:lang w:eastAsia="zh-CN"/>
        </w:rPr>
        <w:t>或</w:t>
      </w:r>
      <w:r>
        <w:rPr>
          <w:rFonts w:hint="eastAsia" w:ascii="仿宋" w:hAnsi="仿宋" w:eastAsia="仿宋" w:cs="仿宋"/>
        </w:rPr>
        <w:t>事业发展目标所发生的支出。</w:t>
      </w:r>
    </w:p>
    <w:p w14:paraId="2A0C1095">
      <w:pPr>
        <w:bidi w:val="0"/>
        <w:rPr>
          <w:rFonts w:hint="eastAsia" w:ascii="仿宋" w:hAnsi="仿宋" w:eastAsia="仿宋" w:cs="Times New Roman"/>
          <w:sz w:val="32"/>
          <w:szCs w:val="32"/>
          <w:lang w:val="en-US" w:eastAsia="zh-CN"/>
        </w:rPr>
      </w:pPr>
      <w:r>
        <w:rPr>
          <w:rFonts w:hint="eastAsia" w:ascii="仿宋" w:hAnsi="仿宋" w:eastAsia="仿宋" w:cs="仿宋"/>
          <w:lang w:eastAsia="zh-CN"/>
        </w:rPr>
        <w:t>（</w:t>
      </w:r>
      <w:r>
        <w:rPr>
          <w:rFonts w:hint="eastAsia" w:ascii="仿宋" w:hAnsi="仿宋" w:cs="仿宋"/>
          <w:lang w:val="en-US" w:eastAsia="zh-CN"/>
        </w:rPr>
        <w:t>三十三</w:t>
      </w:r>
      <w:r>
        <w:rPr>
          <w:rFonts w:hint="eastAsia" w:ascii="仿宋" w:hAnsi="仿宋" w:eastAsia="仿宋" w:cs="仿宋"/>
          <w:lang w:eastAsia="zh-CN"/>
        </w:rPr>
        <w:t>）“三公”经费：纳入预算管理的“三公”经费，</w:t>
      </w:r>
      <w:r>
        <w:rPr>
          <w:rFonts w:hint="eastAsia" w:ascii="仿宋" w:hAnsi="仿宋" w:eastAsia="仿宋" w:cs="仿宋"/>
        </w:rPr>
        <w:t>是指部门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w:t>
      </w:r>
      <w:r>
        <w:rPr>
          <w:rFonts w:hint="eastAsia" w:ascii="仿宋" w:hAnsi="仿宋" w:eastAsia="仿宋" w:cs="仿宋"/>
          <w:lang w:eastAsia="zh-CN"/>
        </w:rPr>
        <w:t>、牌照费</w:t>
      </w:r>
      <w:r>
        <w:rPr>
          <w:rFonts w:hint="eastAsia" w:ascii="仿宋" w:hAnsi="仿宋" w:eastAsia="仿宋" w:cs="仿宋"/>
        </w:rPr>
        <w:t>）及</w:t>
      </w:r>
      <w:r>
        <w:rPr>
          <w:rFonts w:hint="eastAsia" w:ascii="仿宋" w:hAnsi="仿宋" w:eastAsia="仿宋" w:cs="仿宋"/>
          <w:lang w:eastAsia="zh-CN"/>
        </w:rPr>
        <w:t>单位按规定保留的公务用车</w:t>
      </w:r>
      <w:r>
        <w:rPr>
          <w:rFonts w:hint="eastAsia" w:ascii="仿宋" w:hAnsi="仿宋" w:eastAsia="仿宋" w:cs="仿宋"/>
        </w:rPr>
        <w:t>燃料费、维修费、过路过桥费、保险费</w:t>
      </w:r>
      <w:r>
        <w:rPr>
          <w:rFonts w:hint="eastAsia" w:ascii="仿宋" w:hAnsi="仿宋" w:eastAsia="仿宋" w:cs="仿宋"/>
          <w:lang w:eastAsia="zh-CN"/>
        </w:rPr>
        <w:t>、安全奖励费用</w:t>
      </w:r>
      <w:r>
        <w:rPr>
          <w:rFonts w:hint="eastAsia" w:ascii="仿宋" w:hAnsi="仿宋" w:eastAsia="仿宋" w:cs="仿宋"/>
        </w:rPr>
        <w:t>等支出；公务接待费反映单位按规定开支的各类公务接待（含外宾接待）支出。</w:t>
      </w:r>
    </w:p>
    <w:p w14:paraId="056FDA14">
      <w:pPr>
        <w:rPr>
          <w:rFonts w:hint="eastAsia"/>
        </w:rPr>
      </w:pPr>
    </w:p>
    <w:sectPr>
      <w:footerReference r:id="rId5" w:type="default"/>
      <w:pgSz w:w="11906" w:h="16838"/>
      <w:pgMar w:top="2041" w:right="1469" w:bottom="1588" w:left="1469" w:header="851" w:footer="992" w:gutter="0"/>
      <w:pgNumType w:fmt="numberInDash"/>
      <w:cols w:space="0" w:num="1"/>
      <w:docGrid w:type="lines" w:linePitch="31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29E72D1-4981-4DEC-B729-B833C753A38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559384DC-C461-4187-BB94-17CA1DA82A68}"/>
  </w:font>
  <w:font w:name="仿宋">
    <w:panose1 w:val="02010609060101010101"/>
    <w:charset w:val="86"/>
    <w:family w:val="auto"/>
    <w:pitch w:val="default"/>
    <w:sig w:usb0="800002BF" w:usb1="38CF7CFA" w:usb2="00000016" w:usb3="00000000" w:csb0="00040001" w:csb1="00000000"/>
    <w:embedRegular r:id="rId3" w:fontKey="{CE3AF628-B002-419D-8BC0-78F1DED6916C}"/>
  </w:font>
  <w:font w:name="汉仪中宋简á..">
    <w:altName w:val="宋体"/>
    <w:panose1 w:val="00000000000000000000"/>
    <w:charset w:val="86"/>
    <w:family w:val="roman"/>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embedRegular r:id="rId4" w:fontKey="{6885E493-5C05-4C3B-96E3-E21B398DC109}"/>
  </w:font>
  <w:font w:name="楷体">
    <w:panose1 w:val="02010609060101010101"/>
    <w:charset w:val="86"/>
    <w:family w:val="auto"/>
    <w:pitch w:val="default"/>
    <w:sig w:usb0="800002BF" w:usb1="38CF7CFA" w:usb2="00000016" w:usb3="00000000" w:csb0="00040001" w:csb1="00000000"/>
    <w:embedRegular r:id="rId5" w:fontKey="{8525B9B6-2A64-4DE1-BD29-59A447DBD722}"/>
  </w:font>
  <w:font w:name="楷体_GB2312">
    <w:panose1 w:val="02010609030101010101"/>
    <w:charset w:val="86"/>
    <w:family w:val="modern"/>
    <w:pitch w:val="default"/>
    <w:sig w:usb0="00000001" w:usb1="080E0000" w:usb2="00000000" w:usb3="00000000" w:csb0="00040000" w:csb1="00000000"/>
    <w:embedRegular r:id="rId6" w:fontKey="{B155EE74-A71C-4109-9F97-63F59292E7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2A57F">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AF6CD6A">
                          <w:pPr>
                            <w:pStyle w:val="9"/>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7AF6CD6A">
                    <w:pPr>
                      <w:pStyle w:val="9"/>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8D4774"/>
    <w:multiLevelType w:val="multilevel"/>
    <w:tmpl w:val="5D8D4774"/>
    <w:lvl w:ilvl="0" w:tentative="0">
      <w:start w:val="13"/>
      <w:numFmt w:val="chineseCountingThousand"/>
      <w:lvlText w:val="第%1章"/>
      <w:lvlJc w:val="left"/>
      <w:pPr>
        <w:tabs>
          <w:tab w:val="left" w:pos="2782"/>
        </w:tabs>
      </w:pPr>
      <w:rPr>
        <w:rFonts w:hint="eastAsia"/>
      </w:rPr>
    </w:lvl>
    <w:lvl w:ilvl="1" w:tentative="0">
      <w:start w:val="1"/>
      <w:numFmt w:val="decimal"/>
      <w:pStyle w:val="3"/>
      <w:isLgl/>
      <w:lvlText w:val="%1.%2"/>
      <w:lvlJc w:val="left"/>
      <w:pPr>
        <w:tabs>
          <w:tab w:val="left" w:pos="2422"/>
        </w:tabs>
      </w:pPr>
      <w:rPr>
        <w:rFonts w:hint="eastAsia"/>
      </w:rPr>
    </w:lvl>
    <w:lvl w:ilvl="2" w:tentative="0">
      <w:start w:val="1"/>
      <w:numFmt w:val="decimal"/>
      <w:isLgl/>
      <w:lvlText w:val="%1.%2.%3"/>
      <w:lvlJc w:val="left"/>
      <w:pPr>
        <w:tabs>
          <w:tab w:val="left" w:pos="2782"/>
        </w:tabs>
      </w:pPr>
      <w:rPr>
        <w:rFonts w:hint="eastAsia"/>
      </w:rPr>
    </w:lvl>
    <w:lvl w:ilvl="3" w:tentative="0">
      <w:start w:val="1"/>
      <w:numFmt w:val="decimal"/>
      <w:isLgl/>
      <w:lvlText w:val="%1.%2.%3.%4"/>
      <w:lvlJc w:val="left"/>
      <w:pPr>
        <w:tabs>
          <w:tab w:val="left" w:pos="4582"/>
        </w:tabs>
        <w:ind w:left="2566" w:hanging="864"/>
      </w:pPr>
      <w:rPr>
        <w:rFonts w:hint="eastAsia"/>
      </w:rPr>
    </w:lvl>
    <w:lvl w:ilvl="4" w:tentative="0">
      <w:start w:val="1"/>
      <w:numFmt w:val="decimal"/>
      <w:isLgl/>
      <w:lvlText w:val="%1.%2.%3.%4.%5"/>
      <w:lvlJc w:val="left"/>
      <w:pPr>
        <w:tabs>
          <w:tab w:val="left" w:pos="3862"/>
        </w:tabs>
        <w:ind w:left="2710" w:hanging="1008"/>
      </w:pPr>
      <w:rPr>
        <w:rFonts w:hint="eastAsia"/>
      </w:rPr>
    </w:lvl>
    <w:lvl w:ilvl="5" w:tentative="0">
      <w:start w:val="1"/>
      <w:numFmt w:val="decimal"/>
      <w:isLgl/>
      <w:lvlText w:val="%1.%2.%3.%4.%5.%6"/>
      <w:lvlJc w:val="left"/>
      <w:pPr>
        <w:tabs>
          <w:tab w:val="left" w:pos="4222"/>
        </w:tabs>
        <w:ind w:left="2854" w:hanging="1152"/>
      </w:pPr>
      <w:rPr>
        <w:rFonts w:hint="eastAsia"/>
      </w:rPr>
    </w:lvl>
    <w:lvl w:ilvl="6" w:tentative="0">
      <w:start w:val="1"/>
      <w:numFmt w:val="decimal"/>
      <w:isLgl/>
      <w:lvlText w:val="%1.%2.%3.%4.%5.%6.%7"/>
      <w:lvlJc w:val="left"/>
      <w:pPr>
        <w:tabs>
          <w:tab w:val="left" w:pos="4942"/>
        </w:tabs>
        <w:ind w:left="2998" w:hanging="1296"/>
      </w:pPr>
      <w:rPr>
        <w:rFonts w:hint="eastAsia"/>
      </w:rPr>
    </w:lvl>
    <w:lvl w:ilvl="7" w:tentative="0">
      <w:start w:val="1"/>
      <w:numFmt w:val="decimal"/>
      <w:isLgl/>
      <w:lvlText w:val="%1.%2.%3.%4.%5.%6.%7.%8"/>
      <w:lvlJc w:val="left"/>
      <w:pPr>
        <w:tabs>
          <w:tab w:val="left" w:pos="5302"/>
        </w:tabs>
        <w:ind w:left="3142" w:hanging="1440"/>
      </w:pPr>
      <w:rPr>
        <w:rFonts w:hint="eastAsia"/>
      </w:rPr>
    </w:lvl>
    <w:lvl w:ilvl="8" w:tentative="0">
      <w:start w:val="1"/>
      <w:numFmt w:val="decimal"/>
      <w:isLgl/>
      <w:lvlText w:val="%1.%2.%3.%4.%5.%6.%7.%8.%9"/>
      <w:lvlJc w:val="left"/>
      <w:pPr>
        <w:tabs>
          <w:tab w:val="left" w:pos="5662"/>
        </w:tabs>
        <w:ind w:left="3286"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7"/>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7865"/>
    <w:rsid w:val="00044417"/>
    <w:rsid w:val="00061ACE"/>
    <w:rsid w:val="00066DAC"/>
    <w:rsid w:val="00070145"/>
    <w:rsid w:val="00091AAC"/>
    <w:rsid w:val="000F6987"/>
    <w:rsid w:val="00112171"/>
    <w:rsid w:val="00127D11"/>
    <w:rsid w:val="00144DF8"/>
    <w:rsid w:val="00172A27"/>
    <w:rsid w:val="00187C87"/>
    <w:rsid w:val="00192096"/>
    <w:rsid w:val="001B01D2"/>
    <w:rsid w:val="001D512F"/>
    <w:rsid w:val="001E30C0"/>
    <w:rsid w:val="00260924"/>
    <w:rsid w:val="00276A73"/>
    <w:rsid w:val="00286D78"/>
    <w:rsid w:val="002C723E"/>
    <w:rsid w:val="003019C3"/>
    <w:rsid w:val="00313DCD"/>
    <w:rsid w:val="00333B67"/>
    <w:rsid w:val="00336343"/>
    <w:rsid w:val="00353F9F"/>
    <w:rsid w:val="0036108B"/>
    <w:rsid w:val="00364E2A"/>
    <w:rsid w:val="003D44AA"/>
    <w:rsid w:val="0043152E"/>
    <w:rsid w:val="00465A32"/>
    <w:rsid w:val="00466676"/>
    <w:rsid w:val="0049116A"/>
    <w:rsid w:val="004E04D2"/>
    <w:rsid w:val="004F20BD"/>
    <w:rsid w:val="0052635E"/>
    <w:rsid w:val="00533308"/>
    <w:rsid w:val="00553E37"/>
    <w:rsid w:val="00587D51"/>
    <w:rsid w:val="005F00C2"/>
    <w:rsid w:val="00607597"/>
    <w:rsid w:val="006110D7"/>
    <w:rsid w:val="006368F6"/>
    <w:rsid w:val="00651BD8"/>
    <w:rsid w:val="006C5714"/>
    <w:rsid w:val="006D4CE5"/>
    <w:rsid w:val="0074734E"/>
    <w:rsid w:val="00752661"/>
    <w:rsid w:val="0077780A"/>
    <w:rsid w:val="00794055"/>
    <w:rsid w:val="007A6535"/>
    <w:rsid w:val="007E6435"/>
    <w:rsid w:val="007F23CA"/>
    <w:rsid w:val="0084407A"/>
    <w:rsid w:val="00850F93"/>
    <w:rsid w:val="00886062"/>
    <w:rsid w:val="008E3D4B"/>
    <w:rsid w:val="00944DB8"/>
    <w:rsid w:val="009552E6"/>
    <w:rsid w:val="009F78A2"/>
    <w:rsid w:val="00A068D8"/>
    <w:rsid w:val="00A11CCC"/>
    <w:rsid w:val="00A47E4F"/>
    <w:rsid w:val="00AA2536"/>
    <w:rsid w:val="00AF0502"/>
    <w:rsid w:val="00AF2D05"/>
    <w:rsid w:val="00B26922"/>
    <w:rsid w:val="00B55CCE"/>
    <w:rsid w:val="00B82AF3"/>
    <w:rsid w:val="00B861CA"/>
    <w:rsid w:val="00B91481"/>
    <w:rsid w:val="00B96941"/>
    <w:rsid w:val="00C47ED7"/>
    <w:rsid w:val="00C51E0A"/>
    <w:rsid w:val="00C7262B"/>
    <w:rsid w:val="00C7370C"/>
    <w:rsid w:val="00C7721E"/>
    <w:rsid w:val="00D22DD7"/>
    <w:rsid w:val="00DE489B"/>
    <w:rsid w:val="00E82D3B"/>
    <w:rsid w:val="00EB13EE"/>
    <w:rsid w:val="00F403B5"/>
    <w:rsid w:val="00F45E21"/>
    <w:rsid w:val="00FA0E5D"/>
    <w:rsid w:val="00FE4CAE"/>
    <w:rsid w:val="00FE638D"/>
    <w:rsid w:val="010C0F51"/>
    <w:rsid w:val="01362EA7"/>
    <w:rsid w:val="01882F25"/>
    <w:rsid w:val="018C0544"/>
    <w:rsid w:val="019F118E"/>
    <w:rsid w:val="01A3107B"/>
    <w:rsid w:val="01BA7141"/>
    <w:rsid w:val="01CA79BB"/>
    <w:rsid w:val="01D64485"/>
    <w:rsid w:val="01E83A92"/>
    <w:rsid w:val="01EB3E74"/>
    <w:rsid w:val="022F534A"/>
    <w:rsid w:val="024039F2"/>
    <w:rsid w:val="02D7049D"/>
    <w:rsid w:val="033E43E6"/>
    <w:rsid w:val="03945CCD"/>
    <w:rsid w:val="03BA186D"/>
    <w:rsid w:val="040F3551"/>
    <w:rsid w:val="042072C2"/>
    <w:rsid w:val="043C361C"/>
    <w:rsid w:val="043F4C24"/>
    <w:rsid w:val="044B2AE6"/>
    <w:rsid w:val="045B0809"/>
    <w:rsid w:val="04A04F6C"/>
    <w:rsid w:val="04A05348"/>
    <w:rsid w:val="04A94D2F"/>
    <w:rsid w:val="04F16D1F"/>
    <w:rsid w:val="0502501C"/>
    <w:rsid w:val="05233D9C"/>
    <w:rsid w:val="05465970"/>
    <w:rsid w:val="05590821"/>
    <w:rsid w:val="056C235C"/>
    <w:rsid w:val="059749F7"/>
    <w:rsid w:val="05D040AE"/>
    <w:rsid w:val="062E413A"/>
    <w:rsid w:val="06842A4D"/>
    <w:rsid w:val="06A2019C"/>
    <w:rsid w:val="06B66C8B"/>
    <w:rsid w:val="06C42C4C"/>
    <w:rsid w:val="06CC45A6"/>
    <w:rsid w:val="06D27145"/>
    <w:rsid w:val="06D8568E"/>
    <w:rsid w:val="06DD60AB"/>
    <w:rsid w:val="072F53D3"/>
    <w:rsid w:val="07574DBE"/>
    <w:rsid w:val="076A7644"/>
    <w:rsid w:val="07980D6A"/>
    <w:rsid w:val="07B14DE9"/>
    <w:rsid w:val="07E809FE"/>
    <w:rsid w:val="07F655F9"/>
    <w:rsid w:val="084B25CC"/>
    <w:rsid w:val="084E286D"/>
    <w:rsid w:val="084E4C61"/>
    <w:rsid w:val="0860583A"/>
    <w:rsid w:val="08914A76"/>
    <w:rsid w:val="08AE4D92"/>
    <w:rsid w:val="08DB6116"/>
    <w:rsid w:val="08ED7502"/>
    <w:rsid w:val="08F6117B"/>
    <w:rsid w:val="096878F0"/>
    <w:rsid w:val="097E121A"/>
    <w:rsid w:val="09952E46"/>
    <w:rsid w:val="09C64739"/>
    <w:rsid w:val="09CF5F42"/>
    <w:rsid w:val="09F82EA0"/>
    <w:rsid w:val="0A425384"/>
    <w:rsid w:val="0A772DBA"/>
    <w:rsid w:val="0A8E6119"/>
    <w:rsid w:val="0A913707"/>
    <w:rsid w:val="0ABE1F9B"/>
    <w:rsid w:val="0ADA1A81"/>
    <w:rsid w:val="0B29129C"/>
    <w:rsid w:val="0BA94CCA"/>
    <w:rsid w:val="0BB15CFC"/>
    <w:rsid w:val="0BE20302"/>
    <w:rsid w:val="0C31589B"/>
    <w:rsid w:val="0C343E9E"/>
    <w:rsid w:val="0C37316F"/>
    <w:rsid w:val="0C565E28"/>
    <w:rsid w:val="0C9E05B3"/>
    <w:rsid w:val="0CEF662F"/>
    <w:rsid w:val="0D15182E"/>
    <w:rsid w:val="0D1F7D7F"/>
    <w:rsid w:val="0D211BCC"/>
    <w:rsid w:val="0DA40415"/>
    <w:rsid w:val="0DC47C7E"/>
    <w:rsid w:val="0E1B0896"/>
    <w:rsid w:val="0E1B6735"/>
    <w:rsid w:val="0E5A24B2"/>
    <w:rsid w:val="0E5B7463"/>
    <w:rsid w:val="0E7C2A49"/>
    <w:rsid w:val="0E863207"/>
    <w:rsid w:val="0E8C67E6"/>
    <w:rsid w:val="0E995F08"/>
    <w:rsid w:val="0EFF2D5A"/>
    <w:rsid w:val="0F332E84"/>
    <w:rsid w:val="0F455C86"/>
    <w:rsid w:val="0F4F3EF9"/>
    <w:rsid w:val="0F5126AD"/>
    <w:rsid w:val="0F5C24C4"/>
    <w:rsid w:val="0F773787"/>
    <w:rsid w:val="0F8C416D"/>
    <w:rsid w:val="0F903831"/>
    <w:rsid w:val="0FC21DA3"/>
    <w:rsid w:val="0FCB515E"/>
    <w:rsid w:val="0FE02C01"/>
    <w:rsid w:val="106E3487"/>
    <w:rsid w:val="107A2AB2"/>
    <w:rsid w:val="10B403A4"/>
    <w:rsid w:val="10E95826"/>
    <w:rsid w:val="117B6E9B"/>
    <w:rsid w:val="11A062BA"/>
    <w:rsid w:val="11BB24DA"/>
    <w:rsid w:val="120A09B7"/>
    <w:rsid w:val="12290641"/>
    <w:rsid w:val="127150AC"/>
    <w:rsid w:val="127A774D"/>
    <w:rsid w:val="129560E0"/>
    <w:rsid w:val="12F04042"/>
    <w:rsid w:val="13030836"/>
    <w:rsid w:val="131A52D4"/>
    <w:rsid w:val="13B824DA"/>
    <w:rsid w:val="13F265CF"/>
    <w:rsid w:val="13F50541"/>
    <w:rsid w:val="13FD34D0"/>
    <w:rsid w:val="14030F44"/>
    <w:rsid w:val="1421019A"/>
    <w:rsid w:val="14250002"/>
    <w:rsid w:val="143546C3"/>
    <w:rsid w:val="14D50328"/>
    <w:rsid w:val="14FF1C34"/>
    <w:rsid w:val="15016C82"/>
    <w:rsid w:val="152D7BF6"/>
    <w:rsid w:val="15333760"/>
    <w:rsid w:val="15500F91"/>
    <w:rsid w:val="157F6F01"/>
    <w:rsid w:val="15A866E4"/>
    <w:rsid w:val="15D8136C"/>
    <w:rsid w:val="15E80FCB"/>
    <w:rsid w:val="16935FA2"/>
    <w:rsid w:val="169B01CE"/>
    <w:rsid w:val="16BA0530"/>
    <w:rsid w:val="16CD70BB"/>
    <w:rsid w:val="172E2ACB"/>
    <w:rsid w:val="17304353"/>
    <w:rsid w:val="17403920"/>
    <w:rsid w:val="17A16909"/>
    <w:rsid w:val="17D759F2"/>
    <w:rsid w:val="17F770F6"/>
    <w:rsid w:val="181727DC"/>
    <w:rsid w:val="18510D87"/>
    <w:rsid w:val="18827941"/>
    <w:rsid w:val="18BD2FFF"/>
    <w:rsid w:val="18FC06F1"/>
    <w:rsid w:val="19007EC3"/>
    <w:rsid w:val="191B10A6"/>
    <w:rsid w:val="1969002C"/>
    <w:rsid w:val="19F7360C"/>
    <w:rsid w:val="1A045C10"/>
    <w:rsid w:val="1A577820"/>
    <w:rsid w:val="1A5E7EFB"/>
    <w:rsid w:val="1A7D5B0F"/>
    <w:rsid w:val="1A9C7E2B"/>
    <w:rsid w:val="1AE807BA"/>
    <w:rsid w:val="1AEF7DCF"/>
    <w:rsid w:val="1AFF4785"/>
    <w:rsid w:val="1B2E6628"/>
    <w:rsid w:val="1B5F7D27"/>
    <w:rsid w:val="1BF33119"/>
    <w:rsid w:val="1CAF32EA"/>
    <w:rsid w:val="1CB64F71"/>
    <w:rsid w:val="1CBD69AA"/>
    <w:rsid w:val="1CFB3E9E"/>
    <w:rsid w:val="1D3356ED"/>
    <w:rsid w:val="1D5B07B8"/>
    <w:rsid w:val="1D60201A"/>
    <w:rsid w:val="1D6135A7"/>
    <w:rsid w:val="1DC52255"/>
    <w:rsid w:val="1DDA5D4F"/>
    <w:rsid w:val="1DDB2F47"/>
    <w:rsid w:val="1DFB51A6"/>
    <w:rsid w:val="1E3D7C87"/>
    <w:rsid w:val="1E401C00"/>
    <w:rsid w:val="1E707FD4"/>
    <w:rsid w:val="1E877297"/>
    <w:rsid w:val="1E8F46BC"/>
    <w:rsid w:val="1EB05D0A"/>
    <w:rsid w:val="1EF0431B"/>
    <w:rsid w:val="1EFE7B28"/>
    <w:rsid w:val="1F3565D5"/>
    <w:rsid w:val="1F9A468B"/>
    <w:rsid w:val="1FFA6A2F"/>
    <w:rsid w:val="20023401"/>
    <w:rsid w:val="20143409"/>
    <w:rsid w:val="20A8226A"/>
    <w:rsid w:val="20F902C6"/>
    <w:rsid w:val="21320321"/>
    <w:rsid w:val="2138528B"/>
    <w:rsid w:val="217544DB"/>
    <w:rsid w:val="21971D65"/>
    <w:rsid w:val="21B957AE"/>
    <w:rsid w:val="22121464"/>
    <w:rsid w:val="22653E5A"/>
    <w:rsid w:val="22673757"/>
    <w:rsid w:val="22AD5E3A"/>
    <w:rsid w:val="230F1CF5"/>
    <w:rsid w:val="23255E32"/>
    <w:rsid w:val="2345745A"/>
    <w:rsid w:val="235E0BC8"/>
    <w:rsid w:val="23D47812"/>
    <w:rsid w:val="23DE1611"/>
    <w:rsid w:val="24150A7F"/>
    <w:rsid w:val="24213EC8"/>
    <w:rsid w:val="24307A0E"/>
    <w:rsid w:val="245034D6"/>
    <w:rsid w:val="246A6DCB"/>
    <w:rsid w:val="247453B8"/>
    <w:rsid w:val="251A40FE"/>
    <w:rsid w:val="25212915"/>
    <w:rsid w:val="264259D1"/>
    <w:rsid w:val="265A431A"/>
    <w:rsid w:val="266B2A66"/>
    <w:rsid w:val="26710FF0"/>
    <w:rsid w:val="26B732BD"/>
    <w:rsid w:val="26FA6D40"/>
    <w:rsid w:val="27104C6C"/>
    <w:rsid w:val="27263D7B"/>
    <w:rsid w:val="272D4172"/>
    <w:rsid w:val="27724FB0"/>
    <w:rsid w:val="279168B5"/>
    <w:rsid w:val="27A0205E"/>
    <w:rsid w:val="27CA2B49"/>
    <w:rsid w:val="27CB754F"/>
    <w:rsid w:val="27F1200A"/>
    <w:rsid w:val="280223C0"/>
    <w:rsid w:val="28115DC0"/>
    <w:rsid w:val="28A21C19"/>
    <w:rsid w:val="298D0C33"/>
    <w:rsid w:val="29A12E30"/>
    <w:rsid w:val="29B4649A"/>
    <w:rsid w:val="29DC2D0C"/>
    <w:rsid w:val="29EE4FAE"/>
    <w:rsid w:val="2A3E1EBB"/>
    <w:rsid w:val="2A6A7B31"/>
    <w:rsid w:val="2AFE1AAC"/>
    <w:rsid w:val="2B424B14"/>
    <w:rsid w:val="2B576F68"/>
    <w:rsid w:val="2B580C97"/>
    <w:rsid w:val="2B7A76AB"/>
    <w:rsid w:val="2B7F27BA"/>
    <w:rsid w:val="2BE62BB6"/>
    <w:rsid w:val="2C0868BC"/>
    <w:rsid w:val="2C262A09"/>
    <w:rsid w:val="2C456543"/>
    <w:rsid w:val="2C56698C"/>
    <w:rsid w:val="2C6829BD"/>
    <w:rsid w:val="2C726404"/>
    <w:rsid w:val="2C8269FB"/>
    <w:rsid w:val="2CC43FE4"/>
    <w:rsid w:val="2CE403B9"/>
    <w:rsid w:val="2CE77D75"/>
    <w:rsid w:val="2D5F7A17"/>
    <w:rsid w:val="2DEF169F"/>
    <w:rsid w:val="2E2A4CEC"/>
    <w:rsid w:val="2E395AB2"/>
    <w:rsid w:val="2E3E712E"/>
    <w:rsid w:val="2E6F0902"/>
    <w:rsid w:val="2ED12513"/>
    <w:rsid w:val="2ED93BF6"/>
    <w:rsid w:val="2EE53513"/>
    <w:rsid w:val="2EF717D0"/>
    <w:rsid w:val="2F0571F8"/>
    <w:rsid w:val="2F6837FE"/>
    <w:rsid w:val="2F826250"/>
    <w:rsid w:val="2F9C50A0"/>
    <w:rsid w:val="2FFA35F8"/>
    <w:rsid w:val="2FFB3813"/>
    <w:rsid w:val="30044B54"/>
    <w:rsid w:val="30125478"/>
    <w:rsid w:val="302D040C"/>
    <w:rsid w:val="30363CB0"/>
    <w:rsid w:val="30405A42"/>
    <w:rsid w:val="30CE650E"/>
    <w:rsid w:val="30D2554F"/>
    <w:rsid w:val="30EC1D1E"/>
    <w:rsid w:val="31783BAE"/>
    <w:rsid w:val="3178425C"/>
    <w:rsid w:val="31884A79"/>
    <w:rsid w:val="318F6DFD"/>
    <w:rsid w:val="31D23233"/>
    <w:rsid w:val="31F223D9"/>
    <w:rsid w:val="31FA1651"/>
    <w:rsid w:val="32400809"/>
    <w:rsid w:val="32941411"/>
    <w:rsid w:val="32D34144"/>
    <w:rsid w:val="33180FDF"/>
    <w:rsid w:val="33AF50A4"/>
    <w:rsid w:val="33BF5A1C"/>
    <w:rsid w:val="34347CA8"/>
    <w:rsid w:val="346D1487"/>
    <w:rsid w:val="347C3BC1"/>
    <w:rsid w:val="347D7659"/>
    <w:rsid w:val="34B75DE4"/>
    <w:rsid w:val="34EC234E"/>
    <w:rsid w:val="35070FE1"/>
    <w:rsid w:val="35413925"/>
    <w:rsid w:val="35B4718D"/>
    <w:rsid w:val="35CB2390"/>
    <w:rsid w:val="362000D5"/>
    <w:rsid w:val="362E53CF"/>
    <w:rsid w:val="36322589"/>
    <w:rsid w:val="36505C55"/>
    <w:rsid w:val="36877AF6"/>
    <w:rsid w:val="36AC602F"/>
    <w:rsid w:val="36B408B4"/>
    <w:rsid w:val="36C57B63"/>
    <w:rsid w:val="36D60EC8"/>
    <w:rsid w:val="36EB7A56"/>
    <w:rsid w:val="37072D43"/>
    <w:rsid w:val="37133F7E"/>
    <w:rsid w:val="375B12BA"/>
    <w:rsid w:val="37996DF9"/>
    <w:rsid w:val="37997EBF"/>
    <w:rsid w:val="379B2080"/>
    <w:rsid w:val="37CD6097"/>
    <w:rsid w:val="37FF408D"/>
    <w:rsid w:val="3864253B"/>
    <w:rsid w:val="388A196F"/>
    <w:rsid w:val="38BF7DBB"/>
    <w:rsid w:val="38D25888"/>
    <w:rsid w:val="38E23412"/>
    <w:rsid w:val="393E1416"/>
    <w:rsid w:val="39627EA4"/>
    <w:rsid w:val="399D7E16"/>
    <w:rsid w:val="39F952C4"/>
    <w:rsid w:val="3A537A73"/>
    <w:rsid w:val="3A566958"/>
    <w:rsid w:val="3A591E05"/>
    <w:rsid w:val="3A8C587F"/>
    <w:rsid w:val="3A9841D9"/>
    <w:rsid w:val="3AC022D7"/>
    <w:rsid w:val="3AD0720B"/>
    <w:rsid w:val="3AD87EC3"/>
    <w:rsid w:val="3AE2704C"/>
    <w:rsid w:val="3B0E09AE"/>
    <w:rsid w:val="3B133333"/>
    <w:rsid w:val="3B415429"/>
    <w:rsid w:val="3B433201"/>
    <w:rsid w:val="3B5553B4"/>
    <w:rsid w:val="3B5D5685"/>
    <w:rsid w:val="3B663B9B"/>
    <w:rsid w:val="3BAD0F9A"/>
    <w:rsid w:val="3C5763B9"/>
    <w:rsid w:val="3C9F7525"/>
    <w:rsid w:val="3CAD14EB"/>
    <w:rsid w:val="3CE10D53"/>
    <w:rsid w:val="3D46451D"/>
    <w:rsid w:val="3D732E88"/>
    <w:rsid w:val="3D7E788D"/>
    <w:rsid w:val="3DE5239C"/>
    <w:rsid w:val="3DF73841"/>
    <w:rsid w:val="3DFF6B24"/>
    <w:rsid w:val="3E337D9D"/>
    <w:rsid w:val="3E4A3184"/>
    <w:rsid w:val="3EA15BEA"/>
    <w:rsid w:val="3EEC3285"/>
    <w:rsid w:val="3F7517C8"/>
    <w:rsid w:val="3FAE1258"/>
    <w:rsid w:val="401D6094"/>
    <w:rsid w:val="40300C0E"/>
    <w:rsid w:val="40534228"/>
    <w:rsid w:val="4063108E"/>
    <w:rsid w:val="408D251C"/>
    <w:rsid w:val="40C07780"/>
    <w:rsid w:val="410A15F9"/>
    <w:rsid w:val="412A1254"/>
    <w:rsid w:val="41656000"/>
    <w:rsid w:val="41AE00B6"/>
    <w:rsid w:val="41E95F9F"/>
    <w:rsid w:val="42154310"/>
    <w:rsid w:val="42495010"/>
    <w:rsid w:val="425C545A"/>
    <w:rsid w:val="42636FB6"/>
    <w:rsid w:val="42811BC4"/>
    <w:rsid w:val="42B60B92"/>
    <w:rsid w:val="42D650B2"/>
    <w:rsid w:val="42DD34D6"/>
    <w:rsid w:val="43137D99"/>
    <w:rsid w:val="43475BB2"/>
    <w:rsid w:val="44090B96"/>
    <w:rsid w:val="44906B29"/>
    <w:rsid w:val="44B452A6"/>
    <w:rsid w:val="45560CD4"/>
    <w:rsid w:val="459509CB"/>
    <w:rsid w:val="45F4689A"/>
    <w:rsid w:val="45FB4649"/>
    <w:rsid w:val="46074EE8"/>
    <w:rsid w:val="4637542D"/>
    <w:rsid w:val="46731EEB"/>
    <w:rsid w:val="46875D06"/>
    <w:rsid w:val="46BD4700"/>
    <w:rsid w:val="46CD28E5"/>
    <w:rsid w:val="47394A4E"/>
    <w:rsid w:val="47770CCA"/>
    <w:rsid w:val="477A2AB4"/>
    <w:rsid w:val="48094AE2"/>
    <w:rsid w:val="483E4E75"/>
    <w:rsid w:val="4852492F"/>
    <w:rsid w:val="486B3CAF"/>
    <w:rsid w:val="48772769"/>
    <w:rsid w:val="49207E0A"/>
    <w:rsid w:val="492F572C"/>
    <w:rsid w:val="49421FCC"/>
    <w:rsid w:val="49AE5B8A"/>
    <w:rsid w:val="49D85ADD"/>
    <w:rsid w:val="49ED6C82"/>
    <w:rsid w:val="4A0C0182"/>
    <w:rsid w:val="4A4A7C46"/>
    <w:rsid w:val="4A523CD5"/>
    <w:rsid w:val="4A786FAB"/>
    <w:rsid w:val="4A873A47"/>
    <w:rsid w:val="4ACB5C6C"/>
    <w:rsid w:val="4ADC2291"/>
    <w:rsid w:val="4AFE168C"/>
    <w:rsid w:val="4B4C6658"/>
    <w:rsid w:val="4B6926B5"/>
    <w:rsid w:val="4B7A69E2"/>
    <w:rsid w:val="4B9C252E"/>
    <w:rsid w:val="4BBE5D06"/>
    <w:rsid w:val="4BCA09FA"/>
    <w:rsid w:val="4BE907F8"/>
    <w:rsid w:val="4BEB54D0"/>
    <w:rsid w:val="4C435437"/>
    <w:rsid w:val="4C570DA7"/>
    <w:rsid w:val="4C925D72"/>
    <w:rsid w:val="4CD5653B"/>
    <w:rsid w:val="4CD81862"/>
    <w:rsid w:val="4D28470C"/>
    <w:rsid w:val="4D341ABA"/>
    <w:rsid w:val="4DA559B9"/>
    <w:rsid w:val="4DE352BC"/>
    <w:rsid w:val="4DE6145A"/>
    <w:rsid w:val="4E182958"/>
    <w:rsid w:val="4E6D7648"/>
    <w:rsid w:val="4E7B14D6"/>
    <w:rsid w:val="4F011EB4"/>
    <w:rsid w:val="4F270107"/>
    <w:rsid w:val="4F5E0589"/>
    <w:rsid w:val="4F82145C"/>
    <w:rsid w:val="4FB42FCF"/>
    <w:rsid w:val="4FB627BF"/>
    <w:rsid w:val="504B7277"/>
    <w:rsid w:val="50765CB0"/>
    <w:rsid w:val="50801331"/>
    <w:rsid w:val="50924CFB"/>
    <w:rsid w:val="50DC614F"/>
    <w:rsid w:val="50E0282D"/>
    <w:rsid w:val="51050BFE"/>
    <w:rsid w:val="51395CD6"/>
    <w:rsid w:val="5166767E"/>
    <w:rsid w:val="51710636"/>
    <w:rsid w:val="51E16B86"/>
    <w:rsid w:val="51F040FB"/>
    <w:rsid w:val="51F71E1A"/>
    <w:rsid w:val="522E33FF"/>
    <w:rsid w:val="523F3B40"/>
    <w:rsid w:val="529507CD"/>
    <w:rsid w:val="53A019A2"/>
    <w:rsid w:val="53A14529"/>
    <w:rsid w:val="53AB55C1"/>
    <w:rsid w:val="53D92945"/>
    <w:rsid w:val="53E62601"/>
    <w:rsid w:val="53E874BC"/>
    <w:rsid w:val="542A1ACD"/>
    <w:rsid w:val="546259DF"/>
    <w:rsid w:val="546327C9"/>
    <w:rsid w:val="54893C4E"/>
    <w:rsid w:val="55006EC7"/>
    <w:rsid w:val="55130FD8"/>
    <w:rsid w:val="552E03CD"/>
    <w:rsid w:val="55662F4C"/>
    <w:rsid w:val="556D0E36"/>
    <w:rsid w:val="55A91AFC"/>
    <w:rsid w:val="55F00D78"/>
    <w:rsid w:val="56061562"/>
    <w:rsid w:val="565E2A78"/>
    <w:rsid w:val="56A566E4"/>
    <w:rsid w:val="56F54CB6"/>
    <w:rsid w:val="571A40C7"/>
    <w:rsid w:val="57307786"/>
    <w:rsid w:val="57316DA0"/>
    <w:rsid w:val="575B54D9"/>
    <w:rsid w:val="57B154DA"/>
    <w:rsid w:val="57E735A9"/>
    <w:rsid w:val="57ED3CD1"/>
    <w:rsid w:val="58974137"/>
    <w:rsid w:val="589F2BD8"/>
    <w:rsid w:val="58A423E4"/>
    <w:rsid w:val="58D76DB3"/>
    <w:rsid w:val="58D96039"/>
    <w:rsid w:val="58E04384"/>
    <w:rsid w:val="59692B59"/>
    <w:rsid w:val="596B7825"/>
    <w:rsid w:val="5976418F"/>
    <w:rsid w:val="59932391"/>
    <w:rsid w:val="599F5692"/>
    <w:rsid w:val="59DF7EAD"/>
    <w:rsid w:val="59F62891"/>
    <w:rsid w:val="5A0200DD"/>
    <w:rsid w:val="5A4F037D"/>
    <w:rsid w:val="5A5D1252"/>
    <w:rsid w:val="5A99745E"/>
    <w:rsid w:val="5AA43A05"/>
    <w:rsid w:val="5AC201A5"/>
    <w:rsid w:val="5AF67052"/>
    <w:rsid w:val="5B012E17"/>
    <w:rsid w:val="5B0954B3"/>
    <w:rsid w:val="5B0E49D4"/>
    <w:rsid w:val="5B69023F"/>
    <w:rsid w:val="5B747982"/>
    <w:rsid w:val="5B9C44F9"/>
    <w:rsid w:val="5BC11F53"/>
    <w:rsid w:val="5C0438FC"/>
    <w:rsid w:val="5C1C4987"/>
    <w:rsid w:val="5C526A06"/>
    <w:rsid w:val="5C6D4FF3"/>
    <w:rsid w:val="5C8C12C8"/>
    <w:rsid w:val="5CA67BCF"/>
    <w:rsid w:val="5CAD3352"/>
    <w:rsid w:val="5CEF421A"/>
    <w:rsid w:val="5D6E287B"/>
    <w:rsid w:val="5D747ED6"/>
    <w:rsid w:val="5DD62F1B"/>
    <w:rsid w:val="5E0651AA"/>
    <w:rsid w:val="5E294F9F"/>
    <w:rsid w:val="5E566896"/>
    <w:rsid w:val="5E604B3E"/>
    <w:rsid w:val="5E64737F"/>
    <w:rsid w:val="5E77526B"/>
    <w:rsid w:val="5E921426"/>
    <w:rsid w:val="5EA77AD3"/>
    <w:rsid w:val="5EB95DD2"/>
    <w:rsid w:val="5F5C2EFA"/>
    <w:rsid w:val="5F7255C6"/>
    <w:rsid w:val="5F785834"/>
    <w:rsid w:val="5FB13C1C"/>
    <w:rsid w:val="5FC75282"/>
    <w:rsid w:val="5FE1567A"/>
    <w:rsid w:val="5FEC1BF5"/>
    <w:rsid w:val="60324287"/>
    <w:rsid w:val="60C2709E"/>
    <w:rsid w:val="6106329C"/>
    <w:rsid w:val="610E451F"/>
    <w:rsid w:val="618333EA"/>
    <w:rsid w:val="61885C5D"/>
    <w:rsid w:val="61A265C7"/>
    <w:rsid w:val="61BE18D9"/>
    <w:rsid w:val="61F91876"/>
    <w:rsid w:val="62322474"/>
    <w:rsid w:val="626012F3"/>
    <w:rsid w:val="626E260B"/>
    <w:rsid w:val="62C84DC4"/>
    <w:rsid w:val="62D62068"/>
    <w:rsid w:val="630C0C9E"/>
    <w:rsid w:val="6341785E"/>
    <w:rsid w:val="634453FF"/>
    <w:rsid w:val="6381783D"/>
    <w:rsid w:val="63A96A13"/>
    <w:rsid w:val="63D958CC"/>
    <w:rsid w:val="644448CA"/>
    <w:rsid w:val="6453457F"/>
    <w:rsid w:val="648B5500"/>
    <w:rsid w:val="649655B1"/>
    <w:rsid w:val="64BC2C9B"/>
    <w:rsid w:val="64E67EDA"/>
    <w:rsid w:val="64FA183E"/>
    <w:rsid w:val="65245D70"/>
    <w:rsid w:val="655E7CF1"/>
    <w:rsid w:val="6571153A"/>
    <w:rsid w:val="65724749"/>
    <w:rsid w:val="65871379"/>
    <w:rsid w:val="65B457A2"/>
    <w:rsid w:val="65CF48B7"/>
    <w:rsid w:val="65E3052E"/>
    <w:rsid w:val="65EF238E"/>
    <w:rsid w:val="65FD30D1"/>
    <w:rsid w:val="660A4448"/>
    <w:rsid w:val="661B3704"/>
    <w:rsid w:val="66704573"/>
    <w:rsid w:val="66797ED2"/>
    <w:rsid w:val="66A05DC1"/>
    <w:rsid w:val="66B16DB5"/>
    <w:rsid w:val="66D91364"/>
    <w:rsid w:val="66EC4861"/>
    <w:rsid w:val="670A555D"/>
    <w:rsid w:val="675A74FA"/>
    <w:rsid w:val="67DE101C"/>
    <w:rsid w:val="67FC099D"/>
    <w:rsid w:val="683A42B9"/>
    <w:rsid w:val="68413617"/>
    <w:rsid w:val="68FA5E7F"/>
    <w:rsid w:val="69206FE6"/>
    <w:rsid w:val="69275944"/>
    <w:rsid w:val="69A56796"/>
    <w:rsid w:val="69A67CDD"/>
    <w:rsid w:val="69AA25B9"/>
    <w:rsid w:val="6A5C2965"/>
    <w:rsid w:val="6ABE3F1A"/>
    <w:rsid w:val="6AEF5784"/>
    <w:rsid w:val="6AEF6426"/>
    <w:rsid w:val="6B256BBD"/>
    <w:rsid w:val="6C17358A"/>
    <w:rsid w:val="6C192DF4"/>
    <w:rsid w:val="6C2E3BAB"/>
    <w:rsid w:val="6C8B4D34"/>
    <w:rsid w:val="6CFD38B4"/>
    <w:rsid w:val="6D24124D"/>
    <w:rsid w:val="6D7831C7"/>
    <w:rsid w:val="6DA43D14"/>
    <w:rsid w:val="6DE93268"/>
    <w:rsid w:val="6DFC0A08"/>
    <w:rsid w:val="6E03556E"/>
    <w:rsid w:val="6E4C1DDD"/>
    <w:rsid w:val="6E4F4E79"/>
    <w:rsid w:val="6EBA7CE7"/>
    <w:rsid w:val="6EDB462A"/>
    <w:rsid w:val="6F0526A1"/>
    <w:rsid w:val="6F683104"/>
    <w:rsid w:val="6FBA6E91"/>
    <w:rsid w:val="70525A28"/>
    <w:rsid w:val="70631405"/>
    <w:rsid w:val="707D4D66"/>
    <w:rsid w:val="707E15F9"/>
    <w:rsid w:val="70A231E6"/>
    <w:rsid w:val="70F463B4"/>
    <w:rsid w:val="70FB6077"/>
    <w:rsid w:val="710116C0"/>
    <w:rsid w:val="712D20D3"/>
    <w:rsid w:val="7131157C"/>
    <w:rsid w:val="718370CE"/>
    <w:rsid w:val="71944CFF"/>
    <w:rsid w:val="71CC0D50"/>
    <w:rsid w:val="71F85BCF"/>
    <w:rsid w:val="71FC0F7A"/>
    <w:rsid w:val="720B57D9"/>
    <w:rsid w:val="721C18CD"/>
    <w:rsid w:val="72974BB0"/>
    <w:rsid w:val="730A62BA"/>
    <w:rsid w:val="731E4809"/>
    <w:rsid w:val="73394FCE"/>
    <w:rsid w:val="733952EA"/>
    <w:rsid w:val="735D00D3"/>
    <w:rsid w:val="73B07BE6"/>
    <w:rsid w:val="73B155E8"/>
    <w:rsid w:val="741C4825"/>
    <w:rsid w:val="74280C84"/>
    <w:rsid w:val="742A2BFF"/>
    <w:rsid w:val="745921C5"/>
    <w:rsid w:val="74693BC7"/>
    <w:rsid w:val="74977010"/>
    <w:rsid w:val="749A6A55"/>
    <w:rsid w:val="74CA64C0"/>
    <w:rsid w:val="75101280"/>
    <w:rsid w:val="751D0B78"/>
    <w:rsid w:val="754D2856"/>
    <w:rsid w:val="756151CD"/>
    <w:rsid w:val="75B1662A"/>
    <w:rsid w:val="75D8533D"/>
    <w:rsid w:val="75E032AB"/>
    <w:rsid w:val="75EE49A7"/>
    <w:rsid w:val="760A1510"/>
    <w:rsid w:val="76121E15"/>
    <w:rsid w:val="7615266F"/>
    <w:rsid w:val="762F2831"/>
    <w:rsid w:val="764015B2"/>
    <w:rsid w:val="766816D6"/>
    <w:rsid w:val="766B5547"/>
    <w:rsid w:val="76715DDC"/>
    <w:rsid w:val="76BA0BE1"/>
    <w:rsid w:val="76D53204"/>
    <w:rsid w:val="76FA08CB"/>
    <w:rsid w:val="772F3D11"/>
    <w:rsid w:val="77446D81"/>
    <w:rsid w:val="77656ADB"/>
    <w:rsid w:val="777964B3"/>
    <w:rsid w:val="77912D9C"/>
    <w:rsid w:val="77937F90"/>
    <w:rsid w:val="77A23D29"/>
    <w:rsid w:val="77A6570F"/>
    <w:rsid w:val="77AE356C"/>
    <w:rsid w:val="77AE3EE9"/>
    <w:rsid w:val="77B45BFA"/>
    <w:rsid w:val="77B76141"/>
    <w:rsid w:val="77C43553"/>
    <w:rsid w:val="77D71CE3"/>
    <w:rsid w:val="78361828"/>
    <w:rsid w:val="78557445"/>
    <w:rsid w:val="788E1D2B"/>
    <w:rsid w:val="78AC5FDC"/>
    <w:rsid w:val="79223282"/>
    <w:rsid w:val="79FC224E"/>
    <w:rsid w:val="7A01796E"/>
    <w:rsid w:val="7A056E77"/>
    <w:rsid w:val="7A3E03C8"/>
    <w:rsid w:val="7A5173A9"/>
    <w:rsid w:val="7A5A076F"/>
    <w:rsid w:val="7A923E58"/>
    <w:rsid w:val="7B3C7DB9"/>
    <w:rsid w:val="7BC22FF4"/>
    <w:rsid w:val="7BFD4C52"/>
    <w:rsid w:val="7C622CA0"/>
    <w:rsid w:val="7C731091"/>
    <w:rsid w:val="7CA440B9"/>
    <w:rsid w:val="7E5768E9"/>
    <w:rsid w:val="7EBF1A58"/>
    <w:rsid w:val="7EC3202A"/>
    <w:rsid w:val="7ED02DDB"/>
    <w:rsid w:val="7F380CA6"/>
    <w:rsid w:val="7F626766"/>
    <w:rsid w:val="7F73305A"/>
    <w:rsid w:val="7F7814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40" w:firstLineChars="200"/>
      <w:jc w:val="left"/>
    </w:pPr>
    <w:rPr>
      <w:rFonts w:eastAsia="仿宋" w:asciiTheme="minorAscii" w:hAnsiTheme="minorAscii" w:cstheme="minorBidi"/>
      <w:kern w:val="2"/>
      <w:sz w:val="32"/>
      <w:szCs w:val="24"/>
      <w:lang w:val="en-US" w:eastAsia="zh-CN" w:bidi="ar-SA"/>
    </w:rPr>
  </w:style>
  <w:style w:type="paragraph" w:styleId="2">
    <w:name w:val="heading 1"/>
    <w:basedOn w:val="1"/>
    <w:next w:val="1"/>
    <w:qFormat/>
    <w:uiPriority w:val="0"/>
    <w:pPr>
      <w:keepNext/>
      <w:keepLines/>
      <w:spacing w:before="1300" w:beforeLines="1300" w:beforeAutospacing="0" w:afterLines="0" w:afterAutospacing="0" w:line="360" w:lineRule="auto"/>
      <w:jc w:val="center"/>
      <w:outlineLvl w:val="0"/>
    </w:pPr>
    <w:rPr>
      <w:rFonts w:eastAsia="宋体"/>
      <w:b/>
      <w:kern w:val="44"/>
      <w:sz w:val="52"/>
    </w:rPr>
  </w:style>
  <w:style w:type="paragraph" w:styleId="3">
    <w:name w:val="heading 2"/>
    <w:basedOn w:val="1"/>
    <w:next w:val="1"/>
    <w:link w:val="20"/>
    <w:qFormat/>
    <w:uiPriority w:val="0"/>
    <w:pPr>
      <w:keepNext/>
      <w:keepLines/>
      <w:numPr>
        <w:ilvl w:val="1"/>
        <w:numId w:val="1"/>
      </w:numPr>
      <w:tabs>
        <w:tab w:val="left" w:pos="1080"/>
      </w:tabs>
      <w:spacing w:before="120" w:after="120" w:line="460" w:lineRule="exact"/>
      <w:outlineLvl w:val="1"/>
    </w:pPr>
    <w:rPr>
      <w:rFonts w:ascii="Arial" w:hAnsi="Arial" w:eastAsia="黑体" w:cs="Arial"/>
      <w:b/>
      <w:bCs/>
      <w:sz w:val="30"/>
      <w:szCs w:val="30"/>
    </w:rPr>
  </w:style>
  <w:style w:type="paragraph" w:styleId="4">
    <w:name w:val="heading 3"/>
    <w:basedOn w:val="1"/>
    <w:next w:val="1"/>
    <w:link w:val="23"/>
    <w:unhideWhenUsed/>
    <w:qFormat/>
    <w:uiPriority w:val="0"/>
    <w:pPr>
      <w:keepNext/>
      <w:keepLines/>
      <w:spacing w:beforeLines="0" w:beforeAutospacing="0" w:afterLines="0" w:afterAutospacing="0" w:line="360" w:lineRule="auto"/>
      <w:outlineLvl w:val="2"/>
    </w:pPr>
    <w:rPr>
      <w:b/>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Body Text"/>
    <w:basedOn w:val="1"/>
    <w:next w:val="1"/>
    <w:unhideWhenUsed/>
    <w:qFormat/>
    <w:uiPriority w:val="99"/>
    <w:pPr>
      <w:spacing w:after="120"/>
    </w:pPr>
    <w:rPr>
      <w:rFonts w:ascii="Calibri" w:hAnsi="Calibri" w:eastAsia="宋体" w:cs="Times New Roman"/>
    </w:rPr>
  </w:style>
  <w:style w:type="paragraph" w:styleId="7">
    <w:name w:val="Plain Text"/>
    <w:basedOn w:val="1"/>
    <w:qFormat/>
    <w:uiPriority w:val="0"/>
    <w:rPr>
      <w:rFonts w:ascii="宋体" w:hAnsi="Courier New"/>
    </w:rPr>
  </w:style>
  <w:style w:type="paragraph" w:styleId="8">
    <w:name w:val="Date"/>
    <w:basedOn w:val="1"/>
    <w:next w:val="1"/>
    <w:link w:val="21"/>
    <w:qFormat/>
    <w:uiPriority w:val="0"/>
    <w:pPr>
      <w:ind w:left="100" w:leftChars="2500"/>
    </w:pPr>
  </w:style>
  <w:style w:type="paragraph" w:styleId="9">
    <w:name w:val="footer"/>
    <w:basedOn w:val="1"/>
    <w:qFormat/>
    <w:uiPriority w:val="99"/>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3">
    <w:name w:val="page number"/>
    <w:basedOn w:val="12"/>
    <w:qFormat/>
    <w:uiPriority w:val="0"/>
  </w:style>
  <w:style w:type="paragraph" w:customStyle="1" w:styleId="14">
    <w:name w:val="Quote1"/>
    <w:basedOn w:val="1"/>
    <w:next w:val="1"/>
    <w:qFormat/>
    <w:uiPriority w:val="0"/>
    <w:rPr>
      <w:i/>
      <w:iCs/>
      <w:color w:val="000000"/>
    </w:rPr>
  </w:style>
  <w:style w:type="character" w:customStyle="1" w:styleId="15">
    <w:name w:val="NormalCharacter"/>
    <w:semiHidden/>
    <w:qFormat/>
    <w:uiPriority w:val="0"/>
  </w:style>
  <w:style w:type="paragraph" w:styleId="16">
    <w:name w:val="List Paragraph"/>
    <w:basedOn w:val="1"/>
    <w:qFormat/>
    <w:uiPriority w:val="34"/>
    <w:pPr>
      <w:ind w:firstLine="420" w:firstLineChars="200"/>
    </w:pPr>
  </w:style>
  <w:style w:type="paragraph" w:customStyle="1" w:styleId="17">
    <w:name w:val="95-正文"/>
    <w:qFormat/>
    <w:uiPriority w:val="0"/>
    <w:pPr>
      <w:ind w:firstLine="880" w:firstLineChars="200"/>
    </w:pPr>
    <w:rPr>
      <w:rFonts w:ascii="Calibri" w:hAnsi="Calibri" w:eastAsia="仿宋_GB2312" w:cs="Times New Roman"/>
      <w:sz w:val="32"/>
      <w:lang w:val="en-US" w:eastAsia="zh-CN" w:bidi="ar-SA"/>
    </w:rPr>
  </w:style>
  <w:style w:type="paragraph" w:customStyle="1" w:styleId="18">
    <w:name w:val="引用1"/>
    <w:basedOn w:val="1"/>
    <w:next w:val="1"/>
    <w:qFormat/>
    <w:uiPriority w:val="29"/>
    <w:rPr>
      <w:i/>
      <w:iCs/>
      <w:color w:val="000000"/>
    </w:rPr>
  </w:style>
  <w:style w:type="paragraph" w:customStyle="1" w:styleId="19">
    <w:name w:val="Default"/>
    <w:unhideWhenUsed/>
    <w:qFormat/>
    <w:uiPriority w:val="99"/>
    <w:pPr>
      <w:widowControl w:val="0"/>
      <w:autoSpaceDE w:val="0"/>
      <w:autoSpaceDN w:val="0"/>
      <w:adjustRightInd w:val="0"/>
    </w:pPr>
    <w:rPr>
      <w:rFonts w:hint="eastAsia" w:ascii="汉仪中宋简á.." w:hAnsi="汉仪中宋简á.." w:eastAsia="汉仪中宋简á.." w:cs="Times New Roman"/>
      <w:color w:val="000000"/>
      <w:sz w:val="24"/>
      <w:lang w:val="en-US" w:eastAsia="zh-CN" w:bidi="ar-SA"/>
    </w:rPr>
  </w:style>
  <w:style w:type="character" w:customStyle="1" w:styleId="20">
    <w:name w:val="标题 2 Char"/>
    <w:basedOn w:val="12"/>
    <w:link w:val="3"/>
    <w:qFormat/>
    <w:uiPriority w:val="0"/>
    <w:rPr>
      <w:rFonts w:ascii="Arial" w:hAnsi="Arial" w:eastAsia="黑体" w:cs="Arial"/>
      <w:b/>
      <w:bCs/>
      <w:kern w:val="2"/>
      <w:sz w:val="30"/>
      <w:szCs w:val="30"/>
    </w:rPr>
  </w:style>
  <w:style w:type="character" w:customStyle="1" w:styleId="21">
    <w:name w:val="日期 Char"/>
    <w:basedOn w:val="12"/>
    <w:link w:val="8"/>
    <w:qFormat/>
    <w:uiPriority w:val="0"/>
    <w:rPr>
      <w:rFonts w:asciiTheme="minorHAnsi" w:hAnsiTheme="minorHAnsi" w:eastAsiaTheme="minorEastAsia" w:cstheme="minorBidi"/>
      <w:kern w:val="2"/>
      <w:sz w:val="21"/>
      <w:szCs w:val="24"/>
    </w:rPr>
  </w:style>
  <w:style w:type="paragraph" w:customStyle="1" w:styleId="22">
    <w:name w:val="引用11"/>
    <w:basedOn w:val="1"/>
    <w:next w:val="1"/>
    <w:qFormat/>
    <w:uiPriority w:val="29"/>
    <w:rPr>
      <w:rFonts w:ascii="Calibri" w:hAnsi="Calibri" w:eastAsia="宋体" w:cs="Times New Roman"/>
      <w:i/>
      <w:iCs/>
      <w:color w:val="000000"/>
    </w:rPr>
  </w:style>
  <w:style w:type="character" w:customStyle="1" w:styleId="23">
    <w:name w:val="标题 3 Char"/>
    <w:link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1cb58ece-b859-435e-ad16-75f1dd558bcb</errorID>
      <errorWord>(</errorWord>
      <group>L1_Format</group>
      <groupName>格式问题</groupName>
      <ability>L2_HalfPunc</ability>
      <abilityName>全半角检查</abilityName>
      <candidateList>
        <item>（</item>
      </candidateList>
      <explain>文本全半角错误。</explain>
      <paraID>7DF42478</paraID>
      <start>2</start>
      <end>3</end>
      <status>modified</status>
      <modifiedWord>（</modifiedWord>
      <trackRevisions>false</trackRevisions>
    </reviewItem>
    <reviewItem>
      <errorID>245c6151-b2b5-4750-b9f4-fc10f6ef93f0</errorID>
      <errorWord>)</errorWord>
      <group>L1_Format</group>
      <groupName>格式问题</groupName>
      <ability>L2_HalfPunc</ability>
      <abilityName>全半角检查</abilityName>
      <candidateList>
        <item>）</item>
      </candidateList>
      <explain>文本全半角错误。</explain>
      <paraID>7DF42478</paraID>
      <start>5</start>
      <end>6</end>
      <status>modified</status>
      <modifiedWord>）</modifiedWord>
      <trackRevisions>false</trackRevisions>
    </reviewItem>
    <reviewItem>
      <errorID>56ae5458-a96b-4a92-905e-e6208f33eb07</errorID>
      <errorWord>法律、法规</errorWord>
      <group>L1_Word</group>
      <groupName>字词问题</groupName>
      <ability>L2_Typo</ability>
      <abilityName>字词错误</abilityName>
      <candidateList>
        <item>法律法规</item>
      </candidateList>
      <explain/>
      <paraID>10F372A7</paraID>
      <start>37</start>
      <end>41</end>
      <status>modified</status>
      <modifiedWord>法律法规</modifiedWord>
      <trackRevisions>false</trackRevisions>
    </reviewItem>
    <reviewItem>
      <errorID>21a9d3f3-f751-42d5-ad80-91ebb43cef35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34C5457C</paraID>
      <start>0</start>
      <end>2</end>
      <status>modified</status>
      <modifiedWord>1.</modifiedWord>
      <trackRevisions>false</trackRevisions>
    </reviewItem>
    <reviewItem>
      <errorID>b15ed493-9699-43dc-9efc-25a9866d1311</errorID>
      <errorWord>“十五五” 规划</errorWord>
      <group>L1_Political</group>
      <groupName>政治性问题</groupName>
      <ability>L2_Keyword</ability>
      <abilityName>固定表述</abilityName>
      <candidateList>
        <item>“十五五”规划</item>
      </candidateList>
      <explain>词汇““十五五”规划”在特定场景下为固定表述形式，请确认此处的““十五五” 规划”是否存在不当。</explain>
      <paraID>34C5457C</paraID>
      <start>58</start>
      <end>65</end>
      <status>modified</status>
      <modifiedWord>“十五五”规划</modifiedWord>
      <trackRevisions>false</trackRevisions>
    </reviewItem>
    <reviewItem>
      <errorID>23403c8f-4c9a-45f9-8bd3-6058188df8e2</errorID>
      <errorWord>中医药服传承创新发展</errorWord>
      <group>L1_Political</group>
      <groupName>政治性问题</groupName>
      <ability>L2_Keyword</ability>
      <abilityName>固定表述</abilityName>
      <candidateList>
        <item>中医药传承创新发展</item>
      </candidateList>
      <explain>词汇“中医药传承创新发展”在特定场景下为固定表述形式，请确认此处的“中医药服传承创新发展”是否存在不当。</explain>
      <paraID>34C5457C</paraID>
      <start>83</start>
      <end>92</end>
      <status>modified</status>
      <modifiedWord>中医药传承创新发展</modifiedWord>
      <trackRevisions>false</trackRevisions>
    </reviewItem>
    <reviewItem>
      <errorID>5b48c13b-bb09-4fea-8cb3-b69387083c0e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216C06F8</paraID>
      <start>0</start>
      <end>2</end>
      <status>modified</status>
      <modifiedWord>2.</modifiedWord>
      <trackRevisions>false</trackRevisions>
    </reviewItem>
    <reviewItem>
      <errorID>18e5a6a6-d55c-457d-9d67-c78fcb7a4469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5183F92B</paraID>
      <start>0</start>
      <end>2</end>
      <status>modified</status>
      <modifiedWord>3.</modifiedWord>
      <trackRevisions>false</trackRevisions>
    </reviewItem>
    <reviewItem>
      <errorID>424b004c-d144-4765-b449-64e7c1aae28b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21A4AA70</paraID>
      <start>0</start>
      <end>2</end>
      <status>modified</status>
      <modifiedWord>4.</modifiedWord>
      <trackRevisions>false</trackRevisions>
    </reviewItem>
    <reviewItem>
      <errorID>837ad9f4-f027-4334-a2a6-9d82c020010f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DAAAC34</paraID>
      <start>0</start>
      <end>2</end>
      <status>modified</status>
      <modifiedWord>5.</modifiedWord>
      <trackRevisions>false</trackRevisions>
    </reviewItem>
    <reviewItem>
      <errorID>416bef18-2e67-42f4-bf98-ae0811d98702</errorID>
      <errorWord>一般公共预算拨款</errorWord>
      <group>L1_Political</group>
      <groupName>政治性问题</groupName>
      <ability>L2_Keyword</ability>
      <abilityName>固定表述</abilityName>
      <candidateList>
        <item>一般公共预算财政拨款</item>
      </candidateList>
      <explain>词汇“一般公共预算财政拨款”在特定场景下为固定表述形式，请确认此处的“一般公共预算拨款”是否存在不当。</explain>
      <paraID>68552F99</paraID>
      <start>44</start>
      <end>52</end>
      <status>ignored</status>
      <modifiedWord/>
      <trackRevisions>false</trackRevisions>
    </reviewItem>
    <reviewItem>
      <errorID>07d61c9e-5fb0-4487-a576-a36e4c934aba</errorID>
      <errorWord>一般公共预算拨款</errorWord>
      <group>L1_Political</group>
      <groupName>政治性问题</groupName>
      <ability>L2_Keyword</ability>
      <abilityName>固定表述</abilityName>
      <candidateList>
        <item>一般公共预算财政拨款</item>
      </candidateList>
      <explain>词汇“一般公共预算财政拨款”在特定场景下为固定表述形式，请确认此处的“一般公共预算拨款”是否存在不当。</explain>
      <paraID>6BF329FD</paraID>
      <start>54</start>
      <end>62</end>
      <status>ignored</status>
      <modifiedWord/>
      <trackRevisions>false</trackRevisions>
    </reviewItem>
    <reviewItem>
      <errorID>97c9294d-8c63-47e9-a764-242335b3bac3</errorID>
      <errorWord>,</errorWord>
      <group>L1_Format</group>
      <groupName>格式问题</groupName>
      <ability>L2_HalfPunc</ability>
      <abilityName>全半角检查</abilityName>
      <candidateList>
        <item>，</item>
      </candidateList>
      <explain>文本全半角错误。</explain>
      <paraID>4E30F7EF</paraID>
      <start>36</start>
      <end>37</end>
      <status>modified</status>
      <modifiedWord>，</modifiedWord>
      <trackRevisions>false</trackRevisions>
    </reviewItem>
    <reviewItem>
      <errorID>921c193a-abe2-45f0-b7e5-a00c6ff21b80</errorID>
      <errorWord>一般公共预算拨款</errorWord>
      <group>L1_Political</group>
      <groupName>政治性问题</groupName>
      <ability>L2_Keyword</ability>
      <abilityName>固定表述</abilityName>
      <candidateList>
        <item>一般公共预算财政拨款</item>
      </candidateList>
      <explain>词汇“一般公共预算财政拨款”在特定场景下为固定表述形式，请确认此处的“一般公共预算拨款”是否存在不当。</explain>
      <paraID> 3057DDE</paraID>
      <start>7</start>
      <end>15</end>
      <status>ignored</status>
      <modifiedWord/>
      <trackRevisions>false</trackRevisions>
    </reviewItem>
    <reviewItem>
      <errorID>f0872806-9c2a-41f1-9725-2cf457d9cbbf</errorID>
      <errorWord>一般公共预算当年拨款</errorWord>
      <group>L1_Political</group>
      <groupName>政治性问题</groupName>
      <ability>L2_Keyword</ability>
      <abilityName>固定表述</abilityName>
      <candidateList>
        <item>一般公共预算财政拨款</item>
      </candidateList>
      <explain>词汇“一般公共预算财政拨款”在特定场景下为固定表述形式，请确认此处的“一般公共预算当年拨款”是否存在不当。</explain>
      <paraID>33215C0F</paraID>
      <start>3</start>
      <end>13</end>
      <status>ignored</status>
      <modifiedWord/>
      <trackRevisions>false</trackRevisions>
    </reviewItem>
    <reviewItem>
      <errorID>75b9571d-e5c0-4fc6-a3e0-4d1563e1d245</errorID>
      <errorWord>:</errorWord>
      <group>L1_Format</group>
      <groupName>格式问题</groupName>
      <ability>L2_HalfPunc</ability>
      <abilityName>全半角检查</abilityName>
      <candidateList>
        <item>：</item>
      </candidateList>
      <explain>文本全半角错误。</explain>
      <paraID>5183D4D8</paraID>
      <start>35</start>
      <end>36</end>
      <status>modified</status>
      <modifiedWord>：</modifiedWord>
      <trackRevisions>false</trackRevisions>
    </reviewItem>
    <reviewItem>
      <errorID>1f4435fb-37af-4f14-9317-71669b0cbbbd</errorID>
      <errorWord>:</errorWord>
      <group>L1_Format</group>
      <groupName>格式问题</groupName>
      <ability>L2_HalfPunc</ability>
      <abilityName>全半角检查</abilityName>
      <candidateList>
        <item>：</item>
      </candidateList>
      <explain>文本全半角错误。</explain>
      <paraID>51023C39</paraID>
      <start>44</start>
      <end>45</end>
      <status>modified</status>
      <modifiedWord>：</modifiedWord>
      <trackRevisions>false</trackRevisions>
    </reviewItem>
    <reviewItem>
      <errorID>a30fe0da-5dab-485a-a113-1160664ebb69</errorID>
      <errorWord>:</errorWord>
      <group>L1_Format</group>
      <groupName>格式问题</groupName>
      <ability>L2_HalfPunc</ability>
      <abilityName>全半角检查</abilityName>
      <candidateList>
        <item>：</item>
      </candidateList>
      <explain>文本全半角错误。</explain>
      <paraID>2C34C9A6</paraID>
      <start>42</start>
      <end>43</end>
      <status>modified</status>
      <modifiedWord>：</modifiedWord>
      <trackRevisions>false</trackRevisions>
    </reviewItem>
    <reviewItem>
      <errorID>7b9da875-6c2f-4f3e-9e9b-bdf924f68f58</errorID>
      <errorWord>:</errorWord>
      <group>L1_Format</group>
      <groupName>格式问题</groupName>
      <ability>L2_HalfPunc</ability>
      <abilityName>全半角检查</abilityName>
      <candidateList>
        <item>：</item>
      </candidateList>
      <explain>文本全半角错误。</explain>
      <paraID> F52CB76</paraID>
      <start>40</start>
      <end>41</end>
      <status>modified</status>
      <modifiedWord>：</modifiedWord>
      <trackRevisions>false</trackRevisions>
    </reviewItem>
    <reviewItem>
      <errorID>79dd09df-7340-4b4f-8043-9e99f95860a4</errorID>
      <errorWord>:</errorWord>
      <group>L1_Format</group>
      <groupName>格式问题</groupName>
      <ability>L2_HalfPunc</ability>
      <abilityName>全半角检查</abilityName>
      <candidateList>
        <item>：</item>
      </candidateList>
      <explain>文本全半角错误。</explain>
      <paraID>76374A48</paraID>
      <start>29</start>
      <end>30</end>
      <status>modified</status>
      <modifiedWord>：</modifiedWord>
      <trackRevisions>false</trackRevisions>
    </reviewItem>
    <reviewItem>
      <errorID>d782c762-bb4d-4fed-94ba-d087c8acbda8</errorID>
      <errorWord>:</errorWord>
      <group>L1_Format</group>
      <groupName>格式问题</groupName>
      <ability>L2_HalfPunc</ability>
      <abilityName>全半角检查</abilityName>
      <candidateList>
        <item>：</item>
      </candidateList>
      <explain>文本全半角错误。</explain>
      <paraID>4EB6AA2A</paraID>
      <start>37</start>
      <end>38</end>
      <status>modified</status>
      <modifiedWord>：</modifiedWord>
      <trackRevisions>false</trackRevisions>
    </reviewItem>
    <reviewItem>
      <errorID>f57b503b-d00f-4b04-9556-7fceb708c78a</errorID>
      <errorWord>:</errorWord>
      <group>L1_Format</group>
      <groupName>格式问题</groupName>
      <ability>L2_HalfPunc</ability>
      <abilityName>全半角检查</abilityName>
      <candidateList>
        <item>：</item>
      </candidateList>
      <explain>文本全半角错误。</explain>
      <paraID>557BC246</paraID>
      <start>25</start>
      <end>26</end>
      <status>modified</status>
      <modifiedWord>：</modifiedWord>
      <trackRevisions>false</trackRevisions>
    </reviewItem>
    <reviewItem>
      <errorID>7b83e482-362b-427f-bee7-c675d1f2e3dd</errorID>
      <errorWord>:</errorWord>
      <group>L1_Format</group>
      <groupName>格式问题</groupName>
      <ability>L2_HalfPunc</ability>
      <abilityName>全半角检查</abilityName>
      <candidateList>
        <item>：</item>
      </candidateList>
      <explain>文本全半角错误。</explain>
      <paraID>2DCDA7D2</paraID>
      <start>29</start>
      <end>30</end>
      <status>modified</status>
      <modifiedWord>：</modifiedWord>
      <trackRevisions>false</trackRevisions>
    </reviewItem>
    <reviewItem>
      <errorID>31aaef99-45a2-4600-acc0-06f7f86006b1</errorID>
      <errorWord>:</errorWord>
      <group>L1_Format</group>
      <groupName>格式问题</groupName>
      <ability>L2_HalfPunc</ability>
      <abilityName>全半角检查</abilityName>
      <candidateList>
        <item>：</item>
      </candidateList>
      <explain>文本全半角错误。</explain>
      <paraID>32DF9510</paraID>
      <start>30</start>
      <end>31</end>
      <status>modified</status>
      <modifiedWord>：</modifiedWord>
      <trackRevisions>false</trackRevisions>
    </reviewItem>
    <reviewItem>
      <errorID>b65dc22f-4fa5-4aab-9c1c-3e30c840f0ae</errorID>
      <errorWord>:</errorWord>
      <group>L1_Format</group>
      <groupName>格式问题</groupName>
      <ability>L2_HalfPunc</ability>
      <abilityName>全半角检查</abilityName>
      <candidateList>
        <item>：</item>
      </candidateList>
      <explain>文本全半角错误。</explain>
      <paraID>569B1D94</paraID>
      <start>38</start>
      <end>39</end>
      <status>modified</status>
      <modifiedWord>：</modifiedWord>
      <trackRevisions>false</trackRevisions>
    </reviewItem>
    <reviewItem>
      <errorID>a6c008b1-e6b2-4657-ad0f-c062d2610899</errorID>
      <errorWord>:</errorWord>
      <group>L1_Format</group>
      <groupName>格式问题</groupName>
      <ability>L2_HalfPunc</ability>
      <abilityName>全半角检查</abilityName>
      <candidateList>
        <item>：</item>
      </candidateList>
      <explain>文本全半角错误。</explain>
      <paraID>33F3E43A</paraID>
      <start>30</start>
      <end>31</end>
      <status>modified</status>
      <modifiedWord>：</modifiedWord>
      <trackRevisions>false</trackRevisions>
    </reviewItem>
    <reviewItem>
      <errorID>d96625bd-c1f5-4029-862c-8ac7aa2699fd</errorID>
      <errorWord>:</errorWord>
      <group>L1_Format</group>
      <groupName>格式问题</groupName>
      <ability>L2_HalfPunc</ability>
      <abilityName>全半角检查</abilityName>
      <candidateList>
        <item>：</item>
      </candidateList>
      <explain>文本全半角错误。</explain>
      <paraID>437E1D53</paraID>
      <start>28</start>
      <end>29</end>
      <status>modified</status>
      <modifiedWord>：</modifiedWord>
      <trackRevisions>false</trackRevisions>
    </reviewItem>
    <reviewItem>
      <errorID>29eff711-99b1-40f2-8ed9-c853c0a821e3</errorID>
      <errorWord>:</errorWord>
      <group>L1_Format</group>
      <groupName>格式问题</groupName>
      <ability>L2_HalfPunc</ability>
      <abilityName>全半角检查</abilityName>
      <candidateList>
        <item>：</item>
      </candidateList>
      <explain>文本全半角错误。</explain>
      <paraID>52DF1FA2</paraID>
      <start>30</start>
      <end>31</end>
      <status>modified</status>
      <modifiedWord>：</modifiedWord>
      <trackRevisions>false</trackRevisions>
    </reviewItem>
    <reviewItem>
      <errorID>6778d490-5596-495c-85f2-5fd659304001</errorID>
      <errorWord>:</errorWord>
      <group>L1_Format</group>
      <groupName>格式问题</groupName>
      <ability>L2_HalfPunc</ability>
      <abilityName>全半角检查</abilityName>
      <candidateList>
        <item>：</item>
      </candidateList>
      <explain>文本全半角错误。</explain>
      <paraID>2ACF038F</paraID>
      <start>30</start>
      <end>31</end>
      <status>modified</status>
      <modifiedWord>：</modifiedWord>
      <trackRevisions>false</trackRevisions>
    </reviewItem>
    <reviewItem>
      <errorID>02c67df1-78ed-4971-a2b1-aa74af2aa648</errorID>
      <errorWord>:</errorWord>
      <group>L1_Format</group>
      <groupName>格式问题</groupName>
      <ability>L2_HalfPunc</ability>
      <abilityName>全半角检查</abilityName>
      <candidateList>
        <item>：</item>
      </candidateList>
      <explain>文本全半角错误。</explain>
      <paraID>15C279BC</paraID>
      <start>30</start>
      <end>31</end>
      <status>modified</status>
      <modifiedWord>：</modifiedWord>
      <trackRevisions>false</trackRevisions>
    </reviewItem>
    <reviewItem>
      <errorID>015910a3-00ec-4710-a35c-d1bedebc0bdd</errorID>
      <errorWord>:</errorWord>
      <group>L1_Format</group>
      <groupName>格式问题</groupName>
      <ability>L2_HalfPunc</ability>
      <abilityName>全半角检查</abilityName>
      <candidateList>
        <item>：</item>
      </candidateList>
      <explain>文本全半角错误。</explain>
      <paraID>6B609FB0</paraID>
      <start>34</start>
      <end>35</end>
      <status>modified</status>
      <modifiedWord>：</modifiedWord>
      <trackRevisions>false</trackRevisions>
    </reviewItem>
    <reviewItem>
      <errorID>fa0039a6-3e45-4820-af6c-4e74691d165a</errorID>
      <errorWord>:</errorWord>
      <group>L1_Format</group>
      <groupName>格式问题</groupName>
      <ability>L2_HalfPunc</ability>
      <abilityName>全半角检查</abilityName>
      <candidateList>
        <item>：</item>
      </candidateList>
      <explain>文本全半角错误。</explain>
      <paraID>7C07C580</paraID>
      <start>32</start>
      <end>33</end>
      <status>modified</status>
      <modifiedWord>：</modifiedWord>
      <trackRevisions>false</trackRevisions>
    </reviewItem>
    <reviewItem>
      <errorID>7fbfba69-3770-4a72-826e-7d596602131b</errorID>
      <errorWord>:</errorWord>
      <group>L1_Format</group>
      <groupName>格式问题</groupName>
      <ability>L2_HalfPunc</ability>
      <abilityName>全半角检查</abilityName>
      <candidateList>
        <item>：</item>
      </candidateList>
      <explain>文本全半角错误。</explain>
      <paraID>43159D5E</paraID>
      <start>32</start>
      <end>33</end>
      <status>modified</status>
      <modifiedWord>：</modifiedWord>
      <trackRevisions>false</trackRevisions>
    </reviewItem>
    <reviewItem>
      <errorID>105e4b6c-ae6d-4c38-a1b3-35cd5439300d</errorID>
      <errorWord>:</errorWord>
      <group>L1_Format</group>
      <groupName>格式问题</groupName>
      <ability>L2_HalfPunc</ability>
      <abilityName>全半角检查</abilityName>
      <candidateList>
        <item>：</item>
      </candidateList>
      <explain>文本全半角错误。</explain>
      <paraID>73DDCE60</paraID>
      <start>30</start>
      <end>31</end>
      <status>modified</status>
      <modifiedWord>：</modifiedWord>
      <trackRevisions>false</trackRevisions>
    </reviewItem>
    <reviewItem>
      <errorID>2d2544c8-432b-4b52-80ef-b4a83566f4d7</errorID>
      <errorWord>:</errorWord>
      <group>L1_Format</group>
      <groupName>格式问题</groupName>
      <ability>L2_HalfPunc</ability>
      <abilityName>全半角检查</abilityName>
      <candidateList>
        <item>：</item>
      </candidateList>
      <explain>文本全半角错误。</explain>
      <paraID>169B6D00</paraID>
      <start>34</start>
      <end>35</end>
      <status>modified</status>
      <modifiedWord>：</modifiedWord>
      <trackRevisions>false</trackRevisions>
    </reviewItem>
    <reviewItem>
      <errorID>445bce7c-d5be-410a-83fd-989e70f0024a</errorID>
      <errorWord>:</errorWord>
      <group>L1_Format</group>
      <groupName>格式问题</groupName>
      <ability>L2_HalfPunc</ability>
      <abilityName>全半角检查</abilityName>
      <candidateList>
        <item>：</item>
      </candidateList>
      <explain>文本全半角错误。</explain>
      <paraID>7553DDDB</paraID>
      <start>27</start>
      <end>28</end>
      <status>modified</status>
      <modifiedWord>：</modifiedWord>
      <trackRevisions>false</trackRevisions>
    </reviewItem>
    <reviewItem>
      <errorID>8b9e9ac8-b8f1-49ff-8993-4213ba4f6c9e</errorID>
      <errorWord>一般公共预算拨款</errorWord>
      <group>L1_Political</group>
      <groupName>政治性问题</groupName>
      <ability>L2_Keyword</ability>
      <abilityName>固定表述</abilityName>
      <candidateList>
        <item>一般公共预算财政拨款</item>
      </candidateList>
      <explain>词汇“一般公共预算财政拨款”在特定场景下为固定表述形式，请确认此处的“一般公共预算拨款”是否存在不当。</explain>
      <paraID>20C37CA2</paraID>
      <start>13</start>
      <end>21</end>
      <status>ignored</status>
      <modifiedWord/>
      <trackRevisions>false</trackRevisions>
    </reviewItem>
    <reviewItem>
      <errorID>8147bd55-b08b-4dc1-9549-a55a30910184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20C37CA2</paraID>
      <start>23</start>
      <end>25</end>
      <status>modified</status>
      <modifiedWord>”“</modifiedWord>
      <trackRevisions>false</trackRevisions>
    </reviewItem>
    <reviewItem>
      <errorID>00f03cb5-4fa9-4da4-b9fd-048b120a7be7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20C37CA2</paraID>
      <start>29</start>
      <end>31</end>
      <status>modified</status>
      <modifiedWord>”“</modifiedWord>
      <trackRevisions>false</trackRevisions>
    </reviewItem>
    <reviewItem>
      <errorID>64c4b336-dc90-4b83-8d28-573ea1b5f7dd</errorID>
      <errorWord>意外</errorWord>
      <group>L1_Word</group>
      <groupName>字词问题</groupName>
      <ability>L2_Typo</ability>
      <abilityName>字词错误</abilityName>
      <candidateList>
        <item>以外</item>
      </candidateList>
      <explain/>
      <paraID>7728CE8A</paraID>
      <start>44</start>
      <end>46</end>
      <status>modified</status>
      <modifiedWord>以外</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c6329f-9535-41b0-8c30-703d65471deb}">
  <ds:schemaRefs/>
</ds:datastoreItem>
</file>

<file path=docProps/app.xml><?xml version="1.0" encoding="utf-8"?>
<Properties xmlns="http://schemas.openxmlformats.org/officeDocument/2006/extended-properties" xmlns:vt="http://schemas.openxmlformats.org/officeDocument/2006/docPropsVTypes">
  <Template>Normal.dotm</Template>
  <Pages>46</Pages>
  <Words>68</Words>
  <Characters>75</Characters>
  <Lines>1</Lines>
  <Paragraphs>1</Paragraphs>
  <TotalTime>18</TotalTime>
  <ScaleCrop>false</ScaleCrop>
  <LinksUpToDate>false</LinksUpToDate>
  <CharactersWithSpaces>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2024-05-21T02:47:00Z</dcterms:created>
  <dc:creator>admin</dc:creator>
  <cp:lastModifiedBy>Administrator</cp:lastModifiedBy>
  <cp:lastPrinted>2024-11-15T04:16:00Z</cp:lastPrinted>
  <dcterms:modified xsi:type="dcterms:W3CDTF">2026-03-25T06:40:44Z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eyJoZGlkIjoiNzI2ZGI0OGUzMDAzMzk0YmE1OTYyMDVlZGMwMmYyODYiLCJ1c2VySWQiOiIxMTM5NjM2MTk5In0=</vt:lpwstr>
  </property>
  <property fmtid="{D5CDD505-2E9C-101B-9397-08002B2CF9AE}" pid="4" name="ICV">
    <vt:lpwstr>274C0F9AACB7477FAE8160C6AEA144EF_12</vt:lpwstr>
  </property>
</Properties>
</file>