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A4BB31">
      <w:pPr>
        <w:ind w:left="0" w:leftChars="0" w:firstLine="0" w:firstLineChars="0"/>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p>
    <w:p w14:paraId="13D311C3">
      <w:pPr>
        <w:pStyle w:val="2"/>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峨边彝族自治县卫生健康局</w:t>
      </w:r>
    </w:p>
    <w:p w14:paraId="79653D93">
      <w:pPr>
        <w:pStyle w:val="3"/>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2025年部门预算</w:t>
      </w:r>
    </w:p>
    <w:p w14:paraId="12EB6668">
      <w:pPr>
        <w:jc w:val="center"/>
        <w:rPr>
          <w:rFonts w:hint="eastAsia" w:ascii="方正小标宋简体" w:hAnsi="方正小标宋简体" w:eastAsia="方正小标宋简体" w:cs="方正小标宋简体"/>
          <w:b w:val="0"/>
          <w:bCs/>
          <w:sz w:val="52"/>
          <w:szCs w:val="52"/>
          <w:lang w:val="en-US" w:eastAsia="zh-CN"/>
        </w:rPr>
      </w:pPr>
    </w:p>
    <w:p w14:paraId="0627B24C">
      <w:pPr>
        <w:jc w:val="both"/>
        <w:rPr>
          <w:rFonts w:hint="default"/>
          <w:b/>
          <w:bCs/>
          <w:sz w:val="52"/>
          <w:szCs w:val="52"/>
          <w:lang w:val="en-US" w:eastAsia="zh-CN"/>
        </w:rPr>
      </w:pPr>
    </w:p>
    <w:p w14:paraId="2C352D2C">
      <w:pPr>
        <w:jc w:val="both"/>
        <w:rPr>
          <w:rFonts w:hint="default"/>
          <w:b/>
          <w:bCs/>
          <w:sz w:val="52"/>
          <w:szCs w:val="52"/>
          <w:lang w:val="en-US" w:eastAsia="zh-CN"/>
        </w:rPr>
      </w:pPr>
    </w:p>
    <w:p w14:paraId="2CA1556C">
      <w:pPr>
        <w:jc w:val="both"/>
        <w:rPr>
          <w:rFonts w:hint="default"/>
          <w:b/>
          <w:bCs/>
          <w:sz w:val="52"/>
          <w:szCs w:val="52"/>
          <w:lang w:val="en-US" w:eastAsia="zh-CN"/>
        </w:rPr>
      </w:pPr>
    </w:p>
    <w:p w14:paraId="02FE3A4A">
      <w:pPr>
        <w:jc w:val="center"/>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单位(签章)：</w:t>
      </w:r>
      <w:r>
        <w:rPr>
          <w:rFonts w:hint="eastAsia" w:ascii="方正小标宋简体" w:hAnsi="方正小标宋简体" w:eastAsia="方正小标宋简体" w:cs="方正小标宋简体"/>
          <w:b w:val="0"/>
          <w:bCs w:val="0"/>
          <w:sz w:val="32"/>
          <w:szCs w:val="32"/>
          <w:u w:val="single"/>
          <w:lang w:val="en-US" w:eastAsia="zh-CN"/>
        </w:rPr>
        <w:t>峨边彝族自治县卫生健康局</w:t>
      </w:r>
    </w:p>
    <w:p w14:paraId="63BDD75E">
      <w:pPr>
        <w:ind w:left="0" w:leftChars="0" w:firstLine="0" w:firstLineChars="0"/>
        <w:jc w:val="both"/>
        <w:rPr>
          <w:rFonts w:hint="default"/>
          <w:b/>
          <w:bCs/>
          <w:sz w:val="32"/>
          <w:szCs w:val="32"/>
          <w:lang w:val="en-US" w:eastAsia="zh-CN"/>
        </w:rPr>
      </w:pPr>
    </w:p>
    <w:p w14:paraId="09DF6331">
      <w:pPr>
        <w:jc w:val="center"/>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2025年5月8日</w:t>
      </w:r>
    </w:p>
    <w:p w14:paraId="1FC46792">
      <w:pPr>
        <w:jc w:val="both"/>
        <w:rPr>
          <w:rFonts w:hint="eastAsia"/>
          <w:b/>
          <w:bCs/>
          <w:sz w:val="32"/>
          <w:szCs w:val="32"/>
          <w:lang w:val="en-US" w:eastAsia="zh-CN"/>
        </w:rPr>
      </w:pPr>
    </w:p>
    <w:p w14:paraId="1E5E9B46">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目录</w:t>
      </w:r>
    </w:p>
    <w:p w14:paraId="6571F725">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 xml:space="preserve">第一部分 </w:t>
      </w:r>
      <w:r>
        <w:rPr>
          <w:rFonts w:hint="eastAsia" w:ascii="黑体" w:hAnsi="黑体" w:eastAsia="黑体" w:cs="黑体"/>
          <w:b w:val="0"/>
          <w:bCs w:val="0"/>
          <w:color w:val="auto"/>
          <w:sz w:val="32"/>
          <w:szCs w:val="32"/>
          <w:lang w:val="en-US" w:eastAsia="zh-CN"/>
        </w:rPr>
        <w:t>峨边彝族自治县卫生健康局部门概况</w:t>
      </w:r>
    </w:p>
    <w:p w14:paraId="5C1BF6F2">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default" w:ascii="Times New Roman" w:hAnsi="Times New Roman" w:eastAsia="仿宋_GB2312" w:cs="仿宋_GB2312"/>
          <w:b w:val="0"/>
          <w:bCs w:val="0"/>
          <w:sz w:val="32"/>
          <w:szCs w:val="32"/>
          <w:lang w:val="en-US" w:eastAsia="zh-CN"/>
        </w:rPr>
      </w:pPr>
      <w:r>
        <w:rPr>
          <w:rFonts w:hint="default" w:ascii="Times New Roman" w:hAnsi="Times New Roman" w:eastAsia="仿宋_GB2312" w:cs="仿宋_GB2312"/>
          <w:b w:val="0"/>
          <w:bCs w:val="0"/>
          <w:sz w:val="32"/>
          <w:szCs w:val="32"/>
          <w:lang w:val="en-US" w:eastAsia="zh-CN"/>
        </w:rPr>
        <w:t>一、基本职能及主要工作</w:t>
      </w:r>
    </w:p>
    <w:p w14:paraId="2E07FBB1">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default" w:ascii="Times New Roman" w:hAnsi="Times New Roman" w:eastAsia="仿宋_GB2312" w:cs="仿宋_GB2312"/>
          <w:b w:val="0"/>
          <w:bCs w:val="0"/>
          <w:sz w:val="32"/>
          <w:szCs w:val="32"/>
          <w:lang w:val="en-US" w:eastAsia="zh-CN"/>
        </w:rPr>
      </w:pPr>
      <w:r>
        <w:rPr>
          <w:rFonts w:hint="default" w:ascii="Times New Roman" w:hAnsi="Times New Roman" w:eastAsia="仿宋_GB2312" w:cs="仿宋_GB2312"/>
          <w:b w:val="0"/>
          <w:bCs w:val="0"/>
          <w:sz w:val="32"/>
          <w:szCs w:val="32"/>
          <w:lang w:val="en-US" w:eastAsia="zh-CN"/>
        </w:rPr>
        <w:t>二、</w:t>
      </w:r>
      <w:r>
        <w:rPr>
          <w:rFonts w:hint="eastAsia" w:ascii="Times New Roman" w:hAnsi="Times New Roman" w:eastAsia="仿宋_GB2312" w:cs="仿宋_GB2312"/>
          <w:b w:val="0"/>
          <w:bCs w:val="0"/>
          <w:sz w:val="32"/>
          <w:szCs w:val="32"/>
          <w:lang w:val="en-US" w:eastAsia="zh-CN"/>
        </w:rPr>
        <w:t>2025年重点工作</w:t>
      </w:r>
    </w:p>
    <w:p w14:paraId="52AF9051">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pacing w:val="-6"/>
          <w:sz w:val="32"/>
          <w:szCs w:val="32"/>
          <w:lang w:val="en-US" w:eastAsia="zh-CN"/>
        </w:rPr>
      </w:pPr>
      <w:r>
        <w:rPr>
          <w:rFonts w:hint="eastAsia" w:ascii="黑体" w:hAnsi="黑体" w:eastAsia="黑体" w:cs="黑体"/>
          <w:b w:val="0"/>
          <w:bCs w:val="0"/>
          <w:sz w:val="32"/>
          <w:szCs w:val="32"/>
          <w:lang w:val="en-US" w:eastAsia="zh-CN"/>
        </w:rPr>
        <w:t xml:space="preserve">第二部分 </w:t>
      </w:r>
      <w:r>
        <w:rPr>
          <w:rFonts w:hint="eastAsia" w:ascii="黑体" w:hAnsi="黑体" w:eastAsia="黑体" w:cs="黑体"/>
          <w:b w:val="0"/>
          <w:bCs w:val="0"/>
          <w:spacing w:val="-6"/>
          <w:sz w:val="32"/>
          <w:szCs w:val="32"/>
          <w:lang w:val="en-US" w:eastAsia="zh-CN"/>
        </w:rPr>
        <w:t>峨边彝族自治县卫生健康局2025年部门预算表</w:t>
      </w:r>
    </w:p>
    <w:p w14:paraId="75153677">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一、部门收支总表</w:t>
      </w:r>
    </w:p>
    <w:p w14:paraId="5E904F8E">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二、部门收入总表</w:t>
      </w:r>
    </w:p>
    <w:p w14:paraId="101BBC67">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三、部门支出总表</w:t>
      </w:r>
    </w:p>
    <w:p w14:paraId="04E0BF27">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四、财政拨款收支预算总表</w:t>
      </w:r>
    </w:p>
    <w:p w14:paraId="7E585790">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五、财政拨款支出预算表（部门经济分类科目）</w:t>
      </w:r>
    </w:p>
    <w:p w14:paraId="0626D603">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六、一般公共预算支出预算表</w:t>
      </w:r>
    </w:p>
    <w:p w14:paraId="2392DDE6">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七、一般公共预算基本支出预算表</w:t>
      </w:r>
    </w:p>
    <w:p w14:paraId="1F63E84C">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八、一般公共预算项目支出预算表</w:t>
      </w:r>
    </w:p>
    <w:p w14:paraId="678D5E37">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九、一般公共预算“三公”经费支出预算表</w:t>
      </w:r>
    </w:p>
    <w:p w14:paraId="34D54524">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十、政府性基金预算支出表</w:t>
      </w:r>
    </w:p>
    <w:p w14:paraId="7018D3A4">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十一、政府性基金预算“三公”经费支出预算表</w:t>
      </w:r>
    </w:p>
    <w:p w14:paraId="0C582AE9">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十二、国有资本经营预算支出表</w:t>
      </w:r>
    </w:p>
    <w:p w14:paraId="1D7D8C58">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十三、部门预算项目支出绩效目标表</w:t>
      </w:r>
    </w:p>
    <w:p w14:paraId="5EA279A9">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十四、部门整体支出绩效目标表</w:t>
      </w:r>
    </w:p>
    <w:p w14:paraId="5B7B2B61">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十五、政府采购预算表</w:t>
      </w:r>
    </w:p>
    <w:p w14:paraId="387290DD">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 xml:space="preserve">第三部分 </w:t>
      </w:r>
      <w:r>
        <w:rPr>
          <w:rFonts w:hint="eastAsia" w:ascii="黑体" w:hAnsi="黑体" w:eastAsia="黑体" w:cs="黑体"/>
          <w:b w:val="0"/>
          <w:bCs w:val="0"/>
          <w:spacing w:val="-28"/>
          <w:sz w:val="32"/>
          <w:szCs w:val="32"/>
          <w:lang w:val="en-US" w:eastAsia="zh-CN"/>
        </w:rPr>
        <w:t>峨边彝族自治县卫生健康局2025年部门预算情况说明</w:t>
      </w:r>
    </w:p>
    <w:p w14:paraId="5F9F0110">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第四部分 名词解释</w:t>
      </w:r>
    </w:p>
    <w:p w14:paraId="3B77A65A">
      <w:pPr>
        <w:pStyle w:val="2"/>
        <w:numPr>
          <w:ilvl w:val="0"/>
          <w:numId w:val="0"/>
        </w:numPr>
        <w:bidi w:val="0"/>
        <w:jc w:val="both"/>
        <w:rPr>
          <w:rFonts w:hint="default"/>
          <w:lang w:val="en-US" w:eastAsia="zh-CN"/>
        </w:rPr>
      </w:pPr>
    </w:p>
    <w:p w14:paraId="5EF25937">
      <w:pPr>
        <w:pStyle w:val="2"/>
        <w:numPr>
          <w:ilvl w:val="0"/>
          <w:numId w:val="0"/>
        </w:numPr>
        <w:bidi w:val="0"/>
        <w:jc w:val="center"/>
        <w:rPr>
          <w:rFonts w:hint="default"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第一部分  峨边彝族自治县卫生健康局部门概况</w:t>
      </w:r>
    </w:p>
    <w:p w14:paraId="70CB477B">
      <w:pPr>
        <w:widowControl w:val="0"/>
        <w:numPr>
          <w:ilvl w:val="0"/>
          <w:numId w:val="0"/>
        </w:numPr>
        <w:jc w:val="both"/>
        <w:rPr>
          <w:rFonts w:hint="default"/>
          <w:b/>
          <w:bCs/>
          <w:sz w:val="52"/>
          <w:szCs w:val="52"/>
          <w:lang w:val="en-US" w:eastAsia="zh-CN"/>
        </w:rPr>
      </w:pPr>
    </w:p>
    <w:p w14:paraId="19F97B1D">
      <w:pPr>
        <w:widowControl w:val="0"/>
        <w:numPr>
          <w:ilvl w:val="0"/>
          <w:numId w:val="0"/>
        </w:numPr>
        <w:jc w:val="both"/>
        <w:rPr>
          <w:rFonts w:hint="default"/>
          <w:b/>
          <w:bCs/>
          <w:sz w:val="52"/>
          <w:szCs w:val="52"/>
          <w:lang w:val="en-US" w:eastAsia="zh-CN"/>
        </w:rPr>
      </w:pPr>
    </w:p>
    <w:p w14:paraId="038E0AB7">
      <w:pPr>
        <w:widowControl w:val="0"/>
        <w:numPr>
          <w:ilvl w:val="0"/>
          <w:numId w:val="0"/>
        </w:numPr>
        <w:jc w:val="both"/>
        <w:rPr>
          <w:rFonts w:hint="default"/>
          <w:b/>
          <w:bCs/>
          <w:sz w:val="52"/>
          <w:szCs w:val="52"/>
          <w:lang w:val="en-US" w:eastAsia="zh-CN"/>
        </w:rPr>
      </w:pPr>
    </w:p>
    <w:p w14:paraId="57D50030">
      <w:pPr>
        <w:widowControl w:val="0"/>
        <w:numPr>
          <w:ilvl w:val="0"/>
          <w:numId w:val="0"/>
        </w:numPr>
        <w:jc w:val="both"/>
        <w:rPr>
          <w:rFonts w:hint="default"/>
          <w:b/>
          <w:bCs/>
          <w:sz w:val="52"/>
          <w:szCs w:val="52"/>
          <w:lang w:val="en-US" w:eastAsia="zh-CN"/>
        </w:rPr>
      </w:pPr>
    </w:p>
    <w:p w14:paraId="74ADCD5D">
      <w:pPr>
        <w:widowControl w:val="0"/>
        <w:numPr>
          <w:ilvl w:val="0"/>
          <w:numId w:val="0"/>
        </w:numPr>
        <w:jc w:val="both"/>
        <w:rPr>
          <w:rFonts w:hint="default"/>
          <w:b/>
          <w:bCs/>
          <w:sz w:val="52"/>
          <w:szCs w:val="52"/>
          <w:lang w:val="en-US" w:eastAsia="zh-CN"/>
        </w:rPr>
      </w:pPr>
    </w:p>
    <w:p w14:paraId="671DAC55">
      <w:pPr>
        <w:widowControl w:val="0"/>
        <w:numPr>
          <w:ilvl w:val="0"/>
          <w:numId w:val="0"/>
        </w:numPr>
        <w:jc w:val="both"/>
        <w:rPr>
          <w:rFonts w:hint="default"/>
          <w:b/>
          <w:bCs/>
          <w:sz w:val="52"/>
          <w:szCs w:val="52"/>
          <w:lang w:val="en-US" w:eastAsia="zh-CN"/>
        </w:rPr>
      </w:pPr>
    </w:p>
    <w:p w14:paraId="44845850">
      <w:pPr>
        <w:bidi w:val="0"/>
        <w:rPr>
          <w:rFonts w:hint="eastAsia" w:ascii="黑体" w:hAnsi="黑体" w:eastAsia="黑体" w:cs="黑体"/>
          <w:lang w:val="en-US" w:eastAsia="zh-CN"/>
        </w:rPr>
      </w:pPr>
    </w:p>
    <w:p w14:paraId="36F7FFA0">
      <w:pPr>
        <w:bidi w:val="0"/>
        <w:rPr>
          <w:rFonts w:hint="eastAsia" w:ascii="黑体" w:hAnsi="黑体" w:eastAsia="黑体" w:cs="黑体"/>
          <w:lang w:val="en-US" w:eastAsia="zh-CN"/>
        </w:rPr>
      </w:pPr>
      <w:r>
        <w:rPr>
          <w:rFonts w:hint="eastAsia" w:ascii="黑体" w:hAnsi="黑体" w:eastAsia="黑体" w:cs="黑体"/>
          <w:lang w:val="en-US" w:eastAsia="zh-CN"/>
        </w:rPr>
        <w:t>一、基本职能及主要工作</w:t>
      </w:r>
    </w:p>
    <w:p w14:paraId="4E735AA6">
      <w:pPr>
        <w:bidi w:val="0"/>
        <w:rPr>
          <w:rFonts w:hint="eastAsia" w:ascii="仿宋" w:hAnsi="仿宋" w:eastAsia="仿宋" w:cs="仿宋"/>
          <w:color w:val="auto"/>
          <w:sz w:val="32"/>
          <w:szCs w:val="32"/>
        </w:rPr>
      </w:pPr>
      <w:r>
        <w:rPr>
          <w:rFonts w:hint="eastAsia" w:ascii="仿宋" w:hAnsi="仿宋" w:eastAsia="仿宋" w:cs="仿宋"/>
          <w:color w:val="auto"/>
          <w:sz w:val="32"/>
          <w:szCs w:val="32"/>
        </w:rPr>
        <w:t>（一）职能简介：贯彻执行国家和省、市、县有关卫生和计划生育、中医药等方面的</w:t>
      </w:r>
      <w:r>
        <w:rPr>
          <w:rFonts w:hint="eastAsia" w:ascii="仿宋" w:hAnsi="仿宋" w:cs="仿宋"/>
          <w:color w:val="auto"/>
          <w:sz w:val="32"/>
          <w:szCs w:val="32"/>
          <w:lang w:eastAsia="zh-CN"/>
        </w:rPr>
        <w:t>法律法规</w:t>
      </w:r>
      <w:r>
        <w:rPr>
          <w:rFonts w:hint="eastAsia" w:ascii="仿宋" w:hAnsi="仿宋" w:eastAsia="仿宋" w:cs="仿宋"/>
          <w:color w:val="auto"/>
          <w:sz w:val="32"/>
          <w:szCs w:val="32"/>
        </w:rPr>
        <w:t>、标准和方针政策。拟订卫生和计划生育及促进中医药事业发展的规划及政策措施。深化医药卫生体制改革，坚持保基本、强基层、建机制，协调推进医疗保障、医疗服务、公共卫生、计划生育管理、药品供应和监管体制综合改革，巩固完善基本药物制度和基层运行新机制。负责协调推进医药卫生体制改革和医疗保障，统筹规划卫生和计划生育服务资源配置，负责全县做好卫生和计划生育规划的编制和实施</w:t>
      </w:r>
      <w:r>
        <w:rPr>
          <w:rFonts w:hint="eastAsia" w:ascii="仿宋" w:hAnsi="仿宋" w:cs="仿宋"/>
          <w:color w:val="auto"/>
          <w:sz w:val="32"/>
          <w:szCs w:val="32"/>
          <w:lang w:eastAsia="zh-CN"/>
        </w:rPr>
        <w:t>工作。</w:t>
      </w:r>
    </w:p>
    <w:p w14:paraId="00662DD1">
      <w:pPr>
        <w:bidi w:val="0"/>
        <w:rPr>
          <w:rFonts w:hint="eastAsia" w:ascii="仿宋" w:hAnsi="仿宋" w:eastAsia="仿宋" w:cs="仿宋"/>
          <w:color w:val="auto"/>
          <w:sz w:val="32"/>
          <w:szCs w:val="32"/>
        </w:rPr>
      </w:pPr>
      <w:r>
        <w:rPr>
          <w:rFonts w:hint="eastAsia" w:ascii="仿宋" w:hAnsi="仿宋" w:eastAsia="仿宋" w:cs="仿宋"/>
          <w:color w:val="auto"/>
          <w:sz w:val="32"/>
          <w:szCs w:val="32"/>
        </w:rPr>
        <w:t>（二）202</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年重点工作任务介绍：</w:t>
      </w:r>
    </w:p>
    <w:p w14:paraId="3A58C092">
      <w:pPr>
        <w:bidi w:val="0"/>
        <w:rPr>
          <w:rFonts w:hint="eastAsia" w:ascii="仿宋" w:hAnsi="仿宋" w:eastAsia="仿宋" w:cs="仿宋"/>
          <w:color w:val="auto"/>
          <w:sz w:val="32"/>
          <w:szCs w:val="32"/>
        </w:rPr>
      </w:pPr>
      <w:r>
        <w:rPr>
          <w:rFonts w:hint="eastAsia" w:ascii="仿宋" w:hAnsi="仿宋" w:cs="仿宋"/>
          <w:color w:val="auto"/>
          <w:sz w:val="32"/>
          <w:szCs w:val="32"/>
          <w:lang w:val="en-US" w:eastAsia="zh-CN"/>
        </w:rPr>
        <w:t>1.</w:t>
      </w:r>
      <w:r>
        <w:rPr>
          <w:rFonts w:hint="eastAsia" w:ascii="仿宋" w:hAnsi="仿宋" w:eastAsia="仿宋" w:cs="仿宋"/>
          <w:color w:val="auto"/>
          <w:sz w:val="32"/>
          <w:szCs w:val="32"/>
        </w:rPr>
        <w:t>全面落实《峨边彝族自治县以紧密型县域医共体建设为引领的城乡养老托幼（托育）和医疗保障体系建设方案》各项工作任务，优化整合医疗资源，强化优势互补，构建优质高效整合型医疗卫生服务体系。</w:t>
      </w:r>
    </w:p>
    <w:p w14:paraId="4D48DDD0">
      <w:pPr>
        <w:bidi w:val="0"/>
        <w:rPr>
          <w:rFonts w:hint="eastAsia" w:ascii="仿宋" w:hAnsi="仿宋" w:eastAsia="仿宋" w:cs="仿宋"/>
          <w:color w:val="auto"/>
          <w:sz w:val="32"/>
          <w:szCs w:val="32"/>
        </w:rPr>
      </w:pPr>
      <w:r>
        <w:rPr>
          <w:rFonts w:hint="eastAsia" w:ascii="仿宋" w:hAnsi="仿宋" w:cs="仿宋"/>
          <w:color w:val="auto"/>
          <w:sz w:val="32"/>
          <w:szCs w:val="32"/>
          <w:lang w:val="en-US" w:eastAsia="zh-CN"/>
        </w:rPr>
        <w:t>2.</w:t>
      </w:r>
      <w:r>
        <w:rPr>
          <w:rFonts w:hint="eastAsia" w:ascii="仿宋" w:hAnsi="仿宋" w:eastAsia="仿宋" w:cs="仿宋"/>
          <w:color w:val="auto"/>
          <w:sz w:val="32"/>
          <w:szCs w:val="32"/>
        </w:rPr>
        <w:t>推进两个医共体集团及成员单位、两个次中心创伤、急救重点科室，县中医医院针灸、肛肠、残疾儿童康复中心等优势科室建设，提升医疗卫生服务能力和水平。</w:t>
      </w:r>
    </w:p>
    <w:p w14:paraId="04803B38">
      <w:pPr>
        <w:bidi w:val="0"/>
        <w:rPr>
          <w:rFonts w:hint="eastAsia" w:ascii="仿宋" w:hAnsi="仿宋" w:eastAsia="仿宋" w:cs="仿宋"/>
          <w:color w:val="auto"/>
          <w:sz w:val="32"/>
          <w:szCs w:val="32"/>
        </w:rPr>
      </w:pPr>
      <w:r>
        <w:rPr>
          <w:rFonts w:hint="eastAsia" w:ascii="仿宋" w:hAnsi="仿宋" w:cs="仿宋"/>
          <w:color w:val="auto"/>
          <w:sz w:val="32"/>
          <w:szCs w:val="32"/>
          <w:lang w:val="en-US" w:eastAsia="zh-CN"/>
        </w:rPr>
        <w:t>3.</w:t>
      </w:r>
      <w:r>
        <w:rPr>
          <w:rFonts w:hint="eastAsia" w:ascii="仿宋" w:hAnsi="仿宋" w:eastAsia="仿宋" w:cs="仿宋"/>
          <w:color w:val="auto"/>
          <w:sz w:val="32"/>
          <w:szCs w:val="32"/>
        </w:rPr>
        <w:t>加强与县民政局对接，指导县中医医院完成县社会救助福利中心、五渡镇敬老院的特困人员集中供养业务托管；研究医疗机构和幼儿园协同开展托幼（托育）综合服务，打造县妇幼保健院儿童早期综合发展示范基地。</w:t>
      </w:r>
    </w:p>
    <w:p w14:paraId="716FBFBF">
      <w:pPr>
        <w:bidi w:val="0"/>
        <w:rPr>
          <w:rFonts w:hint="eastAsia" w:ascii="仿宋" w:hAnsi="仿宋" w:eastAsia="仿宋" w:cs="仿宋"/>
          <w:color w:val="auto"/>
          <w:sz w:val="32"/>
          <w:szCs w:val="32"/>
        </w:rPr>
      </w:pPr>
      <w:r>
        <w:rPr>
          <w:rFonts w:hint="eastAsia" w:ascii="仿宋" w:hAnsi="仿宋" w:cs="仿宋"/>
          <w:color w:val="auto"/>
          <w:sz w:val="32"/>
          <w:szCs w:val="32"/>
          <w:lang w:val="en-US" w:eastAsia="zh-CN"/>
        </w:rPr>
        <w:t>4.</w:t>
      </w:r>
      <w:r>
        <w:rPr>
          <w:rFonts w:hint="eastAsia" w:ascii="仿宋" w:hAnsi="仿宋" w:eastAsia="仿宋" w:cs="仿宋"/>
          <w:color w:val="auto"/>
          <w:sz w:val="32"/>
          <w:szCs w:val="32"/>
        </w:rPr>
        <w:t>推进人事薪酬制度改革，落实“两个允许”，建立薪酬运行新机制。</w:t>
      </w:r>
    </w:p>
    <w:p w14:paraId="71301173">
      <w:pPr>
        <w:bidi w:val="0"/>
        <w:rPr>
          <w:rFonts w:hint="eastAsia" w:ascii="仿宋" w:hAnsi="仿宋" w:eastAsia="仿宋" w:cs="仿宋"/>
          <w:color w:val="auto"/>
          <w:sz w:val="32"/>
          <w:szCs w:val="32"/>
        </w:rPr>
      </w:pPr>
      <w:r>
        <w:rPr>
          <w:rFonts w:hint="eastAsia" w:ascii="仿宋" w:hAnsi="仿宋" w:cs="仿宋"/>
          <w:color w:val="auto"/>
          <w:sz w:val="32"/>
          <w:szCs w:val="32"/>
          <w:lang w:val="en-US" w:eastAsia="zh-CN"/>
        </w:rPr>
        <w:t>5.</w:t>
      </w:r>
      <w:r>
        <w:rPr>
          <w:rFonts w:hint="eastAsia" w:ascii="仿宋" w:hAnsi="仿宋" w:eastAsia="仿宋" w:cs="仿宋"/>
          <w:color w:val="auto"/>
          <w:sz w:val="32"/>
          <w:szCs w:val="32"/>
        </w:rPr>
        <w:t>深入谋划，完成“十五五”卫生健康事业发展规划编制工作。</w:t>
      </w:r>
    </w:p>
    <w:p w14:paraId="32B7D90E">
      <w:pPr>
        <w:bidi w:val="0"/>
        <w:rPr>
          <w:rFonts w:hint="eastAsia" w:ascii="仿宋" w:hAnsi="仿宋" w:eastAsia="仿宋" w:cs="仿宋"/>
          <w:color w:val="auto"/>
          <w:sz w:val="32"/>
          <w:szCs w:val="32"/>
        </w:rPr>
      </w:pPr>
      <w:r>
        <w:rPr>
          <w:rFonts w:hint="eastAsia" w:ascii="仿宋" w:hAnsi="仿宋" w:cs="仿宋"/>
          <w:color w:val="auto"/>
          <w:sz w:val="32"/>
          <w:szCs w:val="32"/>
          <w:lang w:val="en-US" w:eastAsia="zh-CN"/>
        </w:rPr>
        <w:t>6.</w:t>
      </w:r>
      <w:r>
        <w:rPr>
          <w:rFonts w:hint="eastAsia" w:ascii="仿宋" w:hAnsi="仿宋" w:eastAsia="仿宋" w:cs="仿宋"/>
          <w:color w:val="auto"/>
          <w:sz w:val="32"/>
          <w:szCs w:val="32"/>
        </w:rPr>
        <w:t>持续深化医药卫生体制改革，推进健康峨边建设,有序推动爱国卫生运动、中医药强县、无偿献血、重大传染病防治、促进人口长期均衡发展等卫生健康各项工作。</w:t>
      </w:r>
    </w:p>
    <w:p w14:paraId="501D3AB4">
      <w:pPr>
        <w:bidi w:val="0"/>
        <w:rPr>
          <w:rFonts w:hint="eastAsia" w:ascii="仿宋" w:hAnsi="仿宋" w:eastAsia="仿宋" w:cs="仿宋"/>
          <w:color w:val="auto"/>
          <w:sz w:val="32"/>
          <w:szCs w:val="32"/>
        </w:rPr>
      </w:pPr>
      <w:r>
        <w:rPr>
          <w:rFonts w:hint="eastAsia" w:ascii="仿宋" w:hAnsi="仿宋" w:cs="仿宋"/>
          <w:color w:val="auto"/>
          <w:sz w:val="32"/>
          <w:szCs w:val="32"/>
          <w:lang w:val="en-US" w:eastAsia="zh-CN"/>
        </w:rPr>
        <w:t>7.</w:t>
      </w:r>
      <w:r>
        <w:rPr>
          <w:rFonts w:hint="eastAsia" w:ascii="仿宋" w:hAnsi="仿宋" w:eastAsia="仿宋" w:cs="仿宋"/>
          <w:color w:val="auto"/>
          <w:sz w:val="32"/>
          <w:szCs w:val="32"/>
        </w:rPr>
        <w:t>扎实推进紧密型县域医共体建设。以系统重塑医疗卫生体系和整合优化医疗卫生资源为切入点，围绕“县级强、乡级活、村级稳、上下联、信息通”目标，以实施城乡医疗卫生机构“八统一”管理为手段，全面开展紧密型县域医疗卫生共同体建设，不断提升县域医疗卫生综合服务能力，让群众就近就便享有更加公平可及、系统连续的预防、治疗、康复、健康促进等健康服务，为健康峨边建设和乡村全面振兴提供坚实保障。</w:t>
      </w:r>
    </w:p>
    <w:p w14:paraId="1BCE28EF">
      <w:pPr>
        <w:bidi w:val="0"/>
        <w:rPr>
          <w:rFonts w:hint="eastAsia" w:ascii="仿宋" w:hAnsi="仿宋" w:eastAsia="仿宋" w:cs="仿宋"/>
          <w:color w:val="auto"/>
          <w:sz w:val="32"/>
          <w:szCs w:val="32"/>
        </w:rPr>
      </w:pPr>
      <w:r>
        <w:rPr>
          <w:rFonts w:hint="eastAsia" w:ascii="仿宋" w:hAnsi="仿宋" w:cs="仿宋"/>
          <w:color w:val="auto"/>
          <w:sz w:val="32"/>
          <w:szCs w:val="32"/>
          <w:lang w:val="en-US" w:eastAsia="zh-CN"/>
        </w:rPr>
        <w:t>8.</w:t>
      </w:r>
      <w:r>
        <w:rPr>
          <w:rFonts w:hint="eastAsia" w:ascii="仿宋" w:hAnsi="仿宋" w:eastAsia="仿宋" w:cs="仿宋"/>
          <w:color w:val="auto"/>
          <w:sz w:val="32"/>
          <w:szCs w:val="32"/>
        </w:rPr>
        <w:t>创先争优打算。持续推动中彝医药传承创新发展，提升彝医、彝医养生服务能力，深入开展中医强基层“百千万”行动，争创全国基层中医药示范县。</w:t>
      </w:r>
    </w:p>
    <w:p w14:paraId="402A711B">
      <w:pPr>
        <w:bidi w:val="0"/>
        <w:rPr>
          <w:rFonts w:hint="default" w:ascii="黑体" w:hAnsi="黑体" w:eastAsia="黑体" w:cs="黑体"/>
          <w:lang w:val="en-US" w:eastAsia="zh-CN"/>
        </w:rPr>
      </w:pPr>
      <w:r>
        <w:rPr>
          <w:rFonts w:hint="default" w:ascii="黑体" w:hAnsi="黑体" w:eastAsia="黑体" w:cs="黑体"/>
          <w:lang w:val="en-US" w:eastAsia="zh-CN"/>
        </w:rPr>
        <w:t>二、部门预算单位构成</w:t>
      </w:r>
    </w:p>
    <w:p w14:paraId="4F743AD8">
      <w:pPr>
        <w:bidi w:val="0"/>
        <w:rPr>
          <w:rFonts w:hint="eastAsia" w:ascii="仿宋" w:hAnsi="仿宋" w:eastAsia="仿宋"/>
          <w:sz w:val="32"/>
          <w:szCs w:val="32"/>
        </w:rPr>
      </w:pPr>
      <w:r>
        <w:rPr>
          <w:rFonts w:hint="eastAsia" w:ascii="仿宋" w:hAnsi="仿宋" w:eastAsia="仿宋"/>
          <w:sz w:val="32"/>
          <w:szCs w:val="32"/>
        </w:rPr>
        <w:t>峨边彝族自治县卫生健康局预算单位</w:t>
      </w:r>
      <w:r>
        <w:rPr>
          <w:rFonts w:hint="eastAsia" w:ascii="仿宋" w:hAnsi="仿宋"/>
          <w:sz w:val="32"/>
          <w:szCs w:val="32"/>
          <w:lang w:val="en-US" w:eastAsia="zh-CN"/>
        </w:rPr>
        <w:t>20</w:t>
      </w:r>
      <w:r>
        <w:rPr>
          <w:rFonts w:hint="eastAsia" w:ascii="仿宋" w:hAnsi="仿宋" w:eastAsia="仿宋"/>
          <w:sz w:val="32"/>
          <w:szCs w:val="32"/>
        </w:rPr>
        <w:t>个，其中：行政单位</w:t>
      </w:r>
      <w:r>
        <w:rPr>
          <w:rFonts w:hint="eastAsia" w:ascii="仿宋" w:hAnsi="仿宋"/>
          <w:sz w:val="32"/>
          <w:szCs w:val="32"/>
          <w:lang w:val="en-US" w:eastAsia="zh-CN"/>
        </w:rPr>
        <w:t>1</w:t>
      </w:r>
      <w:r>
        <w:rPr>
          <w:rFonts w:hint="eastAsia" w:ascii="仿宋" w:hAnsi="仿宋" w:eastAsia="仿宋"/>
          <w:sz w:val="32"/>
          <w:szCs w:val="32"/>
        </w:rPr>
        <w:t>个，事业单位</w:t>
      </w:r>
      <w:r>
        <w:rPr>
          <w:rFonts w:hint="eastAsia" w:ascii="仿宋" w:hAnsi="仿宋"/>
          <w:sz w:val="32"/>
          <w:szCs w:val="32"/>
          <w:lang w:val="en-US" w:eastAsia="zh-CN"/>
        </w:rPr>
        <w:t>19</w:t>
      </w:r>
      <w:r>
        <w:rPr>
          <w:rFonts w:hint="eastAsia" w:ascii="仿宋" w:hAnsi="仿宋" w:eastAsia="仿宋"/>
          <w:sz w:val="32"/>
          <w:szCs w:val="32"/>
        </w:rPr>
        <w:t>个。</w:t>
      </w:r>
    </w:p>
    <w:p w14:paraId="1EFCB08B">
      <w:pPr>
        <w:bidi w:val="0"/>
        <w:rPr>
          <w:rFonts w:hint="eastAsia" w:ascii="仿宋" w:hAnsi="仿宋" w:eastAsia="仿宋"/>
          <w:sz w:val="32"/>
          <w:szCs w:val="32"/>
        </w:rPr>
      </w:pPr>
      <w:r>
        <w:rPr>
          <w:rFonts w:hint="eastAsia" w:ascii="仿宋" w:hAnsi="仿宋" w:eastAsia="仿宋"/>
          <w:sz w:val="32"/>
          <w:szCs w:val="32"/>
        </w:rPr>
        <w:t>峨边彝族自治县卫生健康局总编制</w:t>
      </w:r>
      <w:r>
        <w:rPr>
          <w:rFonts w:hint="eastAsia" w:ascii="仿宋" w:hAnsi="仿宋"/>
          <w:sz w:val="32"/>
          <w:szCs w:val="32"/>
          <w:lang w:val="en-US" w:eastAsia="zh-CN"/>
        </w:rPr>
        <w:t>501</w:t>
      </w:r>
      <w:r>
        <w:rPr>
          <w:rFonts w:hint="eastAsia" w:ascii="仿宋" w:hAnsi="仿宋" w:eastAsia="仿宋"/>
          <w:sz w:val="32"/>
          <w:szCs w:val="32"/>
        </w:rPr>
        <w:t>名，其中：行政编制</w:t>
      </w:r>
      <w:r>
        <w:rPr>
          <w:rFonts w:hint="eastAsia" w:ascii="仿宋" w:hAnsi="仿宋"/>
          <w:sz w:val="32"/>
          <w:szCs w:val="32"/>
          <w:lang w:val="en-US" w:eastAsia="zh-CN"/>
        </w:rPr>
        <w:t>17</w:t>
      </w:r>
      <w:r>
        <w:rPr>
          <w:rFonts w:hint="eastAsia" w:ascii="仿宋" w:hAnsi="仿宋" w:eastAsia="仿宋"/>
          <w:sz w:val="32"/>
          <w:szCs w:val="32"/>
        </w:rPr>
        <w:t>名，工勤编制</w:t>
      </w:r>
      <w:r>
        <w:rPr>
          <w:rFonts w:hint="eastAsia" w:ascii="仿宋" w:hAnsi="仿宋"/>
          <w:sz w:val="32"/>
          <w:szCs w:val="32"/>
          <w:lang w:val="en-US" w:eastAsia="zh-CN"/>
        </w:rPr>
        <w:t>2</w:t>
      </w:r>
      <w:r>
        <w:rPr>
          <w:rFonts w:hint="eastAsia" w:ascii="仿宋" w:hAnsi="仿宋" w:eastAsia="仿宋"/>
          <w:sz w:val="32"/>
          <w:szCs w:val="32"/>
        </w:rPr>
        <w:t>名，事业编制</w:t>
      </w:r>
      <w:r>
        <w:rPr>
          <w:rFonts w:hint="eastAsia" w:ascii="仿宋" w:hAnsi="仿宋"/>
          <w:sz w:val="32"/>
          <w:szCs w:val="32"/>
          <w:lang w:val="en-US" w:eastAsia="zh-CN"/>
        </w:rPr>
        <w:t>482</w:t>
      </w:r>
      <w:r>
        <w:rPr>
          <w:rFonts w:hint="eastAsia" w:ascii="仿宋" w:hAnsi="仿宋" w:eastAsia="仿宋"/>
          <w:sz w:val="32"/>
          <w:szCs w:val="32"/>
        </w:rPr>
        <w:t>名。在职人员总数</w:t>
      </w:r>
      <w:r>
        <w:rPr>
          <w:rFonts w:hint="eastAsia" w:ascii="仿宋" w:hAnsi="仿宋"/>
          <w:sz w:val="32"/>
          <w:szCs w:val="32"/>
          <w:lang w:val="en-US" w:eastAsia="zh-CN"/>
        </w:rPr>
        <w:t>456</w:t>
      </w:r>
      <w:r>
        <w:rPr>
          <w:rFonts w:hint="eastAsia" w:ascii="仿宋" w:hAnsi="仿宋" w:eastAsia="仿宋"/>
          <w:sz w:val="32"/>
          <w:szCs w:val="32"/>
        </w:rPr>
        <w:t>名，其中：行政1</w:t>
      </w:r>
      <w:r>
        <w:rPr>
          <w:rFonts w:hint="eastAsia" w:ascii="仿宋" w:hAnsi="仿宋"/>
          <w:sz w:val="32"/>
          <w:szCs w:val="32"/>
          <w:lang w:val="en-US" w:eastAsia="zh-CN"/>
        </w:rPr>
        <w:t>4</w:t>
      </w:r>
      <w:r>
        <w:rPr>
          <w:rFonts w:hint="eastAsia" w:ascii="仿宋" w:hAnsi="仿宋" w:eastAsia="仿宋"/>
          <w:sz w:val="32"/>
          <w:szCs w:val="32"/>
        </w:rPr>
        <w:t>名，工勤</w:t>
      </w:r>
      <w:r>
        <w:rPr>
          <w:rFonts w:hint="eastAsia" w:ascii="仿宋" w:hAnsi="仿宋"/>
          <w:sz w:val="32"/>
          <w:szCs w:val="32"/>
          <w:lang w:val="en-US" w:eastAsia="zh-CN"/>
        </w:rPr>
        <w:t>1</w:t>
      </w:r>
      <w:r>
        <w:rPr>
          <w:rFonts w:hint="eastAsia" w:ascii="仿宋" w:hAnsi="仿宋" w:eastAsia="仿宋"/>
          <w:sz w:val="32"/>
          <w:szCs w:val="32"/>
        </w:rPr>
        <w:t>名，事业4</w:t>
      </w:r>
      <w:r>
        <w:rPr>
          <w:rFonts w:hint="eastAsia" w:ascii="仿宋" w:hAnsi="仿宋"/>
          <w:sz w:val="32"/>
          <w:szCs w:val="32"/>
          <w:lang w:val="en-US" w:eastAsia="zh-CN"/>
        </w:rPr>
        <w:t>41</w:t>
      </w:r>
      <w:r>
        <w:rPr>
          <w:rFonts w:hint="eastAsia" w:ascii="仿宋" w:hAnsi="仿宋" w:eastAsia="仿宋"/>
          <w:sz w:val="32"/>
          <w:szCs w:val="32"/>
        </w:rPr>
        <w:t>名。离休1名。</w:t>
      </w:r>
    </w:p>
    <w:p w14:paraId="36380012">
      <w:pPr>
        <w:spacing w:line="600" w:lineRule="exact"/>
        <w:ind w:firstLine="640" w:firstLineChars="200"/>
        <w:rPr>
          <w:rFonts w:hint="eastAsia" w:ascii="仿宋" w:hAnsi="仿宋" w:eastAsia="仿宋"/>
          <w:sz w:val="32"/>
          <w:szCs w:val="32"/>
        </w:rPr>
      </w:pPr>
    </w:p>
    <w:p w14:paraId="5624F707">
      <w:pPr>
        <w:spacing w:line="600" w:lineRule="exact"/>
        <w:ind w:firstLine="640" w:firstLineChars="200"/>
        <w:rPr>
          <w:rFonts w:hint="eastAsia" w:ascii="仿宋" w:hAnsi="仿宋" w:eastAsia="仿宋"/>
          <w:sz w:val="32"/>
          <w:szCs w:val="32"/>
        </w:rPr>
      </w:pPr>
    </w:p>
    <w:p w14:paraId="146E6532">
      <w:pPr>
        <w:spacing w:line="600" w:lineRule="exact"/>
        <w:ind w:firstLine="640" w:firstLineChars="200"/>
        <w:rPr>
          <w:rFonts w:hint="eastAsia" w:ascii="仿宋" w:hAnsi="仿宋" w:eastAsia="仿宋"/>
          <w:sz w:val="32"/>
          <w:szCs w:val="32"/>
        </w:rPr>
      </w:pPr>
    </w:p>
    <w:p w14:paraId="56165A80">
      <w:pPr>
        <w:spacing w:line="600" w:lineRule="exact"/>
        <w:ind w:firstLine="640" w:firstLineChars="200"/>
        <w:rPr>
          <w:rFonts w:hint="eastAsia" w:ascii="仿宋" w:hAnsi="仿宋" w:eastAsia="仿宋"/>
          <w:sz w:val="32"/>
          <w:szCs w:val="32"/>
        </w:rPr>
      </w:pPr>
    </w:p>
    <w:p w14:paraId="2AF60111">
      <w:pPr>
        <w:spacing w:line="600" w:lineRule="exact"/>
        <w:ind w:firstLine="640" w:firstLineChars="200"/>
        <w:rPr>
          <w:rFonts w:hint="eastAsia" w:ascii="仿宋" w:hAnsi="仿宋" w:eastAsia="仿宋"/>
          <w:sz w:val="32"/>
          <w:szCs w:val="32"/>
        </w:rPr>
      </w:pPr>
    </w:p>
    <w:p w14:paraId="4F8414C2">
      <w:pPr>
        <w:spacing w:line="600" w:lineRule="exact"/>
        <w:ind w:firstLine="640" w:firstLineChars="200"/>
        <w:rPr>
          <w:rFonts w:hint="eastAsia" w:ascii="仿宋" w:hAnsi="仿宋" w:eastAsia="仿宋"/>
          <w:sz w:val="32"/>
          <w:szCs w:val="32"/>
        </w:rPr>
      </w:pPr>
    </w:p>
    <w:p w14:paraId="76A69448">
      <w:pPr>
        <w:spacing w:line="600" w:lineRule="exact"/>
        <w:ind w:firstLine="640" w:firstLineChars="200"/>
        <w:rPr>
          <w:rFonts w:hint="eastAsia" w:ascii="仿宋" w:hAnsi="仿宋" w:eastAsia="仿宋"/>
          <w:sz w:val="32"/>
          <w:szCs w:val="32"/>
        </w:rPr>
      </w:pPr>
    </w:p>
    <w:p w14:paraId="4974C117">
      <w:pPr>
        <w:spacing w:line="600" w:lineRule="exact"/>
        <w:ind w:firstLine="640" w:firstLineChars="200"/>
        <w:rPr>
          <w:rFonts w:hint="eastAsia" w:ascii="仿宋" w:hAnsi="仿宋" w:eastAsia="仿宋"/>
          <w:sz w:val="32"/>
          <w:szCs w:val="32"/>
        </w:rPr>
      </w:pPr>
    </w:p>
    <w:p w14:paraId="0FAB7227">
      <w:pPr>
        <w:spacing w:line="600" w:lineRule="exact"/>
        <w:ind w:firstLine="640" w:firstLineChars="200"/>
        <w:rPr>
          <w:rFonts w:hint="eastAsia" w:ascii="仿宋" w:hAnsi="仿宋" w:eastAsia="仿宋"/>
          <w:sz w:val="32"/>
          <w:szCs w:val="32"/>
        </w:rPr>
      </w:pPr>
    </w:p>
    <w:p w14:paraId="0AFC863A">
      <w:pPr>
        <w:spacing w:line="600" w:lineRule="exact"/>
        <w:ind w:firstLine="640" w:firstLineChars="200"/>
        <w:rPr>
          <w:rFonts w:hint="eastAsia" w:ascii="仿宋" w:hAnsi="仿宋" w:eastAsia="仿宋"/>
          <w:sz w:val="32"/>
          <w:szCs w:val="32"/>
        </w:rPr>
      </w:pPr>
    </w:p>
    <w:p w14:paraId="622E43D6">
      <w:pPr>
        <w:pStyle w:val="2"/>
        <w:numPr>
          <w:ilvl w:val="0"/>
          <w:numId w:val="0"/>
        </w:numPr>
        <w:bidi w:val="0"/>
        <w:jc w:val="both"/>
        <w:rPr>
          <w:rFonts w:hint="eastAsia"/>
          <w:lang w:val="en-US" w:eastAsia="zh-CN"/>
        </w:rPr>
      </w:pPr>
    </w:p>
    <w:p w14:paraId="64E311F3">
      <w:pPr>
        <w:pStyle w:val="2"/>
        <w:numPr>
          <w:ilvl w:val="0"/>
          <w:numId w:val="0"/>
        </w:numPr>
        <w:bidi w:val="0"/>
        <w:jc w:val="center"/>
        <w:rPr>
          <w:rFonts w:hint="default"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第二部分  峨边彝族自治县卫生健康局</w:t>
      </w:r>
    </w:p>
    <w:p w14:paraId="1E36794A">
      <w:pPr>
        <w:pStyle w:val="3"/>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2025年部门预算表</w:t>
      </w:r>
    </w:p>
    <w:p w14:paraId="58A47B40">
      <w:pPr>
        <w:spacing w:line="600" w:lineRule="exact"/>
        <w:rPr>
          <w:rFonts w:hint="default" w:ascii="仿宋" w:hAnsi="仿宋" w:eastAsia="仿宋" w:cs="Times New Roman"/>
          <w:sz w:val="32"/>
          <w:szCs w:val="32"/>
          <w:lang w:val="en-US" w:eastAsia="zh-CN"/>
        </w:rPr>
      </w:pPr>
    </w:p>
    <w:p w14:paraId="62585BE2">
      <w:pPr>
        <w:spacing w:line="600" w:lineRule="exact"/>
        <w:rPr>
          <w:rFonts w:hint="default" w:ascii="仿宋" w:hAnsi="仿宋" w:eastAsia="仿宋" w:cs="Times New Roman"/>
          <w:sz w:val="32"/>
          <w:szCs w:val="32"/>
          <w:lang w:val="en-US" w:eastAsia="zh-CN"/>
        </w:rPr>
      </w:pPr>
    </w:p>
    <w:p w14:paraId="2734F913">
      <w:pPr>
        <w:spacing w:line="600" w:lineRule="exact"/>
        <w:rPr>
          <w:rFonts w:hint="default" w:ascii="仿宋" w:hAnsi="仿宋" w:eastAsia="仿宋" w:cs="Times New Roman"/>
          <w:sz w:val="32"/>
          <w:szCs w:val="32"/>
          <w:lang w:val="en-US" w:eastAsia="zh-CN"/>
        </w:rPr>
      </w:pPr>
    </w:p>
    <w:p w14:paraId="755EAF17">
      <w:pPr>
        <w:spacing w:line="600" w:lineRule="exact"/>
        <w:rPr>
          <w:rFonts w:hint="default" w:ascii="仿宋" w:hAnsi="仿宋" w:eastAsia="仿宋" w:cs="Times New Roman"/>
          <w:sz w:val="32"/>
          <w:szCs w:val="32"/>
          <w:lang w:val="en-US" w:eastAsia="zh-CN"/>
        </w:rPr>
      </w:pPr>
    </w:p>
    <w:p w14:paraId="11BA2ABE">
      <w:pPr>
        <w:spacing w:line="600" w:lineRule="exact"/>
        <w:rPr>
          <w:rFonts w:hint="default" w:ascii="仿宋" w:hAnsi="仿宋" w:eastAsia="仿宋" w:cs="Times New Roman"/>
          <w:sz w:val="32"/>
          <w:szCs w:val="32"/>
          <w:lang w:val="en-US" w:eastAsia="zh-CN"/>
        </w:rPr>
      </w:pPr>
    </w:p>
    <w:p w14:paraId="60DAF32D">
      <w:pPr>
        <w:spacing w:line="600" w:lineRule="exact"/>
        <w:rPr>
          <w:rFonts w:hint="default" w:ascii="仿宋" w:hAnsi="仿宋" w:eastAsia="仿宋" w:cs="Times New Roman"/>
          <w:sz w:val="32"/>
          <w:szCs w:val="32"/>
          <w:lang w:val="en-US" w:eastAsia="zh-CN"/>
        </w:rPr>
      </w:pPr>
    </w:p>
    <w:p w14:paraId="194BEAB2">
      <w:pPr>
        <w:spacing w:line="600" w:lineRule="exact"/>
        <w:rPr>
          <w:rFonts w:hint="default" w:ascii="仿宋" w:hAnsi="仿宋" w:eastAsia="仿宋" w:cs="Times New Roman"/>
          <w:sz w:val="32"/>
          <w:szCs w:val="32"/>
          <w:lang w:val="en-US" w:eastAsia="zh-CN"/>
        </w:rPr>
      </w:pPr>
    </w:p>
    <w:p w14:paraId="488C0F0C">
      <w:pPr>
        <w:spacing w:line="600" w:lineRule="exact"/>
        <w:rPr>
          <w:rFonts w:hint="default" w:ascii="仿宋" w:hAnsi="仿宋" w:eastAsia="仿宋" w:cs="Times New Roman"/>
          <w:sz w:val="32"/>
          <w:szCs w:val="32"/>
          <w:lang w:val="en-US" w:eastAsia="zh-CN"/>
        </w:rPr>
      </w:pPr>
    </w:p>
    <w:p w14:paraId="46B38C9B">
      <w:pPr>
        <w:spacing w:line="600" w:lineRule="exact"/>
        <w:ind w:left="0" w:leftChars="0" w:firstLine="0" w:firstLineChars="0"/>
        <w:rPr>
          <w:rFonts w:hint="eastAsia" w:ascii="仿宋_GB2312" w:hAnsi="仿宋_GB2312" w:eastAsia="仿宋_GB2312" w:cs="仿宋_GB2312"/>
          <w:sz w:val="32"/>
          <w:szCs w:val="32"/>
          <w:lang w:val="en-US" w:eastAsia="zh-CN"/>
        </w:rPr>
      </w:pPr>
    </w:p>
    <w:p w14:paraId="49EF2756">
      <w:pPr>
        <w:spacing w:line="600" w:lineRule="exact"/>
        <w:ind w:left="0" w:leftChars="0" w:firstLine="0" w:firstLineChars="0"/>
        <w:rPr>
          <w:rFonts w:hint="eastAsia" w:ascii="仿宋_GB2312" w:hAnsi="仿宋_GB2312" w:eastAsia="仿宋_GB2312" w:cs="仿宋_GB2312"/>
          <w:sz w:val="32"/>
          <w:szCs w:val="32"/>
          <w:lang w:val="en-US" w:eastAsia="zh-CN"/>
        </w:rPr>
      </w:pPr>
    </w:p>
    <w:p w14:paraId="4561194B">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详见附件2：峨边彝族自治县卫生健康局预算公开报表  </w:t>
      </w:r>
    </w:p>
    <w:p w14:paraId="3F9A452C">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一、部门收支总表（公开表 1）</w:t>
      </w:r>
    </w:p>
    <w:p w14:paraId="58501192">
      <w:pPr>
        <w:spacing w:line="240" w:lineRule="auto"/>
        <w:ind w:left="0" w:leftChars="0" w:firstLine="0" w:firstLineChars="0"/>
        <w:rPr>
          <w:rFonts w:hint="eastAsia" w:ascii="仿宋_GB2312" w:hAnsi="仿宋_GB2312" w:eastAsia="仿宋_GB2312" w:cs="仿宋_GB2312"/>
          <w:sz w:val="32"/>
          <w:szCs w:val="32"/>
          <w:lang w:val="en-US" w:eastAsia="zh-CN"/>
        </w:rPr>
      </w:pPr>
      <w:r>
        <w:drawing>
          <wp:inline distT="0" distB="0" distL="114300" distR="114300">
            <wp:extent cx="5689600" cy="5751830"/>
            <wp:effectExtent l="0" t="0" r="635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689600" cy="5751830"/>
                    </a:xfrm>
                    <a:prstGeom prst="rect">
                      <a:avLst/>
                    </a:prstGeom>
                    <a:noFill/>
                    <a:ln>
                      <a:noFill/>
                    </a:ln>
                  </pic:spPr>
                </pic:pic>
              </a:graphicData>
            </a:graphic>
          </wp:inline>
        </w:drawing>
      </w:r>
    </w:p>
    <w:p w14:paraId="3AD892F2">
      <w:pPr>
        <w:spacing w:line="600" w:lineRule="exact"/>
        <w:ind w:left="0" w:leftChars="0" w:firstLine="0" w:firstLineChars="0"/>
        <w:rPr>
          <w:rFonts w:hint="eastAsia" w:ascii="仿宋_GB2312" w:hAnsi="仿宋_GB2312" w:eastAsia="仿宋_GB2312" w:cs="仿宋_GB2312"/>
          <w:sz w:val="32"/>
          <w:szCs w:val="32"/>
          <w:lang w:val="en-US" w:eastAsia="zh-CN"/>
        </w:rPr>
      </w:pPr>
    </w:p>
    <w:p w14:paraId="26D5BF28">
      <w:pPr>
        <w:spacing w:line="600" w:lineRule="exact"/>
        <w:ind w:left="0" w:leftChars="0" w:firstLine="0" w:firstLineChars="0"/>
        <w:rPr>
          <w:rFonts w:hint="eastAsia" w:ascii="仿宋_GB2312" w:hAnsi="仿宋_GB2312" w:eastAsia="仿宋_GB2312" w:cs="仿宋_GB2312"/>
          <w:sz w:val="32"/>
          <w:szCs w:val="32"/>
          <w:lang w:val="en-US" w:eastAsia="zh-CN"/>
        </w:rPr>
      </w:pPr>
    </w:p>
    <w:p w14:paraId="7664606C">
      <w:pPr>
        <w:spacing w:line="600" w:lineRule="exact"/>
        <w:ind w:left="0" w:leftChars="0" w:firstLine="0" w:firstLineChars="0"/>
        <w:rPr>
          <w:rFonts w:hint="eastAsia" w:ascii="仿宋_GB2312" w:hAnsi="仿宋_GB2312" w:eastAsia="仿宋_GB2312" w:cs="仿宋_GB2312"/>
          <w:sz w:val="32"/>
          <w:szCs w:val="32"/>
          <w:lang w:val="en-US" w:eastAsia="zh-CN"/>
        </w:rPr>
      </w:pPr>
    </w:p>
    <w:p w14:paraId="04AFEA98">
      <w:pPr>
        <w:spacing w:line="600" w:lineRule="exact"/>
        <w:ind w:left="0" w:leftChars="0" w:firstLine="0" w:firstLineChars="0"/>
        <w:rPr>
          <w:rFonts w:hint="eastAsia" w:ascii="仿宋_GB2312" w:hAnsi="仿宋_GB2312" w:eastAsia="仿宋_GB2312" w:cs="仿宋_GB2312"/>
          <w:sz w:val="32"/>
          <w:szCs w:val="32"/>
          <w:lang w:val="en-US" w:eastAsia="zh-CN"/>
        </w:rPr>
      </w:pPr>
    </w:p>
    <w:p w14:paraId="152A4298">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二、部门收入总表（公开表 1-1）</w:t>
      </w:r>
    </w:p>
    <w:p w14:paraId="0C12E1E3">
      <w:pPr>
        <w:spacing w:line="240" w:lineRule="auto"/>
        <w:ind w:left="0" w:leftChars="0" w:firstLine="0" w:firstLineChars="0"/>
        <w:rPr>
          <w:rFonts w:hint="eastAsia" w:ascii="仿宋_GB2312" w:hAnsi="仿宋_GB2312" w:eastAsia="仿宋_GB2312" w:cs="仿宋_GB2312"/>
          <w:sz w:val="32"/>
          <w:szCs w:val="32"/>
          <w:lang w:val="en-US" w:eastAsia="zh-CN"/>
        </w:rPr>
      </w:pPr>
      <w:r>
        <w:drawing>
          <wp:inline distT="0" distB="0" distL="114300" distR="114300">
            <wp:extent cx="5690235" cy="3352165"/>
            <wp:effectExtent l="0" t="0" r="5715"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690235" cy="3352165"/>
                    </a:xfrm>
                    <a:prstGeom prst="rect">
                      <a:avLst/>
                    </a:prstGeom>
                    <a:noFill/>
                    <a:ln>
                      <a:noFill/>
                    </a:ln>
                  </pic:spPr>
                </pic:pic>
              </a:graphicData>
            </a:graphic>
          </wp:inline>
        </w:drawing>
      </w:r>
    </w:p>
    <w:p w14:paraId="0D37C736">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三、部门支出总表（公开表 1-2）</w:t>
      </w:r>
    </w:p>
    <w:p w14:paraId="14F5476B">
      <w:pPr>
        <w:spacing w:line="240" w:lineRule="auto"/>
        <w:ind w:left="0" w:leftChars="0" w:firstLine="0" w:firstLineChars="0"/>
      </w:pPr>
      <w:r>
        <w:drawing>
          <wp:inline distT="0" distB="0" distL="114300" distR="114300">
            <wp:extent cx="5690235" cy="3808730"/>
            <wp:effectExtent l="0" t="0" r="5715" b="127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9"/>
                    <a:stretch>
                      <a:fillRect/>
                    </a:stretch>
                  </pic:blipFill>
                  <pic:spPr>
                    <a:xfrm>
                      <a:off x="0" y="0"/>
                      <a:ext cx="5690235" cy="3808730"/>
                    </a:xfrm>
                    <a:prstGeom prst="rect">
                      <a:avLst/>
                    </a:prstGeom>
                    <a:noFill/>
                    <a:ln>
                      <a:noFill/>
                    </a:ln>
                  </pic:spPr>
                </pic:pic>
              </a:graphicData>
            </a:graphic>
          </wp:inline>
        </w:drawing>
      </w:r>
    </w:p>
    <w:p w14:paraId="7F4E80D0">
      <w:pPr>
        <w:spacing w:line="240" w:lineRule="auto"/>
        <w:ind w:left="0" w:leftChars="0" w:firstLine="0" w:firstLineChars="0"/>
      </w:pPr>
      <w:r>
        <w:drawing>
          <wp:inline distT="0" distB="0" distL="114300" distR="114300">
            <wp:extent cx="5690235" cy="8257540"/>
            <wp:effectExtent l="0" t="0" r="5715" b="1016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0"/>
                    <a:stretch>
                      <a:fillRect/>
                    </a:stretch>
                  </pic:blipFill>
                  <pic:spPr>
                    <a:xfrm>
                      <a:off x="0" y="0"/>
                      <a:ext cx="5690235" cy="8257540"/>
                    </a:xfrm>
                    <a:prstGeom prst="rect">
                      <a:avLst/>
                    </a:prstGeom>
                    <a:noFill/>
                    <a:ln>
                      <a:noFill/>
                    </a:ln>
                  </pic:spPr>
                </pic:pic>
              </a:graphicData>
            </a:graphic>
          </wp:inline>
        </w:drawing>
      </w:r>
    </w:p>
    <w:p w14:paraId="34791C44">
      <w:pPr>
        <w:spacing w:line="240" w:lineRule="auto"/>
        <w:ind w:left="0" w:leftChars="0" w:firstLine="0" w:firstLineChars="0"/>
      </w:pPr>
      <w:r>
        <w:drawing>
          <wp:inline distT="0" distB="0" distL="114300" distR="114300">
            <wp:extent cx="5690235" cy="8257540"/>
            <wp:effectExtent l="0" t="0" r="5715" b="1016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1"/>
                    <a:stretch>
                      <a:fillRect/>
                    </a:stretch>
                  </pic:blipFill>
                  <pic:spPr>
                    <a:xfrm>
                      <a:off x="0" y="0"/>
                      <a:ext cx="5690235" cy="8257540"/>
                    </a:xfrm>
                    <a:prstGeom prst="rect">
                      <a:avLst/>
                    </a:prstGeom>
                    <a:noFill/>
                    <a:ln>
                      <a:noFill/>
                    </a:ln>
                  </pic:spPr>
                </pic:pic>
              </a:graphicData>
            </a:graphic>
          </wp:inline>
        </w:drawing>
      </w:r>
    </w:p>
    <w:p w14:paraId="4442E086">
      <w:pPr>
        <w:spacing w:line="240" w:lineRule="auto"/>
        <w:ind w:left="0" w:leftChars="0" w:firstLine="0" w:firstLineChars="0"/>
        <w:rPr>
          <w:rFonts w:hint="eastAsia"/>
          <w:lang w:val="en-US" w:eastAsia="zh-CN"/>
        </w:rPr>
      </w:pPr>
      <w:r>
        <w:drawing>
          <wp:inline distT="0" distB="0" distL="114300" distR="114300">
            <wp:extent cx="5690235" cy="4131310"/>
            <wp:effectExtent l="0" t="0" r="5715" b="254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2"/>
                    <a:stretch>
                      <a:fillRect/>
                    </a:stretch>
                  </pic:blipFill>
                  <pic:spPr>
                    <a:xfrm>
                      <a:off x="0" y="0"/>
                      <a:ext cx="5690235" cy="4131310"/>
                    </a:xfrm>
                    <a:prstGeom prst="rect">
                      <a:avLst/>
                    </a:prstGeom>
                    <a:noFill/>
                    <a:ln>
                      <a:noFill/>
                    </a:ln>
                  </pic:spPr>
                </pic:pic>
              </a:graphicData>
            </a:graphic>
          </wp:inline>
        </w:drawing>
      </w:r>
    </w:p>
    <w:p w14:paraId="7E1AE4CF">
      <w:pPr>
        <w:spacing w:line="600" w:lineRule="exact"/>
        <w:ind w:left="0" w:leftChars="0" w:firstLine="0" w:firstLineChars="0"/>
        <w:rPr>
          <w:rFonts w:hint="eastAsia" w:ascii="仿宋_GB2312" w:hAnsi="仿宋_GB2312" w:eastAsia="仿宋_GB2312" w:cs="仿宋_GB2312"/>
          <w:sz w:val="32"/>
          <w:szCs w:val="32"/>
          <w:lang w:val="en-US" w:eastAsia="zh-CN"/>
        </w:rPr>
      </w:pPr>
    </w:p>
    <w:p w14:paraId="56C659AD">
      <w:pPr>
        <w:spacing w:line="600" w:lineRule="exact"/>
        <w:ind w:left="0" w:leftChars="0" w:firstLine="0" w:firstLineChars="0"/>
        <w:rPr>
          <w:rFonts w:hint="eastAsia" w:ascii="仿宋_GB2312" w:hAnsi="仿宋_GB2312" w:eastAsia="仿宋_GB2312" w:cs="仿宋_GB2312"/>
          <w:sz w:val="32"/>
          <w:szCs w:val="32"/>
          <w:lang w:val="en-US" w:eastAsia="zh-CN"/>
        </w:rPr>
      </w:pPr>
    </w:p>
    <w:p w14:paraId="0880903F">
      <w:pPr>
        <w:spacing w:line="600" w:lineRule="exact"/>
        <w:ind w:left="0" w:leftChars="0" w:firstLine="0" w:firstLineChars="0"/>
        <w:rPr>
          <w:rFonts w:hint="eastAsia" w:ascii="仿宋_GB2312" w:hAnsi="仿宋_GB2312" w:eastAsia="仿宋_GB2312" w:cs="仿宋_GB2312"/>
          <w:sz w:val="32"/>
          <w:szCs w:val="32"/>
          <w:lang w:val="en-US" w:eastAsia="zh-CN"/>
        </w:rPr>
      </w:pPr>
    </w:p>
    <w:p w14:paraId="00DBD4B9">
      <w:pPr>
        <w:spacing w:line="600" w:lineRule="exact"/>
        <w:ind w:left="0" w:leftChars="0" w:firstLine="0" w:firstLineChars="0"/>
        <w:rPr>
          <w:rFonts w:hint="eastAsia" w:ascii="仿宋_GB2312" w:hAnsi="仿宋_GB2312" w:eastAsia="仿宋_GB2312" w:cs="仿宋_GB2312"/>
          <w:sz w:val="32"/>
          <w:szCs w:val="32"/>
          <w:lang w:val="en-US" w:eastAsia="zh-CN"/>
        </w:rPr>
      </w:pPr>
    </w:p>
    <w:p w14:paraId="189E8046">
      <w:pPr>
        <w:spacing w:line="600" w:lineRule="exact"/>
        <w:ind w:left="0" w:leftChars="0" w:firstLine="0" w:firstLineChars="0"/>
        <w:rPr>
          <w:rFonts w:hint="eastAsia" w:ascii="仿宋_GB2312" w:hAnsi="仿宋_GB2312" w:eastAsia="仿宋_GB2312" w:cs="仿宋_GB2312"/>
          <w:sz w:val="32"/>
          <w:szCs w:val="32"/>
          <w:lang w:val="en-US" w:eastAsia="zh-CN"/>
        </w:rPr>
      </w:pPr>
    </w:p>
    <w:p w14:paraId="5568F293">
      <w:pPr>
        <w:spacing w:line="600" w:lineRule="exact"/>
        <w:ind w:left="0" w:leftChars="0" w:firstLine="0" w:firstLineChars="0"/>
        <w:rPr>
          <w:rFonts w:hint="eastAsia" w:ascii="仿宋_GB2312" w:hAnsi="仿宋_GB2312" w:eastAsia="仿宋_GB2312" w:cs="仿宋_GB2312"/>
          <w:sz w:val="32"/>
          <w:szCs w:val="32"/>
          <w:lang w:val="en-US" w:eastAsia="zh-CN"/>
        </w:rPr>
      </w:pPr>
    </w:p>
    <w:p w14:paraId="31ED1C9D">
      <w:pPr>
        <w:spacing w:line="600" w:lineRule="exact"/>
        <w:ind w:left="0" w:leftChars="0" w:firstLine="0" w:firstLineChars="0"/>
        <w:rPr>
          <w:rFonts w:hint="eastAsia" w:ascii="仿宋_GB2312" w:hAnsi="仿宋_GB2312" w:eastAsia="仿宋_GB2312" w:cs="仿宋_GB2312"/>
          <w:sz w:val="32"/>
          <w:szCs w:val="32"/>
          <w:lang w:val="en-US" w:eastAsia="zh-CN"/>
        </w:rPr>
      </w:pPr>
    </w:p>
    <w:p w14:paraId="460314E3">
      <w:pPr>
        <w:spacing w:line="600" w:lineRule="exact"/>
        <w:ind w:left="0" w:leftChars="0" w:firstLine="0" w:firstLineChars="0"/>
        <w:rPr>
          <w:rFonts w:hint="eastAsia" w:ascii="仿宋_GB2312" w:hAnsi="仿宋_GB2312" w:eastAsia="仿宋_GB2312" w:cs="仿宋_GB2312"/>
          <w:sz w:val="32"/>
          <w:szCs w:val="32"/>
          <w:lang w:val="en-US" w:eastAsia="zh-CN"/>
        </w:rPr>
      </w:pPr>
    </w:p>
    <w:p w14:paraId="1ED81CB7">
      <w:pPr>
        <w:spacing w:line="600" w:lineRule="exact"/>
        <w:ind w:left="0" w:leftChars="0" w:firstLine="0" w:firstLineChars="0"/>
        <w:rPr>
          <w:rFonts w:hint="eastAsia" w:ascii="仿宋_GB2312" w:hAnsi="仿宋_GB2312" w:eastAsia="仿宋_GB2312" w:cs="仿宋_GB2312"/>
          <w:sz w:val="32"/>
          <w:szCs w:val="32"/>
          <w:lang w:val="en-US" w:eastAsia="zh-CN"/>
        </w:rPr>
      </w:pPr>
    </w:p>
    <w:p w14:paraId="60FC2F99">
      <w:pPr>
        <w:spacing w:line="600" w:lineRule="exact"/>
        <w:ind w:left="0" w:leftChars="0" w:firstLine="0" w:firstLineChars="0"/>
        <w:rPr>
          <w:rFonts w:hint="eastAsia" w:ascii="仿宋_GB2312" w:hAnsi="仿宋_GB2312" w:eastAsia="仿宋_GB2312" w:cs="仿宋_GB2312"/>
          <w:sz w:val="32"/>
          <w:szCs w:val="32"/>
          <w:lang w:val="en-US" w:eastAsia="zh-CN"/>
        </w:rPr>
      </w:pPr>
    </w:p>
    <w:p w14:paraId="0D665A77">
      <w:pPr>
        <w:spacing w:line="600" w:lineRule="exact"/>
        <w:ind w:left="0" w:leftChars="0" w:firstLine="0" w:firstLineChars="0"/>
        <w:rPr>
          <w:rFonts w:hint="eastAsia" w:ascii="仿宋_GB2312" w:hAnsi="仿宋_GB2312" w:eastAsia="仿宋_GB2312" w:cs="仿宋_GB2312"/>
          <w:sz w:val="32"/>
          <w:szCs w:val="32"/>
          <w:lang w:val="en-US" w:eastAsia="zh-CN"/>
        </w:rPr>
      </w:pPr>
    </w:p>
    <w:p w14:paraId="26AD0DA8">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四、财政拨款收支预算总表（公开表 2）</w:t>
      </w:r>
    </w:p>
    <w:p w14:paraId="4C1E5957">
      <w:pPr>
        <w:spacing w:line="240" w:lineRule="auto"/>
        <w:ind w:left="0" w:leftChars="0" w:firstLine="0" w:firstLineChars="0"/>
        <w:rPr>
          <w:rFonts w:hint="eastAsia" w:ascii="仿宋_GB2312" w:hAnsi="仿宋_GB2312" w:eastAsia="仿宋_GB2312" w:cs="仿宋_GB2312"/>
          <w:sz w:val="32"/>
          <w:szCs w:val="32"/>
          <w:lang w:val="en-US" w:eastAsia="zh-CN"/>
        </w:rPr>
      </w:pPr>
      <w:r>
        <w:drawing>
          <wp:inline distT="0" distB="0" distL="114300" distR="114300">
            <wp:extent cx="5692775" cy="4143375"/>
            <wp:effectExtent l="0" t="0" r="3175" b="952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3"/>
                    <a:stretch>
                      <a:fillRect/>
                    </a:stretch>
                  </pic:blipFill>
                  <pic:spPr>
                    <a:xfrm>
                      <a:off x="0" y="0"/>
                      <a:ext cx="5692775" cy="4143375"/>
                    </a:xfrm>
                    <a:prstGeom prst="rect">
                      <a:avLst/>
                    </a:prstGeom>
                    <a:noFill/>
                    <a:ln>
                      <a:noFill/>
                    </a:ln>
                  </pic:spPr>
                </pic:pic>
              </a:graphicData>
            </a:graphic>
          </wp:inline>
        </w:drawing>
      </w:r>
    </w:p>
    <w:p w14:paraId="68760817">
      <w:pPr>
        <w:spacing w:line="600" w:lineRule="exact"/>
        <w:ind w:left="0" w:leftChars="0" w:firstLine="0" w:firstLineChars="0"/>
        <w:rPr>
          <w:rFonts w:hint="eastAsia" w:ascii="仿宋_GB2312" w:hAnsi="仿宋_GB2312" w:eastAsia="仿宋_GB2312" w:cs="仿宋_GB2312"/>
          <w:sz w:val="32"/>
          <w:szCs w:val="32"/>
          <w:lang w:val="en-US" w:eastAsia="zh-CN"/>
        </w:rPr>
      </w:pPr>
    </w:p>
    <w:p w14:paraId="5E2AADBD">
      <w:pPr>
        <w:spacing w:line="600" w:lineRule="exact"/>
        <w:ind w:left="0" w:leftChars="0" w:firstLine="0" w:firstLineChars="0"/>
        <w:rPr>
          <w:rFonts w:hint="eastAsia" w:ascii="仿宋_GB2312" w:hAnsi="仿宋_GB2312" w:eastAsia="仿宋_GB2312" w:cs="仿宋_GB2312"/>
          <w:sz w:val="32"/>
          <w:szCs w:val="32"/>
          <w:lang w:val="en-US" w:eastAsia="zh-CN"/>
        </w:rPr>
      </w:pPr>
    </w:p>
    <w:p w14:paraId="15AE723C">
      <w:pPr>
        <w:spacing w:line="600" w:lineRule="exact"/>
        <w:ind w:left="0" w:leftChars="0" w:firstLine="0" w:firstLineChars="0"/>
        <w:rPr>
          <w:rFonts w:hint="eastAsia" w:ascii="仿宋_GB2312" w:hAnsi="仿宋_GB2312" w:eastAsia="仿宋_GB2312" w:cs="仿宋_GB2312"/>
          <w:sz w:val="32"/>
          <w:szCs w:val="32"/>
          <w:lang w:val="en-US" w:eastAsia="zh-CN"/>
        </w:rPr>
      </w:pPr>
    </w:p>
    <w:p w14:paraId="14C0DCE7">
      <w:pPr>
        <w:spacing w:line="600" w:lineRule="exact"/>
        <w:ind w:left="0" w:leftChars="0" w:firstLine="0" w:firstLineChars="0"/>
        <w:rPr>
          <w:rFonts w:hint="eastAsia" w:ascii="仿宋_GB2312" w:hAnsi="仿宋_GB2312" w:eastAsia="仿宋_GB2312" w:cs="仿宋_GB2312"/>
          <w:sz w:val="32"/>
          <w:szCs w:val="32"/>
          <w:lang w:val="en-US" w:eastAsia="zh-CN"/>
        </w:rPr>
      </w:pPr>
    </w:p>
    <w:p w14:paraId="04A64794">
      <w:pPr>
        <w:spacing w:line="600" w:lineRule="exact"/>
        <w:ind w:left="0" w:leftChars="0" w:firstLine="0" w:firstLineChars="0"/>
        <w:rPr>
          <w:rFonts w:hint="eastAsia" w:ascii="仿宋_GB2312" w:hAnsi="仿宋_GB2312" w:eastAsia="仿宋_GB2312" w:cs="仿宋_GB2312"/>
          <w:sz w:val="32"/>
          <w:szCs w:val="32"/>
          <w:lang w:val="en-US" w:eastAsia="zh-CN"/>
        </w:rPr>
      </w:pPr>
    </w:p>
    <w:p w14:paraId="4B495B25">
      <w:pPr>
        <w:spacing w:line="600" w:lineRule="exact"/>
        <w:ind w:left="0" w:leftChars="0" w:firstLine="0" w:firstLineChars="0"/>
        <w:rPr>
          <w:rFonts w:hint="eastAsia" w:ascii="仿宋_GB2312" w:hAnsi="仿宋_GB2312" w:eastAsia="仿宋_GB2312" w:cs="仿宋_GB2312"/>
          <w:sz w:val="32"/>
          <w:szCs w:val="32"/>
          <w:lang w:val="en-US" w:eastAsia="zh-CN"/>
        </w:rPr>
      </w:pPr>
    </w:p>
    <w:p w14:paraId="21DEECB2">
      <w:pPr>
        <w:spacing w:line="600" w:lineRule="exact"/>
        <w:ind w:left="0" w:leftChars="0" w:firstLine="0" w:firstLineChars="0"/>
        <w:rPr>
          <w:rFonts w:hint="eastAsia" w:ascii="仿宋_GB2312" w:hAnsi="仿宋_GB2312" w:eastAsia="仿宋_GB2312" w:cs="仿宋_GB2312"/>
          <w:sz w:val="32"/>
          <w:szCs w:val="32"/>
          <w:lang w:val="en-US" w:eastAsia="zh-CN"/>
        </w:rPr>
      </w:pPr>
    </w:p>
    <w:p w14:paraId="4A606A9C">
      <w:pPr>
        <w:spacing w:line="600" w:lineRule="exact"/>
        <w:ind w:left="0" w:leftChars="0" w:firstLine="0" w:firstLineChars="0"/>
        <w:rPr>
          <w:rFonts w:hint="eastAsia" w:ascii="仿宋_GB2312" w:hAnsi="仿宋_GB2312" w:eastAsia="仿宋_GB2312" w:cs="仿宋_GB2312"/>
          <w:sz w:val="32"/>
          <w:szCs w:val="32"/>
          <w:lang w:val="en-US" w:eastAsia="zh-CN"/>
        </w:rPr>
      </w:pPr>
    </w:p>
    <w:p w14:paraId="5910AB86">
      <w:pPr>
        <w:spacing w:line="600" w:lineRule="exact"/>
        <w:ind w:left="0" w:leftChars="0" w:firstLine="0" w:firstLineChars="0"/>
        <w:rPr>
          <w:rFonts w:hint="eastAsia" w:ascii="仿宋_GB2312" w:hAnsi="仿宋_GB2312" w:eastAsia="仿宋_GB2312" w:cs="仿宋_GB2312"/>
          <w:sz w:val="32"/>
          <w:szCs w:val="32"/>
          <w:lang w:val="en-US" w:eastAsia="zh-CN"/>
        </w:rPr>
      </w:pPr>
    </w:p>
    <w:p w14:paraId="4BBCCF09">
      <w:pPr>
        <w:spacing w:line="600" w:lineRule="exact"/>
        <w:ind w:left="0" w:leftChars="0" w:firstLine="0" w:firstLineChars="0"/>
        <w:rPr>
          <w:rFonts w:hint="eastAsia" w:ascii="仿宋_GB2312" w:hAnsi="仿宋_GB2312" w:eastAsia="仿宋_GB2312" w:cs="仿宋_GB2312"/>
          <w:sz w:val="32"/>
          <w:szCs w:val="32"/>
          <w:lang w:val="en-US" w:eastAsia="zh-CN"/>
        </w:rPr>
      </w:pPr>
    </w:p>
    <w:p w14:paraId="5623AE14">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五、财政拨款支出预算表（部门经济分类科目）（公开</w:t>
      </w:r>
    </w:p>
    <w:p w14:paraId="16040F7B">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 2-1）</w:t>
      </w:r>
    </w:p>
    <w:p w14:paraId="1669A729">
      <w:pPr>
        <w:spacing w:line="240" w:lineRule="auto"/>
        <w:ind w:left="0" w:leftChars="0" w:firstLine="0" w:firstLineChars="0"/>
        <w:rPr>
          <w:rFonts w:hint="eastAsia" w:ascii="仿宋_GB2312" w:hAnsi="仿宋_GB2312" w:eastAsia="仿宋_GB2312" w:cs="仿宋_GB2312"/>
          <w:sz w:val="32"/>
          <w:szCs w:val="32"/>
          <w:lang w:val="en-US" w:eastAsia="zh-CN"/>
        </w:rPr>
      </w:pPr>
      <w:r>
        <w:drawing>
          <wp:inline distT="0" distB="0" distL="114300" distR="114300">
            <wp:extent cx="5673090" cy="5955665"/>
            <wp:effectExtent l="0" t="0" r="3810" b="698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4"/>
                    <a:stretch>
                      <a:fillRect/>
                    </a:stretch>
                  </pic:blipFill>
                  <pic:spPr>
                    <a:xfrm>
                      <a:off x="0" y="0"/>
                      <a:ext cx="5673090" cy="5955665"/>
                    </a:xfrm>
                    <a:prstGeom prst="rect">
                      <a:avLst/>
                    </a:prstGeom>
                    <a:noFill/>
                    <a:ln>
                      <a:noFill/>
                    </a:ln>
                  </pic:spPr>
                </pic:pic>
              </a:graphicData>
            </a:graphic>
          </wp:inline>
        </w:drawing>
      </w:r>
    </w:p>
    <w:p w14:paraId="46B9250B">
      <w:pPr>
        <w:spacing w:line="600" w:lineRule="exact"/>
        <w:ind w:left="0" w:leftChars="0" w:firstLine="0" w:firstLineChars="0"/>
        <w:rPr>
          <w:rFonts w:hint="eastAsia" w:ascii="仿宋_GB2312" w:hAnsi="仿宋_GB2312" w:eastAsia="仿宋_GB2312" w:cs="仿宋_GB2312"/>
          <w:sz w:val="32"/>
          <w:szCs w:val="32"/>
          <w:lang w:val="en-US" w:eastAsia="zh-CN"/>
        </w:rPr>
      </w:pPr>
    </w:p>
    <w:p w14:paraId="26A18C51">
      <w:pPr>
        <w:spacing w:line="600" w:lineRule="exact"/>
        <w:ind w:left="0" w:leftChars="0" w:firstLine="0" w:firstLineChars="0"/>
        <w:rPr>
          <w:rFonts w:hint="eastAsia" w:ascii="仿宋_GB2312" w:hAnsi="仿宋_GB2312" w:eastAsia="仿宋_GB2312" w:cs="仿宋_GB2312"/>
          <w:sz w:val="32"/>
          <w:szCs w:val="32"/>
          <w:lang w:val="en-US" w:eastAsia="zh-CN"/>
        </w:rPr>
      </w:pPr>
    </w:p>
    <w:p w14:paraId="0E18553B">
      <w:pPr>
        <w:spacing w:line="600" w:lineRule="exact"/>
        <w:ind w:left="0" w:leftChars="0" w:firstLine="0" w:firstLineChars="0"/>
        <w:rPr>
          <w:rFonts w:hint="eastAsia" w:ascii="仿宋_GB2312" w:hAnsi="仿宋_GB2312" w:eastAsia="仿宋_GB2312" w:cs="仿宋_GB2312"/>
          <w:sz w:val="32"/>
          <w:szCs w:val="32"/>
          <w:lang w:val="en-US" w:eastAsia="zh-CN"/>
        </w:rPr>
      </w:pPr>
    </w:p>
    <w:p w14:paraId="38D8C680">
      <w:pPr>
        <w:spacing w:line="600" w:lineRule="exact"/>
        <w:ind w:left="0" w:leftChars="0" w:firstLine="0" w:firstLineChars="0"/>
        <w:rPr>
          <w:rFonts w:hint="eastAsia" w:ascii="仿宋_GB2312" w:hAnsi="仿宋_GB2312" w:eastAsia="仿宋_GB2312" w:cs="仿宋_GB2312"/>
          <w:sz w:val="32"/>
          <w:szCs w:val="32"/>
          <w:lang w:val="en-US" w:eastAsia="zh-CN"/>
        </w:rPr>
      </w:pPr>
    </w:p>
    <w:p w14:paraId="70282FC0">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六、一般公共预算支出预算表（公开表 3）</w:t>
      </w:r>
    </w:p>
    <w:p w14:paraId="27FC568B">
      <w:pPr>
        <w:spacing w:line="240" w:lineRule="auto"/>
        <w:ind w:left="0" w:leftChars="0" w:firstLine="0" w:firstLineChars="0"/>
        <w:rPr>
          <w:rFonts w:hint="eastAsia" w:ascii="仿宋_GB2312" w:hAnsi="仿宋_GB2312" w:eastAsia="仿宋_GB2312" w:cs="仿宋_GB2312"/>
          <w:sz w:val="32"/>
          <w:szCs w:val="32"/>
          <w:lang w:val="en-US" w:eastAsia="zh-CN"/>
        </w:rPr>
      </w:pPr>
      <w:r>
        <w:drawing>
          <wp:inline distT="0" distB="0" distL="114300" distR="114300">
            <wp:extent cx="5690235" cy="4692650"/>
            <wp:effectExtent l="0" t="0" r="5715" b="1270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5"/>
                    <a:stretch>
                      <a:fillRect/>
                    </a:stretch>
                  </pic:blipFill>
                  <pic:spPr>
                    <a:xfrm>
                      <a:off x="0" y="0"/>
                      <a:ext cx="5690235" cy="4692650"/>
                    </a:xfrm>
                    <a:prstGeom prst="rect">
                      <a:avLst/>
                    </a:prstGeom>
                    <a:noFill/>
                    <a:ln>
                      <a:noFill/>
                    </a:ln>
                  </pic:spPr>
                </pic:pic>
              </a:graphicData>
            </a:graphic>
          </wp:inline>
        </w:drawing>
      </w:r>
    </w:p>
    <w:p w14:paraId="28E0CF29">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七、一般公共预算基本支出预算表（公开表 3-1）</w:t>
      </w:r>
    </w:p>
    <w:p w14:paraId="4B162258">
      <w:pPr>
        <w:spacing w:line="240" w:lineRule="auto"/>
        <w:ind w:left="0" w:leftChars="0" w:firstLine="0" w:firstLineChars="0"/>
      </w:pPr>
      <w:r>
        <w:drawing>
          <wp:inline distT="0" distB="0" distL="114300" distR="114300">
            <wp:extent cx="5688330" cy="2464435"/>
            <wp:effectExtent l="0" t="0" r="7620" b="1206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16"/>
                    <a:stretch>
                      <a:fillRect/>
                    </a:stretch>
                  </pic:blipFill>
                  <pic:spPr>
                    <a:xfrm>
                      <a:off x="0" y="0"/>
                      <a:ext cx="5688330" cy="2464435"/>
                    </a:xfrm>
                    <a:prstGeom prst="rect">
                      <a:avLst/>
                    </a:prstGeom>
                    <a:noFill/>
                    <a:ln>
                      <a:noFill/>
                    </a:ln>
                  </pic:spPr>
                </pic:pic>
              </a:graphicData>
            </a:graphic>
          </wp:inline>
        </w:drawing>
      </w:r>
    </w:p>
    <w:p w14:paraId="572FA591">
      <w:pPr>
        <w:spacing w:line="240" w:lineRule="auto"/>
        <w:ind w:left="0" w:leftChars="0" w:firstLine="0" w:firstLineChars="0"/>
      </w:pPr>
      <w:r>
        <w:drawing>
          <wp:inline distT="0" distB="0" distL="114300" distR="114300">
            <wp:extent cx="5688330" cy="8248650"/>
            <wp:effectExtent l="0" t="0" r="762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17"/>
                    <a:stretch>
                      <a:fillRect/>
                    </a:stretch>
                  </pic:blipFill>
                  <pic:spPr>
                    <a:xfrm>
                      <a:off x="0" y="0"/>
                      <a:ext cx="5688330" cy="8248650"/>
                    </a:xfrm>
                    <a:prstGeom prst="rect">
                      <a:avLst/>
                    </a:prstGeom>
                    <a:noFill/>
                    <a:ln>
                      <a:noFill/>
                    </a:ln>
                  </pic:spPr>
                </pic:pic>
              </a:graphicData>
            </a:graphic>
          </wp:inline>
        </w:drawing>
      </w:r>
    </w:p>
    <w:p w14:paraId="5EF2E248">
      <w:pPr>
        <w:spacing w:line="240" w:lineRule="auto"/>
        <w:ind w:left="0" w:leftChars="0" w:firstLine="0" w:firstLineChars="0"/>
      </w:pPr>
      <w:r>
        <w:drawing>
          <wp:inline distT="0" distB="0" distL="114300" distR="114300">
            <wp:extent cx="5688330" cy="8248650"/>
            <wp:effectExtent l="0" t="0" r="7620" b="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18"/>
                    <a:stretch>
                      <a:fillRect/>
                    </a:stretch>
                  </pic:blipFill>
                  <pic:spPr>
                    <a:xfrm>
                      <a:off x="0" y="0"/>
                      <a:ext cx="5688330" cy="8248650"/>
                    </a:xfrm>
                    <a:prstGeom prst="rect">
                      <a:avLst/>
                    </a:prstGeom>
                    <a:noFill/>
                    <a:ln>
                      <a:noFill/>
                    </a:ln>
                  </pic:spPr>
                </pic:pic>
              </a:graphicData>
            </a:graphic>
          </wp:inline>
        </w:drawing>
      </w:r>
    </w:p>
    <w:p w14:paraId="0E39C5F4">
      <w:pPr>
        <w:spacing w:line="240" w:lineRule="auto"/>
        <w:ind w:left="0" w:leftChars="0" w:firstLine="0" w:firstLineChars="0"/>
      </w:pPr>
      <w:r>
        <w:drawing>
          <wp:inline distT="0" distB="0" distL="114300" distR="114300">
            <wp:extent cx="5688330" cy="8248650"/>
            <wp:effectExtent l="0" t="0" r="7620" b="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19"/>
                    <a:stretch>
                      <a:fillRect/>
                    </a:stretch>
                  </pic:blipFill>
                  <pic:spPr>
                    <a:xfrm>
                      <a:off x="0" y="0"/>
                      <a:ext cx="5688330" cy="8248650"/>
                    </a:xfrm>
                    <a:prstGeom prst="rect">
                      <a:avLst/>
                    </a:prstGeom>
                    <a:noFill/>
                    <a:ln>
                      <a:noFill/>
                    </a:ln>
                  </pic:spPr>
                </pic:pic>
              </a:graphicData>
            </a:graphic>
          </wp:inline>
        </w:drawing>
      </w:r>
    </w:p>
    <w:p w14:paraId="3AE69674">
      <w:pPr>
        <w:spacing w:line="240" w:lineRule="auto"/>
        <w:ind w:left="0" w:leftChars="0" w:firstLine="0" w:firstLineChars="0"/>
      </w:pPr>
      <w:r>
        <w:drawing>
          <wp:inline distT="0" distB="0" distL="114300" distR="114300">
            <wp:extent cx="5688330" cy="8093075"/>
            <wp:effectExtent l="0" t="0" r="7620" b="317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20"/>
                    <a:stretch>
                      <a:fillRect/>
                    </a:stretch>
                  </pic:blipFill>
                  <pic:spPr>
                    <a:xfrm>
                      <a:off x="0" y="0"/>
                      <a:ext cx="5688330" cy="8093075"/>
                    </a:xfrm>
                    <a:prstGeom prst="rect">
                      <a:avLst/>
                    </a:prstGeom>
                    <a:noFill/>
                    <a:ln>
                      <a:noFill/>
                    </a:ln>
                  </pic:spPr>
                </pic:pic>
              </a:graphicData>
            </a:graphic>
          </wp:inline>
        </w:drawing>
      </w:r>
    </w:p>
    <w:p w14:paraId="313A11D9">
      <w:pPr>
        <w:spacing w:line="240" w:lineRule="auto"/>
        <w:ind w:left="0" w:leftChars="0" w:firstLine="0" w:firstLineChars="0"/>
      </w:pPr>
      <w:r>
        <w:drawing>
          <wp:inline distT="0" distB="0" distL="114300" distR="114300">
            <wp:extent cx="5688330" cy="8248650"/>
            <wp:effectExtent l="0" t="0" r="7620" b="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21"/>
                    <a:stretch>
                      <a:fillRect/>
                    </a:stretch>
                  </pic:blipFill>
                  <pic:spPr>
                    <a:xfrm>
                      <a:off x="0" y="0"/>
                      <a:ext cx="5688330" cy="8248650"/>
                    </a:xfrm>
                    <a:prstGeom prst="rect">
                      <a:avLst/>
                    </a:prstGeom>
                    <a:noFill/>
                    <a:ln>
                      <a:noFill/>
                    </a:ln>
                  </pic:spPr>
                </pic:pic>
              </a:graphicData>
            </a:graphic>
          </wp:inline>
        </w:drawing>
      </w:r>
    </w:p>
    <w:p w14:paraId="02B84412">
      <w:pPr>
        <w:spacing w:line="240" w:lineRule="auto"/>
        <w:ind w:left="0" w:leftChars="0" w:firstLine="0" w:firstLineChars="0"/>
      </w:pPr>
      <w:r>
        <w:drawing>
          <wp:inline distT="0" distB="0" distL="114300" distR="114300">
            <wp:extent cx="5688330" cy="8248650"/>
            <wp:effectExtent l="0" t="0" r="7620" b="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22"/>
                    <a:stretch>
                      <a:fillRect/>
                    </a:stretch>
                  </pic:blipFill>
                  <pic:spPr>
                    <a:xfrm>
                      <a:off x="0" y="0"/>
                      <a:ext cx="5688330" cy="8248650"/>
                    </a:xfrm>
                    <a:prstGeom prst="rect">
                      <a:avLst/>
                    </a:prstGeom>
                    <a:noFill/>
                    <a:ln>
                      <a:noFill/>
                    </a:ln>
                  </pic:spPr>
                </pic:pic>
              </a:graphicData>
            </a:graphic>
          </wp:inline>
        </w:drawing>
      </w:r>
    </w:p>
    <w:p w14:paraId="623F805E">
      <w:pPr>
        <w:spacing w:line="240" w:lineRule="auto"/>
        <w:ind w:left="0" w:leftChars="0" w:firstLine="0" w:firstLineChars="0"/>
      </w:pPr>
      <w:r>
        <w:drawing>
          <wp:inline distT="0" distB="0" distL="114300" distR="114300">
            <wp:extent cx="5688330" cy="8248650"/>
            <wp:effectExtent l="0" t="0" r="7620" b="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23"/>
                    <a:stretch>
                      <a:fillRect/>
                    </a:stretch>
                  </pic:blipFill>
                  <pic:spPr>
                    <a:xfrm>
                      <a:off x="0" y="0"/>
                      <a:ext cx="5688330" cy="8248650"/>
                    </a:xfrm>
                    <a:prstGeom prst="rect">
                      <a:avLst/>
                    </a:prstGeom>
                    <a:noFill/>
                    <a:ln>
                      <a:noFill/>
                    </a:ln>
                  </pic:spPr>
                </pic:pic>
              </a:graphicData>
            </a:graphic>
          </wp:inline>
        </w:drawing>
      </w:r>
    </w:p>
    <w:p w14:paraId="3764A97D">
      <w:pPr>
        <w:spacing w:line="240" w:lineRule="auto"/>
        <w:ind w:left="0" w:leftChars="0" w:firstLine="0" w:firstLineChars="0"/>
        <w:rPr>
          <w:rFonts w:hint="eastAsia"/>
          <w:lang w:val="en-US" w:eastAsia="zh-CN"/>
        </w:rPr>
      </w:pPr>
      <w:r>
        <w:drawing>
          <wp:inline distT="0" distB="0" distL="114300" distR="114300">
            <wp:extent cx="5688330" cy="6693535"/>
            <wp:effectExtent l="0" t="0" r="7620" b="12065"/>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24"/>
                    <a:stretch>
                      <a:fillRect/>
                    </a:stretch>
                  </pic:blipFill>
                  <pic:spPr>
                    <a:xfrm>
                      <a:off x="0" y="0"/>
                      <a:ext cx="5688330" cy="6693535"/>
                    </a:xfrm>
                    <a:prstGeom prst="rect">
                      <a:avLst/>
                    </a:prstGeom>
                    <a:noFill/>
                    <a:ln>
                      <a:noFill/>
                    </a:ln>
                  </pic:spPr>
                </pic:pic>
              </a:graphicData>
            </a:graphic>
          </wp:inline>
        </w:drawing>
      </w:r>
    </w:p>
    <w:p w14:paraId="20F7EFE4">
      <w:pPr>
        <w:spacing w:line="600" w:lineRule="exact"/>
        <w:ind w:left="0" w:leftChars="0" w:firstLine="0" w:firstLineChars="0"/>
        <w:rPr>
          <w:rFonts w:hint="eastAsia" w:ascii="仿宋_GB2312" w:hAnsi="仿宋_GB2312" w:eastAsia="仿宋_GB2312" w:cs="仿宋_GB2312"/>
          <w:sz w:val="32"/>
          <w:szCs w:val="32"/>
          <w:lang w:val="en-US" w:eastAsia="zh-CN"/>
        </w:rPr>
      </w:pPr>
    </w:p>
    <w:p w14:paraId="626F9527">
      <w:pPr>
        <w:spacing w:line="600" w:lineRule="exact"/>
        <w:ind w:left="0" w:leftChars="0" w:firstLine="0" w:firstLineChars="0"/>
        <w:rPr>
          <w:rFonts w:hint="eastAsia" w:ascii="仿宋_GB2312" w:hAnsi="仿宋_GB2312" w:eastAsia="仿宋_GB2312" w:cs="仿宋_GB2312"/>
          <w:sz w:val="32"/>
          <w:szCs w:val="32"/>
          <w:lang w:val="en-US" w:eastAsia="zh-CN"/>
        </w:rPr>
      </w:pPr>
    </w:p>
    <w:p w14:paraId="44239CE1">
      <w:pPr>
        <w:spacing w:line="600" w:lineRule="exact"/>
        <w:ind w:left="0" w:leftChars="0" w:firstLine="0" w:firstLineChars="0"/>
        <w:rPr>
          <w:rFonts w:hint="eastAsia" w:ascii="仿宋_GB2312" w:hAnsi="仿宋_GB2312" w:eastAsia="仿宋_GB2312" w:cs="仿宋_GB2312"/>
          <w:sz w:val="32"/>
          <w:szCs w:val="32"/>
          <w:lang w:val="en-US" w:eastAsia="zh-CN"/>
        </w:rPr>
      </w:pPr>
    </w:p>
    <w:p w14:paraId="29B73CA2">
      <w:pPr>
        <w:spacing w:line="600" w:lineRule="exact"/>
        <w:ind w:left="0" w:leftChars="0" w:firstLine="0" w:firstLineChars="0"/>
        <w:rPr>
          <w:rFonts w:hint="eastAsia" w:ascii="仿宋_GB2312" w:hAnsi="仿宋_GB2312" w:eastAsia="仿宋_GB2312" w:cs="仿宋_GB2312"/>
          <w:sz w:val="32"/>
          <w:szCs w:val="32"/>
          <w:lang w:val="en-US" w:eastAsia="zh-CN"/>
        </w:rPr>
      </w:pPr>
    </w:p>
    <w:p w14:paraId="7CA96A02">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八、一般公共预算项目支出预算表（公开表 3-2）</w:t>
      </w:r>
    </w:p>
    <w:p w14:paraId="76ACB56F">
      <w:pPr>
        <w:spacing w:line="240" w:lineRule="auto"/>
        <w:ind w:left="0" w:leftChars="0" w:firstLine="0" w:firstLineChars="0"/>
      </w:pPr>
      <w:r>
        <w:drawing>
          <wp:inline distT="0" distB="0" distL="114300" distR="114300">
            <wp:extent cx="5692140" cy="7621905"/>
            <wp:effectExtent l="0" t="0" r="3810" b="17145"/>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25"/>
                    <a:stretch>
                      <a:fillRect/>
                    </a:stretch>
                  </pic:blipFill>
                  <pic:spPr>
                    <a:xfrm>
                      <a:off x="0" y="0"/>
                      <a:ext cx="5692140" cy="7621905"/>
                    </a:xfrm>
                    <a:prstGeom prst="rect">
                      <a:avLst/>
                    </a:prstGeom>
                    <a:noFill/>
                    <a:ln>
                      <a:noFill/>
                    </a:ln>
                  </pic:spPr>
                </pic:pic>
              </a:graphicData>
            </a:graphic>
          </wp:inline>
        </w:drawing>
      </w:r>
    </w:p>
    <w:p w14:paraId="723C0448">
      <w:pPr>
        <w:spacing w:line="240" w:lineRule="auto"/>
        <w:ind w:left="0" w:leftChars="0" w:firstLine="0" w:firstLineChars="0"/>
        <w:rPr>
          <w:rFonts w:hint="eastAsia"/>
          <w:lang w:val="en-US" w:eastAsia="zh-CN"/>
        </w:rPr>
      </w:pPr>
      <w:r>
        <w:drawing>
          <wp:inline distT="0" distB="0" distL="114300" distR="114300">
            <wp:extent cx="5692140" cy="2080895"/>
            <wp:effectExtent l="0" t="0" r="3810" b="14605"/>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26"/>
                    <a:stretch>
                      <a:fillRect/>
                    </a:stretch>
                  </pic:blipFill>
                  <pic:spPr>
                    <a:xfrm>
                      <a:off x="0" y="0"/>
                      <a:ext cx="5692140" cy="2080895"/>
                    </a:xfrm>
                    <a:prstGeom prst="rect">
                      <a:avLst/>
                    </a:prstGeom>
                    <a:noFill/>
                    <a:ln>
                      <a:noFill/>
                    </a:ln>
                  </pic:spPr>
                </pic:pic>
              </a:graphicData>
            </a:graphic>
          </wp:inline>
        </w:drawing>
      </w:r>
    </w:p>
    <w:p w14:paraId="217946DF">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九、一般公共预算“三公”经费支出预算表（公开表 3-3）</w:t>
      </w:r>
    </w:p>
    <w:p w14:paraId="692B4B42">
      <w:pPr>
        <w:spacing w:line="240" w:lineRule="auto"/>
        <w:ind w:left="0" w:leftChars="0" w:firstLine="0" w:firstLineChars="0"/>
        <w:rPr>
          <w:rFonts w:hint="eastAsia" w:ascii="仿宋_GB2312" w:hAnsi="仿宋_GB2312" w:eastAsia="仿宋_GB2312" w:cs="仿宋_GB2312"/>
          <w:sz w:val="32"/>
          <w:szCs w:val="32"/>
          <w:lang w:val="en-US" w:eastAsia="zh-CN"/>
        </w:rPr>
      </w:pPr>
      <w:r>
        <w:drawing>
          <wp:inline distT="0" distB="0" distL="114300" distR="114300">
            <wp:extent cx="5691505" cy="3372485"/>
            <wp:effectExtent l="0" t="0" r="4445" b="18415"/>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27"/>
                    <a:stretch>
                      <a:fillRect/>
                    </a:stretch>
                  </pic:blipFill>
                  <pic:spPr>
                    <a:xfrm>
                      <a:off x="0" y="0"/>
                      <a:ext cx="5691505" cy="3372485"/>
                    </a:xfrm>
                    <a:prstGeom prst="rect">
                      <a:avLst/>
                    </a:prstGeom>
                    <a:noFill/>
                    <a:ln>
                      <a:noFill/>
                    </a:ln>
                  </pic:spPr>
                </pic:pic>
              </a:graphicData>
            </a:graphic>
          </wp:inline>
        </w:drawing>
      </w:r>
    </w:p>
    <w:p w14:paraId="4DC68A29">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十、政府性基金预算支出表（公开表 4）</w:t>
      </w:r>
    </w:p>
    <w:p w14:paraId="56EE47BD">
      <w:pPr>
        <w:spacing w:line="240" w:lineRule="auto"/>
        <w:ind w:left="0" w:leftChars="0" w:firstLine="0" w:firstLineChars="0"/>
        <w:rPr>
          <w:rFonts w:hint="eastAsia" w:ascii="仿宋_GB2312" w:hAnsi="仿宋_GB2312" w:eastAsia="仿宋_GB2312" w:cs="仿宋_GB2312"/>
          <w:sz w:val="32"/>
          <w:szCs w:val="32"/>
          <w:lang w:val="en-US" w:eastAsia="zh-CN"/>
        </w:rPr>
      </w:pPr>
      <w:r>
        <w:drawing>
          <wp:inline distT="0" distB="0" distL="114300" distR="114300">
            <wp:extent cx="5689600" cy="1492250"/>
            <wp:effectExtent l="0" t="0" r="6350" b="1270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28"/>
                    <a:stretch>
                      <a:fillRect/>
                    </a:stretch>
                  </pic:blipFill>
                  <pic:spPr>
                    <a:xfrm>
                      <a:off x="0" y="0"/>
                      <a:ext cx="5689600" cy="1492250"/>
                    </a:xfrm>
                    <a:prstGeom prst="rect">
                      <a:avLst/>
                    </a:prstGeom>
                    <a:noFill/>
                    <a:ln>
                      <a:noFill/>
                    </a:ln>
                  </pic:spPr>
                </pic:pic>
              </a:graphicData>
            </a:graphic>
          </wp:inline>
        </w:drawing>
      </w:r>
    </w:p>
    <w:p w14:paraId="5835508F">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十一、政府性基金预算“三公”经费支出预算表（公开4-1表）</w:t>
      </w:r>
    </w:p>
    <w:p w14:paraId="7B2A57E6">
      <w:pPr>
        <w:spacing w:line="240" w:lineRule="auto"/>
        <w:ind w:left="0" w:leftChars="0" w:firstLine="0" w:firstLineChars="0"/>
        <w:rPr>
          <w:rFonts w:hint="eastAsia" w:ascii="仿宋_GB2312" w:hAnsi="仿宋_GB2312" w:eastAsia="仿宋_GB2312" w:cs="仿宋_GB2312"/>
          <w:sz w:val="32"/>
          <w:szCs w:val="32"/>
          <w:lang w:val="en-US" w:eastAsia="zh-CN"/>
        </w:rPr>
      </w:pPr>
      <w:r>
        <w:drawing>
          <wp:inline distT="0" distB="0" distL="114300" distR="114300">
            <wp:extent cx="5691505" cy="1071245"/>
            <wp:effectExtent l="0" t="0" r="4445" b="14605"/>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29"/>
                    <a:stretch>
                      <a:fillRect/>
                    </a:stretch>
                  </pic:blipFill>
                  <pic:spPr>
                    <a:xfrm>
                      <a:off x="0" y="0"/>
                      <a:ext cx="5691505" cy="1071245"/>
                    </a:xfrm>
                    <a:prstGeom prst="rect">
                      <a:avLst/>
                    </a:prstGeom>
                    <a:noFill/>
                    <a:ln>
                      <a:noFill/>
                    </a:ln>
                  </pic:spPr>
                </pic:pic>
              </a:graphicData>
            </a:graphic>
          </wp:inline>
        </w:drawing>
      </w:r>
    </w:p>
    <w:p w14:paraId="28DC5869">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十二、国有资本经营预算支出表（公开表 5）</w:t>
      </w:r>
    </w:p>
    <w:p w14:paraId="2E72596B">
      <w:pPr>
        <w:spacing w:line="240" w:lineRule="auto"/>
        <w:ind w:left="0" w:leftChars="0" w:firstLine="0" w:firstLineChars="0"/>
        <w:rPr>
          <w:rFonts w:hint="eastAsia" w:ascii="仿宋_GB2312" w:hAnsi="仿宋_GB2312" w:eastAsia="仿宋_GB2312" w:cs="仿宋_GB2312"/>
          <w:sz w:val="32"/>
          <w:szCs w:val="32"/>
          <w:lang w:val="en-US" w:eastAsia="zh-CN"/>
        </w:rPr>
      </w:pPr>
      <w:r>
        <w:drawing>
          <wp:inline distT="0" distB="0" distL="114300" distR="114300">
            <wp:extent cx="5689600" cy="1492250"/>
            <wp:effectExtent l="0" t="0" r="6350" b="1270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30"/>
                    <a:stretch>
                      <a:fillRect/>
                    </a:stretch>
                  </pic:blipFill>
                  <pic:spPr>
                    <a:xfrm>
                      <a:off x="0" y="0"/>
                      <a:ext cx="5689600" cy="1492250"/>
                    </a:xfrm>
                    <a:prstGeom prst="rect">
                      <a:avLst/>
                    </a:prstGeom>
                    <a:noFill/>
                    <a:ln>
                      <a:noFill/>
                    </a:ln>
                  </pic:spPr>
                </pic:pic>
              </a:graphicData>
            </a:graphic>
          </wp:inline>
        </w:drawing>
      </w:r>
    </w:p>
    <w:p w14:paraId="3314378D">
      <w:pPr>
        <w:spacing w:line="600" w:lineRule="exact"/>
        <w:ind w:left="0" w:leftChars="0" w:firstLine="0" w:firstLineChars="0"/>
        <w:rPr>
          <w:rFonts w:hint="eastAsia" w:ascii="仿宋_GB2312" w:hAnsi="仿宋_GB2312" w:eastAsia="仿宋_GB2312" w:cs="仿宋_GB2312"/>
          <w:sz w:val="32"/>
          <w:szCs w:val="32"/>
          <w:lang w:val="en-US" w:eastAsia="zh-CN"/>
        </w:rPr>
      </w:pPr>
    </w:p>
    <w:p w14:paraId="3F9DA3E5">
      <w:pPr>
        <w:spacing w:line="600" w:lineRule="exact"/>
        <w:ind w:left="0" w:leftChars="0" w:firstLine="0" w:firstLineChars="0"/>
        <w:rPr>
          <w:rFonts w:hint="eastAsia" w:ascii="仿宋_GB2312" w:hAnsi="仿宋_GB2312" w:eastAsia="仿宋_GB2312" w:cs="仿宋_GB2312"/>
          <w:sz w:val="32"/>
          <w:szCs w:val="32"/>
          <w:lang w:val="en-US" w:eastAsia="zh-CN"/>
        </w:rPr>
      </w:pPr>
    </w:p>
    <w:p w14:paraId="602CF1B2">
      <w:pPr>
        <w:spacing w:line="600" w:lineRule="exact"/>
        <w:ind w:left="0" w:leftChars="0" w:firstLine="0" w:firstLineChars="0"/>
        <w:rPr>
          <w:rFonts w:hint="eastAsia" w:ascii="仿宋_GB2312" w:hAnsi="仿宋_GB2312" w:eastAsia="仿宋_GB2312" w:cs="仿宋_GB2312"/>
          <w:sz w:val="32"/>
          <w:szCs w:val="32"/>
          <w:lang w:val="en-US" w:eastAsia="zh-CN"/>
        </w:rPr>
      </w:pPr>
    </w:p>
    <w:p w14:paraId="7F09F379">
      <w:pPr>
        <w:spacing w:line="600" w:lineRule="exact"/>
        <w:ind w:left="0" w:leftChars="0" w:firstLine="0" w:firstLineChars="0"/>
        <w:rPr>
          <w:rFonts w:hint="eastAsia" w:ascii="仿宋_GB2312" w:hAnsi="仿宋_GB2312" w:eastAsia="仿宋_GB2312" w:cs="仿宋_GB2312"/>
          <w:sz w:val="32"/>
          <w:szCs w:val="32"/>
          <w:lang w:val="en-US" w:eastAsia="zh-CN"/>
        </w:rPr>
      </w:pPr>
    </w:p>
    <w:p w14:paraId="2DD2F7CF">
      <w:pPr>
        <w:spacing w:line="600" w:lineRule="exact"/>
        <w:ind w:left="0" w:leftChars="0" w:firstLine="0" w:firstLineChars="0"/>
        <w:rPr>
          <w:rFonts w:hint="eastAsia" w:ascii="仿宋_GB2312" w:hAnsi="仿宋_GB2312" w:eastAsia="仿宋_GB2312" w:cs="仿宋_GB2312"/>
          <w:sz w:val="32"/>
          <w:szCs w:val="32"/>
          <w:lang w:val="en-US" w:eastAsia="zh-CN"/>
        </w:rPr>
      </w:pPr>
    </w:p>
    <w:p w14:paraId="4519A10E">
      <w:pPr>
        <w:spacing w:line="600" w:lineRule="exact"/>
        <w:ind w:left="0" w:leftChars="0" w:firstLine="0" w:firstLineChars="0"/>
        <w:rPr>
          <w:rFonts w:hint="eastAsia" w:ascii="仿宋_GB2312" w:hAnsi="仿宋_GB2312" w:eastAsia="仿宋_GB2312" w:cs="仿宋_GB2312"/>
          <w:sz w:val="32"/>
          <w:szCs w:val="32"/>
          <w:lang w:val="en-US" w:eastAsia="zh-CN"/>
        </w:rPr>
      </w:pPr>
    </w:p>
    <w:p w14:paraId="00C63D06">
      <w:pPr>
        <w:spacing w:line="600" w:lineRule="exact"/>
        <w:ind w:left="0" w:leftChars="0" w:firstLine="0" w:firstLineChars="0"/>
        <w:rPr>
          <w:rFonts w:hint="eastAsia" w:ascii="仿宋_GB2312" w:hAnsi="仿宋_GB2312" w:eastAsia="仿宋_GB2312" w:cs="仿宋_GB2312"/>
          <w:sz w:val="32"/>
          <w:szCs w:val="32"/>
          <w:lang w:val="en-US" w:eastAsia="zh-CN"/>
        </w:rPr>
      </w:pPr>
    </w:p>
    <w:p w14:paraId="691BC49C">
      <w:pPr>
        <w:spacing w:line="600" w:lineRule="exact"/>
        <w:ind w:left="0" w:leftChars="0" w:firstLine="0" w:firstLineChars="0"/>
        <w:rPr>
          <w:rFonts w:hint="eastAsia" w:ascii="仿宋_GB2312" w:hAnsi="仿宋_GB2312" w:eastAsia="仿宋_GB2312" w:cs="仿宋_GB2312"/>
          <w:sz w:val="32"/>
          <w:szCs w:val="32"/>
          <w:lang w:val="en-US" w:eastAsia="zh-CN"/>
        </w:rPr>
      </w:pPr>
    </w:p>
    <w:p w14:paraId="4BEB7865">
      <w:pPr>
        <w:spacing w:line="600" w:lineRule="exact"/>
        <w:ind w:left="0" w:leftChars="0" w:firstLine="0" w:firstLineChars="0"/>
        <w:rPr>
          <w:rFonts w:hint="eastAsia" w:ascii="仿宋_GB2312" w:hAnsi="仿宋_GB2312" w:eastAsia="仿宋_GB2312" w:cs="仿宋_GB2312"/>
          <w:sz w:val="32"/>
          <w:szCs w:val="32"/>
          <w:lang w:val="en-US" w:eastAsia="zh-CN"/>
        </w:rPr>
      </w:pPr>
    </w:p>
    <w:p w14:paraId="3D15BDA0">
      <w:pPr>
        <w:spacing w:line="600" w:lineRule="exact"/>
        <w:ind w:left="0" w:leftChars="0" w:firstLine="0" w:firstLineChars="0"/>
        <w:rPr>
          <w:rFonts w:hint="eastAsia" w:ascii="仿宋_GB2312" w:hAnsi="仿宋_GB2312" w:eastAsia="仿宋_GB2312" w:cs="仿宋_GB2312"/>
          <w:sz w:val="32"/>
          <w:szCs w:val="32"/>
          <w:lang w:val="en-US" w:eastAsia="zh-CN"/>
        </w:rPr>
      </w:pPr>
    </w:p>
    <w:p w14:paraId="1E4AE648">
      <w:pPr>
        <w:spacing w:line="600" w:lineRule="exact"/>
        <w:ind w:left="0" w:leftChars="0" w:firstLine="0" w:firstLineChars="0"/>
        <w:rPr>
          <w:rFonts w:hint="eastAsia" w:ascii="仿宋_GB2312" w:hAnsi="仿宋_GB2312" w:eastAsia="仿宋_GB2312" w:cs="仿宋_GB2312"/>
          <w:sz w:val="32"/>
          <w:szCs w:val="32"/>
          <w:lang w:val="en-US" w:eastAsia="zh-CN"/>
        </w:rPr>
      </w:pPr>
    </w:p>
    <w:p w14:paraId="65C412E3">
      <w:pPr>
        <w:spacing w:line="600" w:lineRule="exact"/>
        <w:ind w:left="0" w:leftChars="0" w:firstLine="0" w:firstLineChars="0"/>
        <w:rPr>
          <w:rFonts w:hint="eastAsia" w:ascii="仿宋_GB2312" w:hAnsi="仿宋_GB2312" w:eastAsia="仿宋_GB2312" w:cs="仿宋_GB2312"/>
          <w:sz w:val="32"/>
          <w:szCs w:val="32"/>
          <w:lang w:val="en-US" w:eastAsia="zh-CN"/>
        </w:rPr>
      </w:pPr>
    </w:p>
    <w:p w14:paraId="13DADBD2">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十三、部门预算项目支出绩效目标表（公开表 6）</w:t>
      </w:r>
    </w:p>
    <w:p w14:paraId="570C319F">
      <w:pPr>
        <w:spacing w:line="240" w:lineRule="auto"/>
        <w:ind w:left="0" w:leftChars="0" w:firstLine="0" w:firstLineChars="0"/>
        <w:rPr>
          <w:rFonts w:hint="eastAsia" w:ascii="仿宋_GB2312" w:hAnsi="仿宋_GB2312" w:eastAsia="仿宋_GB2312" w:cs="仿宋_GB2312"/>
          <w:sz w:val="32"/>
          <w:szCs w:val="32"/>
          <w:lang w:val="en-US" w:eastAsia="zh-CN"/>
        </w:rPr>
      </w:pPr>
      <w:r>
        <w:drawing>
          <wp:inline distT="0" distB="0" distL="114300" distR="114300">
            <wp:extent cx="5693410" cy="7872095"/>
            <wp:effectExtent l="0" t="0" r="2540" b="14605"/>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31"/>
                    <a:stretch>
                      <a:fillRect/>
                    </a:stretch>
                  </pic:blipFill>
                  <pic:spPr>
                    <a:xfrm>
                      <a:off x="0" y="0"/>
                      <a:ext cx="5693410" cy="7872095"/>
                    </a:xfrm>
                    <a:prstGeom prst="rect">
                      <a:avLst/>
                    </a:prstGeom>
                    <a:noFill/>
                    <a:ln>
                      <a:noFill/>
                    </a:ln>
                  </pic:spPr>
                </pic:pic>
              </a:graphicData>
            </a:graphic>
          </wp:inline>
        </w:drawing>
      </w:r>
    </w:p>
    <w:p w14:paraId="61A9208A">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十四、部门整体支出绩效目标表（公开表 7）</w:t>
      </w:r>
    </w:p>
    <w:p w14:paraId="071FEB00">
      <w:pPr>
        <w:spacing w:line="240" w:lineRule="auto"/>
        <w:ind w:left="0" w:leftChars="0" w:firstLine="0" w:firstLineChars="0"/>
        <w:rPr>
          <w:rFonts w:hint="eastAsia" w:ascii="仿宋_GB2312" w:hAnsi="仿宋_GB2312" w:eastAsia="仿宋_GB2312" w:cs="仿宋_GB2312"/>
          <w:sz w:val="32"/>
          <w:szCs w:val="32"/>
          <w:lang w:val="en-US" w:eastAsia="zh-CN"/>
        </w:rPr>
      </w:pPr>
      <w:r>
        <w:drawing>
          <wp:inline distT="0" distB="0" distL="114300" distR="114300">
            <wp:extent cx="5688965" cy="4745990"/>
            <wp:effectExtent l="0" t="0" r="6985" b="16510"/>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32"/>
                    <a:stretch>
                      <a:fillRect/>
                    </a:stretch>
                  </pic:blipFill>
                  <pic:spPr>
                    <a:xfrm>
                      <a:off x="0" y="0"/>
                      <a:ext cx="5688965" cy="4745990"/>
                    </a:xfrm>
                    <a:prstGeom prst="rect">
                      <a:avLst/>
                    </a:prstGeom>
                    <a:noFill/>
                    <a:ln>
                      <a:noFill/>
                    </a:ln>
                  </pic:spPr>
                </pic:pic>
              </a:graphicData>
            </a:graphic>
          </wp:inline>
        </w:drawing>
      </w:r>
    </w:p>
    <w:p w14:paraId="78966640">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十五、政府采购预算表（公开表 8）</w:t>
      </w:r>
    </w:p>
    <w:p w14:paraId="1A7EF416">
      <w:pPr>
        <w:spacing w:line="240" w:lineRule="auto"/>
        <w:ind w:left="0" w:leftChars="0" w:firstLine="0" w:firstLineChars="0"/>
        <w:rPr>
          <w:rFonts w:hint="eastAsia" w:ascii="仿宋_GB2312" w:hAnsi="仿宋_GB2312" w:eastAsia="仿宋_GB2312" w:cs="仿宋_GB2312"/>
          <w:sz w:val="32"/>
          <w:szCs w:val="32"/>
          <w:lang w:val="en-US" w:eastAsia="zh-CN"/>
        </w:rPr>
      </w:pPr>
      <w:r>
        <w:drawing>
          <wp:inline distT="0" distB="0" distL="114300" distR="114300">
            <wp:extent cx="5691505" cy="1529080"/>
            <wp:effectExtent l="0" t="0" r="4445" b="13970"/>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33"/>
                    <a:stretch>
                      <a:fillRect/>
                    </a:stretch>
                  </pic:blipFill>
                  <pic:spPr>
                    <a:xfrm>
                      <a:off x="0" y="0"/>
                      <a:ext cx="5691505" cy="1529080"/>
                    </a:xfrm>
                    <a:prstGeom prst="rect">
                      <a:avLst/>
                    </a:prstGeom>
                    <a:noFill/>
                    <a:ln>
                      <a:noFill/>
                    </a:ln>
                  </pic:spPr>
                </pic:pic>
              </a:graphicData>
            </a:graphic>
          </wp:inline>
        </w:drawing>
      </w:r>
    </w:p>
    <w:p w14:paraId="59121394">
      <w:pPr>
        <w:spacing w:line="600" w:lineRule="exact"/>
        <w:ind w:left="0" w:leftChars="0" w:firstLine="0" w:firstLineChars="0"/>
        <w:rPr>
          <w:rFonts w:hint="eastAsia" w:ascii="仿宋_GB2312" w:hAnsi="仿宋_GB2312" w:eastAsia="仿宋_GB2312" w:cs="仿宋_GB2312"/>
          <w:sz w:val="32"/>
          <w:szCs w:val="32"/>
          <w:lang w:val="en-US" w:eastAsia="zh-CN"/>
        </w:rPr>
      </w:pPr>
    </w:p>
    <w:p w14:paraId="452AC0EE">
      <w:pPr>
        <w:numPr>
          <w:ilvl w:val="0"/>
          <w:numId w:val="0"/>
        </w:numPr>
        <w:spacing w:line="600" w:lineRule="exact"/>
        <w:rPr>
          <w:rFonts w:hint="eastAsia" w:ascii="仿宋" w:hAnsi="仿宋" w:eastAsia="仿宋" w:cs="Times New Roman"/>
          <w:sz w:val="32"/>
          <w:szCs w:val="32"/>
          <w:lang w:val="en-US" w:eastAsia="zh-CN"/>
        </w:rPr>
      </w:pPr>
    </w:p>
    <w:p w14:paraId="41E9BDED">
      <w:pPr>
        <w:numPr>
          <w:ilvl w:val="0"/>
          <w:numId w:val="0"/>
        </w:numPr>
        <w:ind w:leftChars="0"/>
        <w:jc w:val="both"/>
        <w:rPr>
          <w:rFonts w:hint="eastAsia"/>
          <w:b/>
          <w:bCs/>
          <w:sz w:val="52"/>
          <w:szCs w:val="52"/>
          <w:lang w:val="en-US" w:eastAsia="zh-CN"/>
        </w:rPr>
      </w:pPr>
    </w:p>
    <w:p w14:paraId="3B6E110A">
      <w:pPr>
        <w:pStyle w:val="2"/>
        <w:numPr>
          <w:ilvl w:val="0"/>
          <w:numId w:val="0"/>
        </w:numPr>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第三部分  峨边彝族自治县卫生健康局</w:t>
      </w:r>
    </w:p>
    <w:p w14:paraId="7C5CAF9C">
      <w:pPr>
        <w:pStyle w:val="3"/>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2025年部门预算情况说明</w:t>
      </w:r>
    </w:p>
    <w:p w14:paraId="64FAE89D">
      <w:pPr>
        <w:numPr>
          <w:ilvl w:val="0"/>
          <w:numId w:val="0"/>
        </w:numPr>
        <w:jc w:val="center"/>
        <w:rPr>
          <w:rFonts w:hint="default"/>
          <w:b/>
          <w:bCs/>
          <w:sz w:val="52"/>
          <w:szCs w:val="52"/>
          <w:lang w:val="en-US" w:eastAsia="zh-CN"/>
        </w:rPr>
      </w:pPr>
    </w:p>
    <w:p w14:paraId="6A746034">
      <w:pPr>
        <w:numPr>
          <w:ilvl w:val="0"/>
          <w:numId w:val="0"/>
        </w:numPr>
        <w:spacing w:line="600" w:lineRule="exact"/>
        <w:rPr>
          <w:rFonts w:hint="eastAsia" w:ascii="仿宋" w:hAnsi="仿宋" w:eastAsia="仿宋" w:cs="Times New Roman"/>
          <w:sz w:val="32"/>
          <w:szCs w:val="32"/>
          <w:lang w:val="en-US" w:eastAsia="zh-CN"/>
        </w:rPr>
      </w:pPr>
    </w:p>
    <w:p w14:paraId="761D2BDA">
      <w:pPr>
        <w:numPr>
          <w:ilvl w:val="0"/>
          <w:numId w:val="0"/>
        </w:numPr>
        <w:spacing w:line="600" w:lineRule="exact"/>
        <w:rPr>
          <w:rFonts w:hint="eastAsia" w:ascii="仿宋" w:hAnsi="仿宋" w:eastAsia="仿宋" w:cs="Times New Roman"/>
          <w:sz w:val="32"/>
          <w:szCs w:val="32"/>
          <w:lang w:val="en-US" w:eastAsia="zh-CN"/>
        </w:rPr>
      </w:pPr>
    </w:p>
    <w:p w14:paraId="7F8C0C99">
      <w:pPr>
        <w:numPr>
          <w:ilvl w:val="0"/>
          <w:numId w:val="0"/>
        </w:numPr>
        <w:spacing w:line="600" w:lineRule="exact"/>
        <w:rPr>
          <w:rFonts w:hint="eastAsia" w:ascii="仿宋" w:hAnsi="仿宋" w:eastAsia="仿宋" w:cs="Times New Roman"/>
          <w:sz w:val="32"/>
          <w:szCs w:val="32"/>
          <w:lang w:val="en-US" w:eastAsia="zh-CN"/>
        </w:rPr>
      </w:pPr>
    </w:p>
    <w:p w14:paraId="47E1B2C7">
      <w:pPr>
        <w:numPr>
          <w:ilvl w:val="0"/>
          <w:numId w:val="0"/>
        </w:numPr>
        <w:spacing w:line="600" w:lineRule="exact"/>
        <w:rPr>
          <w:rFonts w:hint="eastAsia" w:ascii="仿宋" w:hAnsi="仿宋" w:eastAsia="仿宋" w:cs="Times New Roman"/>
          <w:sz w:val="32"/>
          <w:szCs w:val="32"/>
          <w:lang w:val="en-US" w:eastAsia="zh-CN"/>
        </w:rPr>
      </w:pPr>
    </w:p>
    <w:p w14:paraId="6568274F">
      <w:pPr>
        <w:numPr>
          <w:ilvl w:val="0"/>
          <w:numId w:val="0"/>
        </w:numPr>
        <w:jc w:val="center"/>
        <w:rPr>
          <w:rFonts w:hint="default"/>
          <w:b/>
          <w:bCs/>
          <w:sz w:val="52"/>
          <w:szCs w:val="52"/>
          <w:lang w:val="en-US" w:eastAsia="zh-CN"/>
        </w:rPr>
      </w:pPr>
    </w:p>
    <w:p w14:paraId="06CF1F64">
      <w:pPr>
        <w:numPr>
          <w:ilvl w:val="0"/>
          <w:numId w:val="0"/>
        </w:numPr>
        <w:jc w:val="center"/>
        <w:rPr>
          <w:rFonts w:hint="default"/>
          <w:b/>
          <w:bCs/>
          <w:sz w:val="52"/>
          <w:szCs w:val="52"/>
          <w:lang w:val="en-US" w:eastAsia="zh-CN"/>
        </w:rPr>
      </w:pPr>
    </w:p>
    <w:p w14:paraId="29B37187">
      <w:pPr>
        <w:pStyle w:val="4"/>
        <w:bidi w:val="0"/>
        <w:rPr>
          <w:rFonts w:hint="eastAsia" w:ascii="黑体" w:hAnsi="黑体" w:eastAsia="黑体" w:cs="黑体"/>
          <w:b w:val="0"/>
          <w:bCs/>
          <w:lang w:val="en-US" w:eastAsia="zh-CN"/>
        </w:rPr>
      </w:pPr>
    </w:p>
    <w:p w14:paraId="2B7098A8">
      <w:pPr>
        <w:pStyle w:val="4"/>
        <w:bidi w:val="0"/>
        <w:rPr>
          <w:rFonts w:hint="eastAsia" w:ascii="黑体" w:hAnsi="黑体" w:eastAsia="黑体" w:cs="黑体"/>
          <w:b w:val="0"/>
          <w:bCs/>
          <w:lang w:val="en-US" w:eastAsia="zh-CN"/>
        </w:rPr>
      </w:pPr>
      <w:r>
        <w:rPr>
          <w:rFonts w:hint="eastAsia" w:ascii="黑体" w:hAnsi="黑体" w:eastAsia="黑体" w:cs="黑体"/>
          <w:b w:val="0"/>
          <w:bCs/>
          <w:lang w:val="en-US" w:eastAsia="zh-CN"/>
        </w:rPr>
        <w:t>一、收支预算情况说明</w:t>
      </w:r>
    </w:p>
    <w:p w14:paraId="2FD14B94">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按照综合预算的原则，峨边彝族自治县卫生健康局所有收入和支出均纳入部门预算管理。收入包括：一般公共预算拨款收入；支出包括：一般公共服务支出、社会保障和就业支出、卫生健康支出、住房保障支出。</w:t>
      </w:r>
    </w:p>
    <w:p w14:paraId="7B75019A">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kern w:val="0"/>
          <w:sz w:val="32"/>
          <w:szCs w:val="32"/>
        </w:rPr>
      </w:pPr>
      <w:r>
        <w:rPr>
          <w:rFonts w:hint="eastAsia" w:ascii="Times New Roman" w:hAnsi="Times New Roman" w:eastAsia="仿宋_GB2312" w:cs="仿宋_GB2312"/>
          <w:kern w:val="0"/>
          <w:sz w:val="32"/>
          <w:szCs w:val="32"/>
        </w:rPr>
        <w:t>峨边彝族自治县卫生健康局202</w:t>
      </w:r>
      <w:r>
        <w:rPr>
          <w:rFonts w:hint="eastAsia" w:ascii="Times New Roman" w:hAnsi="Times New Roman" w:eastAsia="仿宋_GB2312" w:cs="仿宋_GB2312"/>
          <w:kern w:val="0"/>
          <w:sz w:val="32"/>
          <w:szCs w:val="32"/>
          <w:lang w:val="en-US" w:eastAsia="zh-CN"/>
        </w:rPr>
        <w:t>5</w:t>
      </w:r>
      <w:r>
        <w:rPr>
          <w:rFonts w:hint="eastAsia" w:ascii="Times New Roman" w:hAnsi="Times New Roman" w:eastAsia="仿宋_GB2312" w:cs="仿宋_GB2312"/>
          <w:kern w:val="0"/>
          <w:sz w:val="32"/>
          <w:szCs w:val="32"/>
        </w:rPr>
        <w:t>年收支总预算6563.55万元，比2024年收支预算总数减少1596.06万元，主要</w:t>
      </w:r>
      <w:r>
        <w:rPr>
          <w:rFonts w:hint="eastAsia" w:ascii="Times New Roman" w:hAnsi="Times New Roman" w:eastAsia="仿宋_GB2312" w:cs="仿宋_GB2312"/>
          <w:kern w:val="0"/>
          <w:sz w:val="32"/>
          <w:szCs w:val="32"/>
          <w:lang w:eastAsia="zh-CN"/>
        </w:rPr>
        <w:t>原因是</w:t>
      </w:r>
      <w:r>
        <w:rPr>
          <w:rFonts w:hint="eastAsia" w:ascii="Times New Roman" w:hAnsi="Times New Roman" w:eastAsia="仿宋_GB2312" w:cs="仿宋_GB2312"/>
          <w:kern w:val="0"/>
          <w:sz w:val="32"/>
          <w:szCs w:val="32"/>
          <w:lang w:val="en-US" w:eastAsia="zh-CN"/>
        </w:rPr>
        <w:t>2025年基本公共卫生服务项目经费预算调减</w:t>
      </w:r>
      <w:r>
        <w:rPr>
          <w:rFonts w:hint="eastAsia" w:ascii="Times New Roman" w:hAnsi="Times New Roman" w:eastAsia="仿宋_GB2312" w:cs="仿宋_GB2312"/>
          <w:kern w:val="0"/>
          <w:sz w:val="32"/>
          <w:szCs w:val="32"/>
        </w:rPr>
        <w:t>。</w:t>
      </w:r>
    </w:p>
    <w:p w14:paraId="4291D8FD">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rPr>
      </w:pPr>
      <w:r>
        <w:rPr>
          <w:rFonts w:hint="eastAsia" w:ascii="Times New Roman" w:hAnsi="Times New Roman" w:eastAsia="楷体_GB2312" w:cs="Times New Roman"/>
          <w:b w:val="0"/>
          <w:bCs/>
          <w:sz w:val="32"/>
          <w:szCs w:val="32"/>
        </w:rPr>
        <w:t>（一）收入预算情况</w:t>
      </w:r>
    </w:p>
    <w:p w14:paraId="352F31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kern w:val="0"/>
          <w:sz w:val="32"/>
          <w:szCs w:val="32"/>
        </w:rPr>
      </w:pPr>
      <w:r>
        <w:rPr>
          <w:rFonts w:hint="eastAsia" w:ascii="Times New Roman" w:hAnsi="Times New Roman" w:eastAsia="仿宋_GB2312" w:cs="仿宋_GB2312"/>
          <w:kern w:val="0"/>
          <w:sz w:val="32"/>
          <w:szCs w:val="32"/>
          <w:lang w:eastAsia="zh-CN"/>
        </w:rPr>
        <w:t>峨边彝族自治县卫生健康局202</w:t>
      </w:r>
      <w:r>
        <w:rPr>
          <w:rFonts w:hint="eastAsia" w:ascii="Times New Roman" w:hAnsi="Times New Roman" w:eastAsia="仿宋_GB2312" w:cs="仿宋_GB2312"/>
          <w:kern w:val="0"/>
          <w:sz w:val="32"/>
          <w:szCs w:val="32"/>
          <w:lang w:val="en-US" w:eastAsia="zh-CN"/>
        </w:rPr>
        <w:t>5</w:t>
      </w:r>
      <w:r>
        <w:rPr>
          <w:rFonts w:hint="eastAsia" w:ascii="Times New Roman" w:hAnsi="Times New Roman" w:eastAsia="仿宋_GB2312" w:cs="仿宋_GB2312"/>
          <w:kern w:val="0"/>
          <w:sz w:val="32"/>
          <w:szCs w:val="32"/>
          <w:lang w:eastAsia="zh-CN"/>
        </w:rPr>
        <w:t>年收入预算6563.55万元，其中：上年结转102.48万元，占1.56%；一般公共预算拨款收入6461.07万元，占98.44%；政府性基金预算拨款收入0万元，占0.00%；事业收入0万元，占0.00%</w:t>
      </w:r>
      <w:r>
        <w:rPr>
          <w:rFonts w:hint="eastAsia" w:ascii="Times New Roman" w:hAnsi="Times New Roman" w:eastAsia="仿宋_GB2312" w:cs="仿宋_GB2312"/>
          <w:kern w:val="0"/>
          <w:sz w:val="32"/>
          <w:szCs w:val="32"/>
        </w:rPr>
        <w:t>。</w:t>
      </w:r>
    </w:p>
    <w:p w14:paraId="47CC3366">
      <w:pPr>
        <w:suppressAutoHyphens/>
        <w:spacing w:line="580" w:lineRule="exact"/>
        <w:ind w:firstLine="640" w:firstLineChars="200"/>
        <w:jc w:val="both"/>
        <w:outlineLvl w:val="2"/>
        <w:rPr>
          <w:rFonts w:hint="default" w:ascii="Times New Roman" w:hAnsi="Times New Roman" w:eastAsia="楷体_GB2312" w:cs="Times New Roman"/>
          <w:b w:val="0"/>
          <w:bCs/>
          <w:sz w:val="32"/>
          <w:szCs w:val="32"/>
          <w:lang w:val="en-US" w:eastAsia="zh-CN"/>
        </w:rPr>
      </w:pPr>
      <w:r>
        <w:rPr>
          <w:rFonts w:hint="eastAsia" w:ascii="Times New Roman" w:hAnsi="Times New Roman" w:eastAsia="楷体_GB2312" w:cs="Times New Roman"/>
          <w:b w:val="0"/>
          <w:bCs/>
          <w:sz w:val="32"/>
          <w:szCs w:val="32"/>
        </w:rPr>
        <w:t>（二）支出预算情况</w:t>
      </w:r>
    </w:p>
    <w:p w14:paraId="7A345E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kern w:val="0"/>
          <w:sz w:val="32"/>
          <w:szCs w:val="32"/>
        </w:rPr>
      </w:pPr>
      <w:r>
        <w:rPr>
          <w:rFonts w:hint="eastAsia" w:ascii="Times New Roman" w:hAnsi="Times New Roman" w:eastAsia="仿宋_GB2312" w:cs="仿宋_GB2312"/>
          <w:kern w:val="0"/>
          <w:sz w:val="32"/>
          <w:szCs w:val="32"/>
          <w:lang w:eastAsia="zh-CN"/>
        </w:rPr>
        <w:t>峨边彝族自治县卫生健康局2025年支出预算6563.55万元，其中：基本支出6018.67万元，占91.70%；项目支出544.88万元，占8.30%</w:t>
      </w:r>
      <w:r>
        <w:rPr>
          <w:rFonts w:hint="eastAsia" w:ascii="Times New Roman" w:hAnsi="Times New Roman" w:eastAsia="仿宋_GB2312" w:cs="仿宋_GB2312"/>
          <w:kern w:val="0"/>
          <w:sz w:val="32"/>
          <w:szCs w:val="32"/>
        </w:rPr>
        <w:t>。</w:t>
      </w:r>
      <w:bookmarkStart w:id="0" w:name="_GoBack"/>
      <w:bookmarkEnd w:id="0"/>
    </w:p>
    <w:p w14:paraId="39F15D54">
      <w:pPr>
        <w:pStyle w:val="4"/>
        <w:bidi w:val="0"/>
        <w:rPr>
          <w:rFonts w:hint="eastAsia" w:ascii="黑体" w:hAnsi="黑体" w:eastAsia="黑体" w:cs="黑体"/>
          <w:b w:val="0"/>
          <w:bCs/>
          <w:lang w:val="en-US" w:eastAsia="zh-CN"/>
        </w:rPr>
      </w:pPr>
      <w:r>
        <w:rPr>
          <w:rFonts w:hint="eastAsia" w:ascii="黑体" w:hAnsi="黑体" w:eastAsia="黑体" w:cs="黑体"/>
          <w:b w:val="0"/>
          <w:bCs/>
          <w:lang w:val="en-US" w:eastAsia="zh-CN"/>
        </w:rPr>
        <w:t>二、财政拨款收支预算情况说明</w:t>
      </w:r>
    </w:p>
    <w:p w14:paraId="2AFA51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kern w:val="0"/>
          <w:sz w:val="32"/>
          <w:szCs w:val="32"/>
          <w:lang w:val="en-US" w:eastAsia="zh-CN"/>
        </w:rPr>
      </w:pPr>
      <w:r>
        <w:rPr>
          <w:rFonts w:hint="eastAsia" w:ascii="Times New Roman" w:hAnsi="Times New Roman" w:eastAsia="仿宋_GB2312" w:cs="仿宋_GB2312"/>
          <w:kern w:val="0"/>
          <w:sz w:val="32"/>
          <w:szCs w:val="32"/>
          <w:lang w:eastAsia="zh-CN"/>
        </w:rPr>
        <w:t>峨边彝族自治县卫生健康局2025年财政拨款收支预算总数6563.55万元,比2024年财政拨款收支预算总数8159.61万元减少1596.06万元，主要原因是基本公共卫生服务项目经费预算调减</w:t>
      </w:r>
      <w:r>
        <w:rPr>
          <w:rFonts w:hint="eastAsia" w:ascii="Times New Roman" w:hAnsi="Times New Roman" w:eastAsia="仿宋_GB2312" w:cs="仿宋_GB2312"/>
          <w:kern w:val="0"/>
          <w:sz w:val="32"/>
          <w:szCs w:val="32"/>
          <w:lang w:val="en-US" w:eastAsia="zh-CN"/>
        </w:rPr>
        <w:t>。</w:t>
      </w:r>
    </w:p>
    <w:p w14:paraId="2926A8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kern w:val="0"/>
          <w:sz w:val="32"/>
          <w:szCs w:val="32"/>
        </w:rPr>
      </w:pPr>
      <w:r>
        <w:rPr>
          <w:rFonts w:hint="eastAsia" w:ascii="Times New Roman" w:hAnsi="Times New Roman" w:eastAsia="仿宋_GB2312" w:cs="仿宋_GB2312"/>
          <w:kern w:val="0"/>
          <w:sz w:val="32"/>
          <w:szCs w:val="32"/>
        </w:rPr>
        <w:t>收入包括：本年一般公共预算拨款收入6563.55万元；支出包括：一般公共服务支出5.6万元，社会保障和就业支出865.86万元、卫生健康支出5144.55万元，住房保障支出547.54万元</w:t>
      </w:r>
      <w:r>
        <w:rPr>
          <w:rFonts w:hint="eastAsia" w:ascii="Times New Roman" w:hAnsi="Times New Roman" w:eastAsia="仿宋_GB2312" w:cs="仿宋_GB2312"/>
          <w:kern w:val="0"/>
          <w:sz w:val="32"/>
          <w:szCs w:val="32"/>
          <w:lang w:eastAsia="zh-CN"/>
        </w:rPr>
        <w:t>。</w:t>
      </w:r>
    </w:p>
    <w:p w14:paraId="36E9EF1B">
      <w:pPr>
        <w:numPr>
          <w:ilvl w:val="0"/>
          <w:numId w:val="0"/>
        </w:numPr>
        <w:spacing w:line="600" w:lineRule="exact"/>
        <w:ind w:firstLine="640" w:firstLineChars="200"/>
        <w:rPr>
          <w:rStyle w:val="23"/>
          <w:rFonts w:hint="eastAsia" w:ascii="黑体" w:hAnsi="黑体" w:eastAsia="黑体" w:cs="黑体"/>
          <w:b w:val="0"/>
          <w:bCs/>
          <w:lang w:eastAsia="zh-CN"/>
        </w:rPr>
      </w:pPr>
      <w:r>
        <w:rPr>
          <w:rStyle w:val="23"/>
          <w:rFonts w:hint="eastAsia" w:ascii="黑体" w:hAnsi="黑体" w:eastAsia="黑体" w:cs="黑体"/>
          <w:b w:val="0"/>
          <w:bCs/>
        </w:rPr>
        <w:t>三、一般公共预算当年拨款情况说明</w:t>
      </w:r>
    </w:p>
    <w:p w14:paraId="6ABD7BC6">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（一）一般公共预算当年拨款规模及变化情况。</w:t>
      </w:r>
    </w:p>
    <w:p w14:paraId="1E3DAEE0">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eastAsia="zh-CN"/>
        </w:rPr>
        <w:t>峨边彝族自治县卫生和计划生育监督执法大队2025年一般公共预算当年拨款6461.07万元，较上年预算数减少1519.97万元。主要是基本公共卫生服务项目经费预算调减</w:t>
      </w:r>
      <w:r>
        <w:rPr>
          <w:rFonts w:hint="eastAsia" w:ascii="Times New Roman" w:hAnsi="Times New Roman" w:eastAsia="仿宋_GB2312" w:cs="仿宋_GB2312"/>
          <w:color w:val="000000"/>
          <w:kern w:val="0"/>
          <w:sz w:val="32"/>
          <w:szCs w:val="32"/>
        </w:rPr>
        <w:t>。</w:t>
      </w:r>
    </w:p>
    <w:p w14:paraId="50DA8C1F">
      <w:pPr>
        <w:numPr>
          <w:ilvl w:val="0"/>
          <w:numId w:val="0"/>
        </w:numPr>
        <w:spacing w:line="600" w:lineRule="exact"/>
        <w:ind w:firstLine="640" w:firstLineChars="200"/>
        <w:rPr>
          <w:rFonts w:hint="eastAsia" w:ascii="仿宋" w:hAnsi="仿宋" w:eastAsia="仿宋" w:cs="宋体"/>
          <w:color w:val="000000"/>
          <w:kern w:val="0"/>
          <w:sz w:val="32"/>
          <w:szCs w:val="32"/>
          <w:lang w:eastAsia="zh-CN"/>
        </w:rPr>
      </w:pPr>
      <w:r>
        <w:rPr>
          <w:rFonts w:hint="eastAsia" w:ascii="Times New Roman" w:hAnsi="Times New Roman" w:eastAsia="楷体_GB2312" w:cs="Times New Roman"/>
          <w:b w:val="0"/>
          <w:bCs/>
          <w:sz w:val="32"/>
          <w:szCs w:val="32"/>
        </w:rPr>
        <w:t>（二）一般公共预算当年拨款结构情况</w:t>
      </w:r>
      <w:r>
        <w:rPr>
          <w:rFonts w:hint="eastAsia" w:ascii="仿宋" w:hAnsi="仿宋" w:eastAsia="仿宋" w:cs="宋体"/>
          <w:color w:val="000000"/>
          <w:kern w:val="0"/>
          <w:sz w:val="32"/>
          <w:szCs w:val="32"/>
        </w:rPr>
        <w:t>。</w:t>
      </w:r>
    </w:p>
    <w:p w14:paraId="3D3C00A5">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rPr>
        <w:t>社会保障和就业支出865.86万元，占13.40%；卫生健康支出5047.67万元，占78.12%；住房保障支出547.54万元，占8.47%。</w:t>
      </w:r>
    </w:p>
    <w:p w14:paraId="3B0B1A29">
      <w:pPr>
        <w:numPr>
          <w:ilvl w:val="0"/>
          <w:numId w:val="0"/>
        </w:numPr>
        <w:spacing w:line="600" w:lineRule="exact"/>
        <w:ind w:firstLine="640" w:firstLineChars="200"/>
        <w:rPr>
          <w:rFonts w:hint="eastAsia" w:ascii="仿宋" w:hAnsi="仿宋" w:eastAsia="仿宋" w:cs="宋体"/>
          <w:color w:val="000000"/>
          <w:kern w:val="0"/>
          <w:sz w:val="32"/>
          <w:szCs w:val="32"/>
          <w:lang w:eastAsia="zh-CN"/>
        </w:rPr>
      </w:pPr>
      <w:r>
        <w:rPr>
          <w:rFonts w:hint="eastAsia" w:ascii="Times New Roman" w:hAnsi="Times New Roman" w:eastAsia="楷体_GB2312" w:cs="Times New Roman"/>
          <w:b w:val="0"/>
          <w:bCs/>
          <w:sz w:val="32"/>
          <w:szCs w:val="32"/>
        </w:rPr>
        <w:t>（三）一般公共预算当年拨款具体使用情况</w:t>
      </w:r>
    </w:p>
    <w:p w14:paraId="297B783F">
      <w:pPr>
        <w:numPr>
          <w:ilvl w:val="0"/>
          <w:numId w:val="0"/>
        </w:numPr>
        <w:spacing w:line="600" w:lineRule="exact"/>
        <w:ind w:firstLine="640" w:firstLineChars="200"/>
        <w:rPr>
          <w:rFonts w:hint="eastAsia" w:ascii="仿宋" w:hAnsi="仿宋" w:eastAsia="仿宋" w:cs="仿宋"/>
          <w:color w:val="000000"/>
          <w:kern w:val="0"/>
          <w:sz w:val="32"/>
          <w:szCs w:val="32"/>
          <w:lang w:eastAsia="zh-CN"/>
        </w:rPr>
      </w:pPr>
      <w:r>
        <w:rPr>
          <w:rFonts w:hint="eastAsia" w:ascii="仿宋" w:hAnsi="仿宋" w:cs="仿宋"/>
          <w:color w:val="000000"/>
          <w:kern w:val="0"/>
          <w:sz w:val="32"/>
          <w:szCs w:val="32"/>
          <w:lang w:val="en-US" w:eastAsia="zh-CN"/>
        </w:rPr>
        <w:t>1</w:t>
      </w:r>
      <w:r>
        <w:rPr>
          <w:rFonts w:hint="eastAsia" w:ascii="仿宋" w:hAnsi="仿宋" w:eastAsia="仿宋" w:cs="仿宋"/>
          <w:color w:val="000000"/>
          <w:kern w:val="0"/>
          <w:sz w:val="32"/>
          <w:szCs w:val="32"/>
        </w:rPr>
        <w:t>.社会保障和就业（类）行政事业单位养老支出（款）事业单位离退休（项）:</w:t>
      </w:r>
      <w:r>
        <w:rPr>
          <w:rFonts w:hint="eastAsia" w:ascii="仿宋" w:hAnsi="仿宋" w:eastAsia="仿宋" w:cs="仿宋"/>
          <w:color w:val="000000"/>
          <w:kern w:val="0"/>
          <w:sz w:val="32"/>
          <w:szCs w:val="32"/>
          <w:lang w:eastAsia="zh-CN"/>
        </w:rPr>
        <w:t>2025</w:t>
      </w:r>
      <w:r>
        <w:rPr>
          <w:rFonts w:hint="eastAsia" w:ascii="仿宋" w:hAnsi="仿宋" w:eastAsia="仿宋" w:cs="仿宋"/>
          <w:color w:val="000000"/>
          <w:kern w:val="0"/>
          <w:sz w:val="32"/>
          <w:szCs w:val="32"/>
        </w:rPr>
        <w:t>年预算数为</w:t>
      </w:r>
      <w:r>
        <w:rPr>
          <w:rFonts w:hint="eastAsia" w:ascii="仿宋" w:hAnsi="仿宋" w:eastAsia="仿宋" w:cs="仿宋"/>
          <w:color w:val="000000"/>
          <w:kern w:val="0"/>
          <w:sz w:val="32"/>
          <w:szCs w:val="32"/>
          <w:lang w:val="en-US" w:eastAsia="zh-CN"/>
        </w:rPr>
        <w:t>16.79</w:t>
      </w:r>
      <w:r>
        <w:rPr>
          <w:rFonts w:hint="eastAsia" w:ascii="仿宋" w:hAnsi="仿宋" w:eastAsia="仿宋" w:cs="仿宋"/>
          <w:color w:val="000000"/>
          <w:kern w:val="0"/>
          <w:sz w:val="32"/>
          <w:szCs w:val="32"/>
        </w:rPr>
        <w:t>万元，主要用于：事业单位（包括实行公务员管理的事业单位）开支的离退休经费。</w:t>
      </w:r>
    </w:p>
    <w:p w14:paraId="5176DCC8">
      <w:pPr>
        <w:numPr>
          <w:ilvl w:val="0"/>
          <w:numId w:val="0"/>
        </w:numPr>
        <w:spacing w:line="600" w:lineRule="exact"/>
        <w:ind w:firstLine="640" w:firstLineChars="200"/>
        <w:rPr>
          <w:rFonts w:hint="eastAsia" w:ascii="仿宋" w:hAnsi="仿宋" w:eastAsia="仿宋" w:cs="仿宋"/>
          <w:color w:val="000000"/>
          <w:kern w:val="0"/>
          <w:sz w:val="32"/>
          <w:szCs w:val="32"/>
          <w:lang w:eastAsia="zh-CN"/>
        </w:rPr>
      </w:pPr>
      <w:r>
        <w:rPr>
          <w:rFonts w:hint="eastAsia" w:ascii="仿宋" w:hAnsi="仿宋" w:cs="仿宋"/>
          <w:color w:val="000000"/>
          <w:kern w:val="0"/>
          <w:sz w:val="32"/>
          <w:szCs w:val="32"/>
          <w:lang w:val="en-US" w:eastAsia="zh-CN"/>
        </w:rPr>
        <w:t>2</w:t>
      </w:r>
      <w:r>
        <w:rPr>
          <w:rFonts w:hint="eastAsia" w:ascii="仿宋" w:hAnsi="仿宋" w:eastAsia="仿宋" w:cs="仿宋"/>
          <w:color w:val="000000"/>
          <w:kern w:val="0"/>
          <w:sz w:val="32"/>
          <w:szCs w:val="32"/>
        </w:rPr>
        <w:t>.社会保障和就业（类）行政事业单位养老支出（款）机关事业单位基本养老保险缴费支出（项）:</w:t>
      </w:r>
      <w:r>
        <w:rPr>
          <w:rFonts w:hint="eastAsia" w:ascii="仿宋" w:hAnsi="仿宋" w:eastAsia="仿宋" w:cs="仿宋"/>
          <w:color w:val="000000"/>
          <w:kern w:val="0"/>
          <w:sz w:val="32"/>
          <w:szCs w:val="32"/>
          <w:lang w:eastAsia="zh-CN"/>
        </w:rPr>
        <w:t>2025</w:t>
      </w:r>
      <w:r>
        <w:rPr>
          <w:rFonts w:hint="eastAsia" w:ascii="仿宋" w:hAnsi="仿宋" w:eastAsia="仿宋" w:cs="仿宋"/>
          <w:color w:val="000000"/>
          <w:kern w:val="0"/>
          <w:sz w:val="32"/>
          <w:szCs w:val="32"/>
        </w:rPr>
        <w:t>年预算数为</w:t>
      </w:r>
      <w:r>
        <w:rPr>
          <w:rFonts w:hint="eastAsia" w:ascii="仿宋" w:hAnsi="仿宋" w:eastAsia="仿宋" w:cs="仿宋"/>
          <w:color w:val="000000"/>
          <w:kern w:val="0"/>
          <w:sz w:val="32"/>
          <w:szCs w:val="32"/>
          <w:lang w:val="en-US" w:eastAsia="zh-CN"/>
        </w:rPr>
        <w:t>535.56</w:t>
      </w:r>
      <w:r>
        <w:rPr>
          <w:rFonts w:hint="eastAsia" w:ascii="仿宋" w:hAnsi="仿宋" w:eastAsia="仿宋" w:cs="仿宋"/>
          <w:color w:val="000000"/>
          <w:kern w:val="0"/>
          <w:sz w:val="32"/>
          <w:szCs w:val="32"/>
        </w:rPr>
        <w:t>万元，主要用于：实施养老保险制度后，部门按规定由单位缴纳的基本养老保险费支出。</w:t>
      </w:r>
    </w:p>
    <w:p w14:paraId="391E0A8E">
      <w:pPr>
        <w:numPr>
          <w:ilvl w:val="0"/>
          <w:numId w:val="0"/>
        </w:numPr>
        <w:spacing w:line="600" w:lineRule="exact"/>
        <w:ind w:firstLine="640" w:firstLineChars="200"/>
        <w:rPr>
          <w:rFonts w:hint="eastAsia" w:ascii="仿宋" w:hAnsi="仿宋" w:eastAsia="仿宋" w:cs="仿宋"/>
          <w:color w:val="000000"/>
          <w:kern w:val="0"/>
          <w:sz w:val="32"/>
          <w:szCs w:val="32"/>
          <w:lang w:eastAsia="zh-CN"/>
        </w:rPr>
      </w:pPr>
      <w:r>
        <w:rPr>
          <w:rFonts w:hint="eastAsia" w:ascii="仿宋" w:hAnsi="仿宋" w:cs="仿宋"/>
          <w:color w:val="000000"/>
          <w:kern w:val="0"/>
          <w:sz w:val="32"/>
          <w:szCs w:val="32"/>
          <w:lang w:val="en-US" w:eastAsia="zh-CN"/>
        </w:rPr>
        <w:t>3</w:t>
      </w:r>
      <w:r>
        <w:rPr>
          <w:rFonts w:hint="eastAsia" w:ascii="仿宋" w:hAnsi="仿宋" w:eastAsia="仿宋" w:cs="仿宋"/>
          <w:color w:val="000000"/>
          <w:kern w:val="0"/>
          <w:sz w:val="32"/>
          <w:szCs w:val="32"/>
        </w:rPr>
        <w:t>.社会保障和就业（类）行政事业单位养老支出（款）机关事业单位职业年金缴费支出（项）:202</w:t>
      </w:r>
      <w:r>
        <w:rPr>
          <w:rFonts w:hint="eastAsia"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rPr>
        <w:t>年预算数为</w:t>
      </w:r>
      <w:r>
        <w:rPr>
          <w:rFonts w:hint="eastAsia" w:ascii="仿宋" w:hAnsi="仿宋" w:eastAsia="仿宋" w:cs="仿宋"/>
          <w:color w:val="000000"/>
          <w:kern w:val="0"/>
          <w:sz w:val="32"/>
          <w:szCs w:val="32"/>
          <w:lang w:val="en-US" w:eastAsia="zh-CN"/>
        </w:rPr>
        <w:t>267.78</w:t>
      </w:r>
      <w:r>
        <w:rPr>
          <w:rFonts w:hint="eastAsia" w:ascii="仿宋" w:hAnsi="仿宋" w:eastAsia="仿宋" w:cs="仿宋"/>
          <w:color w:val="000000"/>
          <w:kern w:val="0"/>
          <w:sz w:val="32"/>
          <w:szCs w:val="32"/>
        </w:rPr>
        <w:t>万元，主要用于：实施养老保险制度后，部门按规定由单位缴纳的职业年金支出。</w:t>
      </w:r>
    </w:p>
    <w:p w14:paraId="54CE8CF4">
      <w:pPr>
        <w:numPr>
          <w:ilvl w:val="0"/>
          <w:numId w:val="0"/>
        </w:numPr>
        <w:spacing w:line="600" w:lineRule="exact"/>
        <w:ind w:firstLine="640" w:firstLineChars="200"/>
        <w:rPr>
          <w:rFonts w:hint="eastAsia" w:ascii="仿宋" w:hAnsi="仿宋" w:eastAsia="仿宋" w:cs="仿宋"/>
          <w:color w:val="000000"/>
          <w:kern w:val="0"/>
          <w:sz w:val="32"/>
          <w:szCs w:val="32"/>
          <w:lang w:eastAsia="zh-CN"/>
        </w:rPr>
      </w:pPr>
      <w:r>
        <w:rPr>
          <w:rFonts w:hint="eastAsia" w:ascii="仿宋" w:hAnsi="仿宋" w:cs="仿宋"/>
          <w:color w:val="000000"/>
          <w:kern w:val="0"/>
          <w:sz w:val="32"/>
          <w:szCs w:val="32"/>
          <w:lang w:val="en-US" w:eastAsia="zh-CN"/>
        </w:rPr>
        <w:t>4</w:t>
      </w:r>
      <w:r>
        <w:rPr>
          <w:rFonts w:hint="eastAsia" w:ascii="仿宋" w:hAnsi="仿宋" w:eastAsia="仿宋" w:cs="仿宋"/>
          <w:color w:val="000000"/>
          <w:kern w:val="0"/>
          <w:sz w:val="32"/>
          <w:szCs w:val="32"/>
        </w:rPr>
        <w:t>.社会保障和就业（类）其他社会保障和就业支出（款）其他社会保障和就业支出（项）:202</w:t>
      </w:r>
      <w:r>
        <w:rPr>
          <w:rFonts w:hint="eastAsia"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rPr>
        <w:t>年预算数为4</w:t>
      </w:r>
      <w:r>
        <w:rPr>
          <w:rFonts w:hint="eastAsia" w:ascii="仿宋" w:hAnsi="仿宋" w:eastAsia="仿宋" w:cs="仿宋"/>
          <w:color w:val="000000"/>
          <w:kern w:val="0"/>
          <w:sz w:val="32"/>
          <w:szCs w:val="32"/>
          <w:lang w:val="en-US" w:eastAsia="zh-CN"/>
        </w:rPr>
        <w:t>5.74</w:t>
      </w:r>
      <w:r>
        <w:rPr>
          <w:rFonts w:hint="eastAsia" w:ascii="仿宋" w:hAnsi="仿宋" w:eastAsia="仿宋" w:cs="仿宋"/>
          <w:color w:val="000000"/>
          <w:kern w:val="0"/>
          <w:sz w:val="32"/>
          <w:szCs w:val="32"/>
        </w:rPr>
        <w:t>万元，主要用于：其他社会保障和就业方面的支出。</w:t>
      </w:r>
    </w:p>
    <w:p w14:paraId="2149505C">
      <w:pPr>
        <w:numPr>
          <w:ilvl w:val="0"/>
          <w:numId w:val="0"/>
        </w:numPr>
        <w:spacing w:line="600" w:lineRule="exact"/>
        <w:ind w:firstLine="640" w:firstLineChars="200"/>
        <w:rPr>
          <w:rFonts w:hint="eastAsia" w:ascii="仿宋" w:hAnsi="仿宋" w:eastAsia="仿宋" w:cs="仿宋"/>
          <w:color w:val="000000"/>
          <w:kern w:val="0"/>
          <w:sz w:val="32"/>
          <w:szCs w:val="32"/>
          <w:lang w:eastAsia="zh-CN"/>
        </w:rPr>
      </w:pPr>
      <w:r>
        <w:rPr>
          <w:rFonts w:hint="eastAsia" w:ascii="仿宋" w:hAnsi="仿宋" w:cs="仿宋"/>
          <w:color w:val="000000"/>
          <w:kern w:val="0"/>
          <w:sz w:val="32"/>
          <w:szCs w:val="32"/>
          <w:lang w:val="en-US" w:eastAsia="zh-CN"/>
        </w:rPr>
        <w:t>5</w:t>
      </w:r>
      <w:r>
        <w:rPr>
          <w:rFonts w:hint="eastAsia" w:ascii="仿宋" w:hAnsi="仿宋" w:eastAsia="仿宋" w:cs="仿宋"/>
          <w:color w:val="000000"/>
          <w:kern w:val="0"/>
          <w:sz w:val="32"/>
          <w:szCs w:val="32"/>
        </w:rPr>
        <w:t>.卫生健康支出（类）卫生健康管理事务（款）行政运行（项）:202</w:t>
      </w:r>
      <w:r>
        <w:rPr>
          <w:rFonts w:hint="eastAsia"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rPr>
        <w:t>年预算数为</w:t>
      </w:r>
      <w:r>
        <w:rPr>
          <w:rFonts w:hint="eastAsia" w:ascii="仿宋" w:hAnsi="仿宋" w:eastAsia="仿宋" w:cs="仿宋"/>
          <w:color w:val="000000"/>
          <w:kern w:val="0"/>
          <w:sz w:val="32"/>
          <w:szCs w:val="32"/>
          <w:lang w:val="en-US" w:eastAsia="zh-CN"/>
        </w:rPr>
        <w:t>167.38</w:t>
      </w:r>
      <w:r>
        <w:rPr>
          <w:rFonts w:hint="eastAsia" w:ascii="仿宋" w:hAnsi="仿宋" w:eastAsia="仿宋" w:cs="仿宋"/>
          <w:color w:val="000000"/>
          <w:kern w:val="0"/>
          <w:sz w:val="32"/>
          <w:szCs w:val="32"/>
        </w:rPr>
        <w:t>万元，主要用于：卫生健康部门的基本支出。</w:t>
      </w:r>
    </w:p>
    <w:p w14:paraId="2DD18A66">
      <w:pPr>
        <w:numPr>
          <w:ilvl w:val="0"/>
          <w:numId w:val="0"/>
        </w:numPr>
        <w:spacing w:line="600" w:lineRule="exact"/>
        <w:ind w:firstLine="640" w:firstLineChars="200"/>
        <w:rPr>
          <w:rFonts w:hint="eastAsia" w:ascii="仿宋" w:hAnsi="仿宋" w:eastAsia="仿宋" w:cs="仿宋"/>
          <w:color w:val="000000"/>
          <w:kern w:val="0"/>
          <w:sz w:val="32"/>
          <w:szCs w:val="32"/>
          <w:lang w:eastAsia="zh-CN"/>
        </w:rPr>
      </w:pPr>
      <w:r>
        <w:rPr>
          <w:rFonts w:hint="eastAsia" w:ascii="仿宋" w:hAnsi="仿宋" w:cs="仿宋"/>
          <w:color w:val="000000"/>
          <w:kern w:val="0"/>
          <w:sz w:val="32"/>
          <w:szCs w:val="32"/>
          <w:lang w:val="en-US" w:eastAsia="zh-CN"/>
        </w:rPr>
        <w:t>6</w:t>
      </w:r>
      <w:r>
        <w:rPr>
          <w:rFonts w:hint="eastAsia" w:ascii="仿宋" w:hAnsi="仿宋" w:eastAsia="仿宋" w:cs="仿宋"/>
          <w:color w:val="000000"/>
          <w:kern w:val="0"/>
          <w:sz w:val="32"/>
          <w:szCs w:val="32"/>
        </w:rPr>
        <w:t>.卫生健康支出（类）卫生健康管理事务（款）其他卫生健康管理事务支出（项）:202</w:t>
      </w:r>
      <w:r>
        <w:rPr>
          <w:rFonts w:hint="eastAsia"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rPr>
        <w:t>年预算数为195.</w:t>
      </w:r>
      <w:r>
        <w:rPr>
          <w:rFonts w:hint="eastAsia" w:ascii="仿宋" w:hAnsi="仿宋" w:eastAsia="仿宋" w:cs="仿宋"/>
          <w:color w:val="000000"/>
          <w:kern w:val="0"/>
          <w:sz w:val="32"/>
          <w:szCs w:val="32"/>
          <w:lang w:val="en-US" w:eastAsia="zh-CN"/>
        </w:rPr>
        <w:t>26</w:t>
      </w:r>
      <w:r>
        <w:rPr>
          <w:rFonts w:hint="eastAsia" w:ascii="仿宋" w:hAnsi="仿宋" w:eastAsia="仿宋" w:cs="仿宋"/>
          <w:color w:val="000000"/>
          <w:kern w:val="0"/>
          <w:sz w:val="32"/>
          <w:szCs w:val="32"/>
        </w:rPr>
        <w:t>万元，主要用于：其他用于卫生健康管理事务方面的支出。</w:t>
      </w:r>
    </w:p>
    <w:p w14:paraId="5FB00A20">
      <w:pPr>
        <w:numPr>
          <w:ilvl w:val="0"/>
          <w:numId w:val="0"/>
        </w:numPr>
        <w:spacing w:line="600" w:lineRule="exact"/>
        <w:ind w:firstLine="640" w:firstLineChars="200"/>
        <w:rPr>
          <w:rFonts w:hint="eastAsia" w:ascii="仿宋" w:hAnsi="仿宋" w:eastAsia="仿宋" w:cs="仿宋"/>
          <w:color w:val="000000"/>
          <w:kern w:val="0"/>
          <w:sz w:val="32"/>
          <w:szCs w:val="32"/>
          <w:lang w:eastAsia="zh-CN"/>
        </w:rPr>
      </w:pPr>
      <w:r>
        <w:rPr>
          <w:rFonts w:hint="eastAsia" w:ascii="仿宋" w:hAnsi="仿宋" w:cs="仿宋"/>
          <w:color w:val="000000"/>
          <w:kern w:val="0"/>
          <w:sz w:val="32"/>
          <w:szCs w:val="32"/>
          <w:lang w:val="en-US" w:eastAsia="zh-CN"/>
        </w:rPr>
        <w:t>7</w:t>
      </w:r>
      <w:r>
        <w:rPr>
          <w:rFonts w:hint="eastAsia" w:ascii="仿宋" w:hAnsi="仿宋" w:eastAsia="仿宋" w:cs="仿宋"/>
          <w:color w:val="000000"/>
          <w:kern w:val="0"/>
          <w:sz w:val="32"/>
          <w:szCs w:val="32"/>
        </w:rPr>
        <w:t>.卫生健康支出（类）公立医院（款）综合医院（项）:202</w:t>
      </w:r>
      <w:r>
        <w:rPr>
          <w:rFonts w:hint="eastAsia"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rPr>
        <w:t>年预算数为11</w:t>
      </w:r>
      <w:r>
        <w:rPr>
          <w:rFonts w:hint="eastAsia" w:ascii="仿宋" w:hAnsi="仿宋" w:eastAsia="仿宋" w:cs="仿宋"/>
          <w:color w:val="000000"/>
          <w:kern w:val="0"/>
          <w:sz w:val="32"/>
          <w:szCs w:val="32"/>
          <w:lang w:val="en-US" w:eastAsia="zh-CN"/>
        </w:rPr>
        <w:t>46.47</w:t>
      </w:r>
      <w:r>
        <w:rPr>
          <w:rFonts w:hint="eastAsia" w:ascii="仿宋" w:hAnsi="仿宋" w:eastAsia="仿宋" w:cs="仿宋"/>
          <w:color w:val="000000"/>
          <w:kern w:val="0"/>
          <w:sz w:val="32"/>
          <w:szCs w:val="32"/>
        </w:rPr>
        <w:t>万元，主要用于：县人民医院的支出。</w:t>
      </w:r>
    </w:p>
    <w:p w14:paraId="51B4F658">
      <w:pPr>
        <w:numPr>
          <w:ilvl w:val="0"/>
          <w:numId w:val="0"/>
        </w:numPr>
        <w:spacing w:line="600" w:lineRule="exact"/>
        <w:ind w:firstLine="640" w:firstLineChars="200"/>
        <w:rPr>
          <w:rFonts w:hint="eastAsia" w:ascii="仿宋" w:hAnsi="仿宋" w:eastAsia="仿宋" w:cs="仿宋"/>
          <w:color w:val="000000"/>
          <w:kern w:val="0"/>
          <w:sz w:val="32"/>
          <w:szCs w:val="32"/>
        </w:rPr>
      </w:pPr>
      <w:r>
        <w:rPr>
          <w:rFonts w:hint="eastAsia" w:ascii="仿宋" w:hAnsi="仿宋" w:cs="仿宋"/>
          <w:color w:val="000000"/>
          <w:kern w:val="0"/>
          <w:sz w:val="32"/>
          <w:szCs w:val="32"/>
          <w:lang w:val="en-US" w:eastAsia="zh-CN"/>
        </w:rPr>
        <w:t>8</w:t>
      </w:r>
      <w:r>
        <w:rPr>
          <w:rFonts w:hint="eastAsia" w:ascii="仿宋" w:hAnsi="仿宋" w:eastAsia="仿宋" w:cs="仿宋"/>
          <w:color w:val="000000"/>
          <w:kern w:val="0"/>
          <w:sz w:val="32"/>
          <w:szCs w:val="32"/>
        </w:rPr>
        <w:t>.卫生健康支出（类）公立医院（款）中医（民族）医院（项）:202</w:t>
      </w:r>
      <w:r>
        <w:rPr>
          <w:rFonts w:hint="eastAsia"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rPr>
        <w:t>年预算数为591.</w:t>
      </w:r>
      <w:r>
        <w:rPr>
          <w:rFonts w:hint="eastAsia" w:ascii="仿宋" w:hAnsi="仿宋" w:eastAsia="仿宋" w:cs="仿宋"/>
          <w:color w:val="000000"/>
          <w:kern w:val="0"/>
          <w:sz w:val="32"/>
          <w:szCs w:val="32"/>
          <w:lang w:val="en-US" w:eastAsia="zh-CN"/>
        </w:rPr>
        <w:t>61</w:t>
      </w:r>
      <w:r>
        <w:rPr>
          <w:rFonts w:hint="eastAsia" w:ascii="仿宋" w:hAnsi="仿宋" w:eastAsia="仿宋" w:cs="仿宋"/>
          <w:color w:val="000000"/>
          <w:kern w:val="0"/>
          <w:sz w:val="32"/>
          <w:szCs w:val="32"/>
        </w:rPr>
        <w:t>万元，主要用于：县中医医院的支出。</w:t>
      </w:r>
    </w:p>
    <w:p w14:paraId="07677700">
      <w:pPr>
        <w:rPr>
          <w:rFonts w:hint="eastAsia" w:ascii="仿宋" w:hAnsi="仿宋" w:eastAsia="仿宋" w:cs="仿宋"/>
          <w:color w:val="000000"/>
          <w:kern w:val="0"/>
          <w:sz w:val="32"/>
          <w:szCs w:val="32"/>
          <w:lang w:eastAsia="zh-CN"/>
        </w:rPr>
      </w:pPr>
      <w:r>
        <w:rPr>
          <w:rFonts w:hint="eastAsia" w:ascii="仿宋" w:hAnsi="仿宋" w:cs="仿宋"/>
          <w:color w:val="000000"/>
          <w:kern w:val="0"/>
          <w:sz w:val="32"/>
          <w:szCs w:val="32"/>
          <w:lang w:val="en-US" w:eastAsia="zh-CN"/>
        </w:rPr>
        <w:t>9</w:t>
      </w:r>
      <w:r>
        <w:rPr>
          <w:rFonts w:hint="eastAsia" w:ascii="仿宋" w:hAnsi="仿宋" w:eastAsia="仿宋" w:cs="仿宋"/>
          <w:color w:val="000000"/>
          <w:kern w:val="0"/>
          <w:sz w:val="32"/>
          <w:szCs w:val="32"/>
          <w:lang w:eastAsia="zh-CN"/>
        </w:rPr>
        <w:t>.卫生健康支出（类）基层医疗卫生机构（款）乡镇卫生院（项）:202</w:t>
      </w:r>
      <w:r>
        <w:rPr>
          <w:rFonts w:hint="eastAsia"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lang w:eastAsia="zh-CN"/>
        </w:rPr>
        <w:t>年预算数为</w:t>
      </w:r>
      <w:r>
        <w:rPr>
          <w:rFonts w:hint="eastAsia" w:ascii="仿宋" w:hAnsi="仿宋" w:eastAsia="仿宋" w:cs="仿宋"/>
          <w:color w:val="000000"/>
          <w:kern w:val="0"/>
          <w:sz w:val="32"/>
          <w:szCs w:val="32"/>
          <w:lang w:val="en-US" w:eastAsia="zh-CN"/>
        </w:rPr>
        <w:t>1660.38</w:t>
      </w:r>
      <w:r>
        <w:rPr>
          <w:rFonts w:hint="eastAsia" w:ascii="仿宋" w:hAnsi="仿宋" w:eastAsia="仿宋" w:cs="仿宋"/>
          <w:color w:val="000000"/>
          <w:kern w:val="0"/>
          <w:sz w:val="32"/>
          <w:szCs w:val="32"/>
          <w:lang w:eastAsia="zh-CN"/>
        </w:rPr>
        <w:t>万元，主要用于：乡镇卫生院的支出。</w:t>
      </w:r>
    </w:p>
    <w:p w14:paraId="4F41E408">
      <w:pPr>
        <w:spacing w:line="60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1</w:t>
      </w:r>
      <w:r>
        <w:rPr>
          <w:rFonts w:hint="eastAsia" w:ascii="仿宋" w:hAnsi="仿宋" w:cs="仿宋"/>
          <w:kern w:val="0"/>
          <w:sz w:val="32"/>
          <w:szCs w:val="32"/>
          <w:lang w:val="en-US" w:eastAsia="zh-CN"/>
        </w:rPr>
        <w:t>0</w:t>
      </w:r>
      <w:r>
        <w:rPr>
          <w:rFonts w:hint="eastAsia" w:ascii="仿宋" w:hAnsi="仿宋" w:eastAsia="仿宋" w:cs="仿宋"/>
          <w:kern w:val="0"/>
          <w:sz w:val="32"/>
          <w:szCs w:val="32"/>
        </w:rPr>
        <w:t>.卫生健康支出（类）基层医疗卫生机构（款）其他基层医疗卫生机构支出（项）:202</w:t>
      </w:r>
      <w:r>
        <w:rPr>
          <w:rFonts w:hint="eastAsia" w:ascii="仿宋" w:hAnsi="仿宋" w:eastAsia="仿宋" w:cs="仿宋"/>
          <w:kern w:val="0"/>
          <w:sz w:val="32"/>
          <w:szCs w:val="32"/>
          <w:lang w:val="en-US" w:eastAsia="zh-CN"/>
        </w:rPr>
        <w:t>5</w:t>
      </w:r>
      <w:r>
        <w:rPr>
          <w:rFonts w:hint="eastAsia" w:ascii="仿宋" w:hAnsi="仿宋" w:eastAsia="仿宋" w:cs="仿宋"/>
          <w:kern w:val="0"/>
          <w:sz w:val="32"/>
          <w:szCs w:val="32"/>
        </w:rPr>
        <w:t>年预算数为1</w:t>
      </w:r>
      <w:r>
        <w:rPr>
          <w:rFonts w:hint="eastAsia" w:ascii="仿宋" w:hAnsi="仿宋" w:eastAsia="仿宋" w:cs="仿宋"/>
          <w:kern w:val="0"/>
          <w:sz w:val="32"/>
          <w:szCs w:val="32"/>
          <w:lang w:val="en-US" w:eastAsia="zh-CN"/>
        </w:rPr>
        <w:t>50.00</w:t>
      </w:r>
      <w:r>
        <w:rPr>
          <w:rFonts w:hint="eastAsia" w:ascii="仿宋" w:hAnsi="仿宋" w:eastAsia="仿宋" w:cs="仿宋"/>
          <w:kern w:val="0"/>
          <w:sz w:val="32"/>
          <w:szCs w:val="32"/>
        </w:rPr>
        <w:t>万元，主要用于：乡镇卫生院的其他支出。</w:t>
      </w:r>
    </w:p>
    <w:p w14:paraId="71F3C7E9">
      <w:pPr>
        <w:rPr>
          <w:rFonts w:hint="eastAsia" w:ascii="仿宋" w:hAnsi="仿宋" w:eastAsia="仿宋" w:cs="仿宋"/>
          <w:color w:val="000000"/>
          <w:kern w:val="0"/>
          <w:sz w:val="32"/>
          <w:szCs w:val="32"/>
          <w:lang w:eastAsia="zh-CN"/>
        </w:rPr>
      </w:pPr>
      <w:r>
        <w:rPr>
          <w:rFonts w:hint="eastAsia" w:ascii="仿宋" w:hAnsi="仿宋" w:eastAsia="仿宋" w:cs="仿宋"/>
          <w:color w:val="000000"/>
          <w:kern w:val="0"/>
          <w:sz w:val="32"/>
          <w:szCs w:val="32"/>
          <w:lang w:eastAsia="zh-CN"/>
        </w:rPr>
        <w:t>1</w:t>
      </w:r>
      <w:r>
        <w:rPr>
          <w:rFonts w:hint="eastAsia" w:ascii="仿宋" w:hAnsi="仿宋" w:cs="仿宋"/>
          <w:color w:val="000000"/>
          <w:kern w:val="0"/>
          <w:sz w:val="32"/>
          <w:szCs w:val="32"/>
          <w:lang w:val="en-US" w:eastAsia="zh-CN"/>
        </w:rPr>
        <w:t>1</w:t>
      </w:r>
      <w:r>
        <w:rPr>
          <w:rFonts w:hint="eastAsia" w:ascii="仿宋" w:hAnsi="仿宋" w:eastAsia="仿宋" w:cs="仿宋"/>
          <w:color w:val="000000"/>
          <w:kern w:val="0"/>
          <w:sz w:val="32"/>
          <w:szCs w:val="32"/>
          <w:lang w:eastAsia="zh-CN"/>
        </w:rPr>
        <w:t>.卫生健康支出（类）公共卫生（款）疾病预防控制机构（项）:202</w:t>
      </w:r>
      <w:r>
        <w:rPr>
          <w:rFonts w:hint="eastAsia"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lang w:eastAsia="zh-CN"/>
        </w:rPr>
        <w:t>年预算数为</w:t>
      </w:r>
      <w:r>
        <w:rPr>
          <w:rFonts w:hint="eastAsia" w:ascii="仿宋" w:hAnsi="仿宋" w:eastAsia="仿宋" w:cs="仿宋"/>
          <w:color w:val="000000"/>
          <w:kern w:val="0"/>
          <w:sz w:val="32"/>
          <w:szCs w:val="32"/>
          <w:lang w:val="en-US" w:eastAsia="zh-CN"/>
        </w:rPr>
        <w:t>289.81</w:t>
      </w:r>
      <w:r>
        <w:rPr>
          <w:rFonts w:hint="eastAsia" w:ascii="仿宋" w:hAnsi="仿宋" w:eastAsia="仿宋" w:cs="仿宋"/>
          <w:color w:val="000000"/>
          <w:kern w:val="0"/>
          <w:sz w:val="32"/>
          <w:szCs w:val="32"/>
          <w:lang w:eastAsia="zh-CN"/>
        </w:rPr>
        <w:t>万元，主要用于：疾病预防控制机构的支出。</w:t>
      </w:r>
    </w:p>
    <w:p w14:paraId="26EFEBBD">
      <w:pPr>
        <w:rPr>
          <w:rFonts w:hint="eastAsia" w:ascii="仿宋" w:hAnsi="仿宋" w:eastAsia="仿宋" w:cs="仿宋"/>
          <w:color w:val="000000"/>
          <w:kern w:val="0"/>
          <w:sz w:val="32"/>
          <w:szCs w:val="32"/>
          <w:lang w:eastAsia="zh-CN"/>
        </w:rPr>
      </w:pPr>
      <w:r>
        <w:rPr>
          <w:rFonts w:hint="eastAsia" w:ascii="仿宋" w:hAnsi="仿宋" w:eastAsia="仿宋" w:cs="仿宋"/>
          <w:color w:val="000000"/>
          <w:kern w:val="0"/>
          <w:sz w:val="32"/>
          <w:szCs w:val="32"/>
          <w:lang w:eastAsia="zh-CN"/>
        </w:rPr>
        <w:t>1</w:t>
      </w:r>
      <w:r>
        <w:rPr>
          <w:rFonts w:hint="eastAsia" w:ascii="仿宋" w:hAnsi="仿宋" w:cs="仿宋"/>
          <w:color w:val="000000"/>
          <w:kern w:val="0"/>
          <w:sz w:val="32"/>
          <w:szCs w:val="32"/>
          <w:lang w:val="en-US" w:eastAsia="zh-CN"/>
        </w:rPr>
        <w:t>2</w:t>
      </w:r>
      <w:r>
        <w:rPr>
          <w:rFonts w:hint="eastAsia" w:ascii="仿宋" w:hAnsi="仿宋" w:eastAsia="仿宋" w:cs="仿宋"/>
          <w:color w:val="000000"/>
          <w:kern w:val="0"/>
          <w:sz w:val="32"/>
          <w:szCs w:val="32"/>
          <w:lang w:eastAsia="zh-CN"/>
        </w:rPr>
        <w:t>.卫生健康支出（类）公共卫生（款）卫生监督机构（项）:202</w:t>
      </w:r>
      <w:r>
        <w:rPr>
          <w:rFonts w:hint="eastAsia"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lang w:eastAsia="zh-CN"/>
        </w:rPr>
        <w:t>年预算数为</w:t>
      </w:r>
      <w:r>
        <w:rPr>
          <w:rFonts w:hint="eastAsia" w:ascii="仿宋" w:hAnsi="仿宋" w:eastAsia="仿宋" w:cs="仿宋"/>
          <w:color w:val="000000"/>
          <w:kern w:val="0"/>
          <w:sz w:val="32"/>
          <w:szCs w:val="32"/>
          <w:lang w:val="en-US" w:eastAsia="zh-CN"/>
        </w:rPr>
        <w:t>100.58</w:t>
      </w:r>
      <w:r>
        <w:rPr>
          <w:rFonts w:hint="eastAsia" w:ascii="仿宋" w:hAnsi="仿宋" w:eastAsia="仿宋" w:cs="仿宋"/>
          <w:color w:val="000000"/>
          <w:kern w:val="0"/>
          <w:sz w:val="32"/>
          <w:szCs w:val="32"/>
          <w:lang w:eastAsia="zh-CN"/>
        </w:rPr>
        <w:t>万元，主要用于：卫生健康部门所属卫生监督机构的支出。</w:t>
      </w:r>
    </w:p>
    <w:p w14:paraId="71146B02">
      <w:pPr>
        <w:rPr>
          <w:rFonts w:hint="eastAsia" w:ascii="仿宋" w:hAnsi="仿宋" w:eastAsia="仿宋" w:cs="仿宋"/>
          <w:color w:val="000000"/>
          <w:kern w:val="0"/>
          <w:sz w:val="32"/>
          <w:szCs w:val="32"/>
          <w:lang w:eastAsia="zh-CN"/>
        </w:rPr>
      </w:pPr>
      <w:r>
        <w:rPr>
          <w:rFonts w:hint="eastAsia" w:ascii="仿宋" w:hAnsi="仿宋" w:eastAsia="仿宋" w:cs="仿宋"/>
          <w:color w:val="000000"/>
          <w:kern w:val="0"/>
          <w:sz w:val="32"/>
          <w:szCs w:val="32"/>
          <w:lang w:eastAsia="zh-CN"/>
        </w:rPr>
        <w:t>1</w:t>
      </w:r>
      <w:r>
        <w:rPr>
          <w:rFonts w:hint="eastAsia" w:ascii="仿宋" w:hAnsi="仿宋" w:cs="仿宋"/>
          <w:color w:val="000000"/>
          <w:kern w:val="0"/>
          <w:sz w:val="32"/>
          <w:szCs w:val="32"/>
          <w:lang w:val="en-US" w:eastAsia="zh-CN"/>
        </w:rPr>
        <w:t>3</w:t>
      </w:r>
      <w:r>
        <w:rPr>
          <w:rFonts w:hint="eastAsia" w:ascii="仿宋" w:hAnsi="仿宋" w:eastAsia="仿宋" w:cs="仿宋"/>
          <w:color w:val="000000"/>
          <w:kern w:val="0"/>
          <w:sz w:val="32"/>
          <w:szCs w:val="32"/>
          <w:lang w:eastAsia="zh-CN"/>
        </w:rPr>
        <w:t>.卫生健康支出（类）公共卫生（款）妇幼保健机构（项）:202</w:t>
      </w:r>
      <w:r>
        <w:rPr>
          <w:rFonts w:hint="eastAsia"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lang w:eastAsia="zh-CN"/>
        </w:rPr>
        <w:t>年预算数为2</w:t>
      </w:r>
      <w:r>
        <w:rPr>
          <w:rFonts w:hint="eastAsia" w:ascii="仿宋" w:hAnsi="仿宋" w:eastAsia="仿宋" w:cs="仿宋"/>
          <w:color w:val="000000"/>
          <w:kern w:val="0"/>
          <w:sz w:val="32"/>
          <w:szCs w:val="32"/>
          <w:lang w:val="en-US" w:eastAsia="zh-CN"/>
        </w:rPr>
        <w:t>50.59</w:t>
      </w:r>
      <w:r>
        <w:rPr>
          <w:rFonts w:hint="eastAsia" w:ascii="仿宋" w:hAnsi="仿宋" w:eastAsia="仿宋" w:cs="仿宋"/>
          <w:color w:val="000000"/>
          <w:kern w:val="0"/>
          <w:sz w:val="32"/>
          <w:szCs w:val="32"/>
          <w:lang w:eastAsia="zh-CN"/>
        </w:rPr>
        <w:t>万元，主要用于：卫生健康部门所属妇幼保健机构的支出。</w:t>
      </w:r>
    </w:p>
    <w:p w14:paraId="2943B71C">
      <w:pPr>
        <w:rPr>
          <w:rFonts w:hint="eastAsia" w:ascii="仿宋" w:hAnsi="仿宋" w:eastAsia="仿宋" w:cs="仿宋"/>
          <w:color w:val="000000"/>
          <w:kern w:val="0"/>
          <w:sz w:val="32"/>
          <w:szCs w:val="32"/>
          <w:lang w:eastAsia="zh-CN"/>
        </w:rPr>
      </w:pPr>
      <w:r>
        <w:rPr>
          <w:rFonts w:hint="eastAsia" w:ascii="仿宋" w:hAnsi="仿宋" w:eastAsia="仿宋" w:cs="仿宋"/>
          <w:color w:val="000000"/>
          <w:kern w:val="0"/>
          <w:sz w:val="32"/>
          <w:szCs w:val="32"/>
          <w:lang w:eastAsia="zh-CN"/>
        </w:rPr>
        <w:t>1</w:t>
      </w:r>
      <w:r>
        <w:rPr>
          <w:rFonts w:hint="eastAsia" w:ascii="仿宋" w:hAnsi="仿宋" w:cs="仿宋"/>
          <w:color w:val="000000"/>
          <w:kern w:val="0"/>
          <w:sz w:val="32"/>
          <w:szCs w:val="32"/>
          <w:lang w:val="en-US" w:eastAsia="zh-CN"/>
        </w:rPr>
        <w:t>4</w:t>
      </w:r>
      <w:r>
        <w:rPr>
          <w:rFonts w:hint="eastAsia" w:ascii="仿宋" w:hAnsi="仿宋" w:eastAsia="仿宋" w:cs="仿宋"/>
          <w:color w:val="000000"/>
          <w:kern w:val="0"/>
          <w:sz w:val="32"/>
          <w:szCs w:val="32"/>
          <w:lang w:eastAsia="zh-CN"/>
        </w:rPr>
        <w:t>.卫生健康支出（类）公共卫生（款）基本公共卫生服务（项）:202</w:t>
      </w:r>
      <w:r>
        <w:rPr>
          <w:rFonts w:hint="eastAsia"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lang w:eastAsia="zh-CN"/>
        </w:rPr>
        <w:t>年预算数为</w:t>
      </w:r>
      <w:r>
        <w:rPr>
          <w:rFonts w:hint="eastAsia" w:ascii="仿宋" w:hAnsi="仿宋" w:eastAsia="仿宋" w:cs="仿宋"/>
          <w:color w:val="000000"/>
          <w:kern w:val="0"/>
          <w:sz w:val="32"/>
          <w:szCs w:val="32"/>
          <w:lang w:val="en-US" w:eastAsia="zh-CN"/>
        </w:rPr>
        <w:t>1</w:t>
      </w:r>
      <w:r>
        <w:rPr>
          <w:rFonts w:hint="eastAsia" w:ascii="仿宋" w:hAnsi="仿宋" w:cs="仿宋"/>
          <w:color w:val="000000"/>
          <w:kern w:val="0"/>
          <w:sz w:val="32"/>
          <w:szCs w:val="32"/>
          <w:lang w:val="en-US" w:eastAsia="zh-CN"/>
        </w:rPr>
        <w:t>25.00</w:t>
      </w:r>
      <w:r>
        <w:rPr>
          <w:rFonts w:hint="eastAsia" w:ascii="仿宋" w:hAnsi="仿宋" w:eastAsia="仿宋" w:cs="仿宋"/>
          <w:color w:val="000000"/>
          <w:kern w:val="0"/>
          <w:sz w:val="32"/>
          <w:szCs w:val="32"/>
          <w:lang w:eastAsia="zh-CN"/>
        </w:rPr>
        <w:t>万元，主要用于：基本公共卫生服务支出。</w:t>
      </w:r>
    </w:p>
    <w:p w14:paraId="71C3DAEA">
      <w:pPr>
        <w:rPr>
          <w:rFonts w:hint="eastAsia" w:ascii="仿宋" w:hAnsi="仿宋" w:eastAsia="仿宋" w:cs="仿宋"/>
          <w:color w:val="000000"/>
          <w:kern w:val="0"/>
          <w:sz w:val="32"/>
          <w:szCs w:val="32"/>
          <w:lang w:eastAsia="zh-CN"/>
        </w:rPr>
      </w:pPr>
      <w:r>
        <w:rPr>
          <w:rFonts w:hint="eastAsia" w:ascii="仿宋" w:hAnsi="仿宋" w:eastAsia="仿宋" w:cs="仿宋"/>
          <w:color w:val="000000"/>
          <w:kern w:val="0"/>
          <w:sz w:val="32"/>
          <w:szCs w:val="32"/>
          <w:lang w:eastAsia="zh-CN"/>
        </w:rPr>
        <w:t>1</w:t>
      </w:r>
      <w:r>
        <w:rPr>
          <w:rFonts w:hint="eastAsia" w:ascii="仿宋" w:hAnsi="仿宋" w:cs="仿宋"/>
          <w:color w:val="000000"/>
          <w:kern w:val="0"/>
          <w:sz w:val="32"/>
          <w:szCs w:val="32"/>
          <w:lang w:val="en-US" w:eastAsia="zh-CN"/>
        </w:rPr>
        <w:t>5</w:t>
      </w:r>
      <w:r>
        <w:rPr>
          <w:rFonts w:hint="eastAsia" w:ascii="仿宋" w:hAnsi="仿宋" w:eastAsia="仿宋" w:cs="仿宋"/>
          <w:color w:val="000000"/>
          <w:kern w:val="0"/>
          <w:sz w:val="32"/>
          <w:szCs w:val="32"/>
          <w:lang w:eastAsia="zh-CN"/>
        </w:rPr>
        <w:t>.卫生健康支出（类）公共卫生（款）其他公共卫生支出（项）:202</w:t>
      </w:r>
      <w:r>
        <w:rPr>
          <w:rFonts w:hint="eastAsia"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lang w:eastAsia="zh-CN"/>
        </w:rPr>
        <w:t>年预算数为</w:t>
      </w:r>
      <w:r>
        <w:rPr>
          <w:rFonts w:hint="eastAsia" w:ascii="仿宋" w:hAnsi="仿宋" w:eastAsia="仿宋" w:cs="仿宋"/>
          <w:color w:val="000000"/>
          <w:kern w:val="0"/>
          <w:sz w:val="32"/>
          <w:szCs w:val="32"/>
          <w:lang w:val="en-US" w:eastAsia="zh-CN"/>
        </w:rPr>
        <w:t>12</w:t>
      </w:r>
      <w:r>
        <w:rPr>
          <w:rFonts w:hint="eastAsia" w:ascii="仿宋" w:hAnsi="仿宋" w:cs="仿宋"/>
          <w:color w:val="000000"/>
          <w:kern w:val="0"/>
          <w:sz w:val="32"/>
          <w:szCs w:val="32"/>
          <w:lang w:val="en-US" w:eastAsia="zh-CN"/>
        </w:rPr>
        <w:t>0.0</w:t>
      </w:r>
      <w:r>
        <w:rPr>
          <w:rFonts w:hint="eastAsia" w:ascii="仿宋" w:hAnsi="仿宋" w:eastAsia="仿宋" w:cs="仿宋"/>
          <w:color w:val="000000"/>
          <w:kern w:val="0"/>
          <w:sz w:val="32"/>
          <w:szCs w:val="32"/>
          <w:lang w:eastAsia="zh-CN"/>
        </w:rPr>
        <w:t>万元，主要用于：其他公共卫生支出。</w:t>
      </w:r>
    </w:p>
    <w:p w14:paraId="499E37D9">
      <w:pPr>
        <w:rPr>
          <w:rFonts w:hint="eastAsia" w:ascii="仿宋" w:hAnsi="仿宋" w:eastAsia="仿宋" w:cs="仿宋"/>
          <w:color w:val="000000"/>
          <w:kern w:val="0"/>
          <w:sz w:val="32"/>
          <w:szCs w:val="32"/>
          <w:lang w:eastAsia="zh-CN"/>
        </w:rPr>
      </w:pPr>
      <w:r>
        <w:rPr>
          <w:rFonts w:hint="eastAsia" w:ascii="仿宋" w:hAnsi="仿宋" w:eastAsia="仿宋" w:cs="仿宋"/>
          <w:color w:val="000000"/>
          <w:kern w:val="0"/>
          <w:sz w:val="32"/>
          <w:szCs w:val="32"/>
          <w:lang w:eastAsia="zh-CN"/>
        </w:rPr>
        <w:t>1</w:t>
      </w:r>
      <w:r>
        <w:rPr>
          <w:rFonts w:hint="eastAsia" w:ascii="仿宋" w:hAnsi="仿宋" w:cs="仿宋"/>
          <w:color w:val="000000"/>
          <w:kern w:val="0"/>
          <w:sz w:val="32"/>
          <w:szCs w:val="32"/>
          <w:lang w:val="en-US" w:eastAsia="zh-CN"/>
        </w:rPr>
        <w:t>6</w:t>
      </w:r>
      <w:r>
        <w:rPr>
          <w:rFonts w:hint="eastAsia" w:ascii="仿宋" w:hAnsi="仿宋" w:eastAsia="仿宋" w:cs="仿宋"/>
          <w:color w:val="000000"/>
          <w:kern w:val="0"/>
          <w:sz w:val="32"/>
          <w:szCs w:val="32"/>
          <w:lang w:eastAsia="zh-CN"/>
        </w:rPr>
        <w:t>.卫生健康支出（类）计划生育服务（款）计划生育服务（项）:202</w:t>
      </w:r>
      <w:r>
        <w:rPr>
          <w:rFonts w:hint="eastAsia"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lang w:eastAsia="zh-CN"/>
        </w:rPr>
        <w:t>年预算数为</w:t>
      </w:r>
      <w:r>
        <w:rPr>
          <w:rFonts w:hint="eastAsia" w:ascii="仿宋" w:hAnsi="仿宋" w:eastAsia="仿宋" w:cs="仿宋"/>
          <w:color w:val="000000"/>
          <w:kern w:val="0"/>
          <w:sz w:val="32"/>
          <w:szCs w:val="32"/>
          <w:lang w:val="en-US" w:eastAsia="zh-CN"/>
        </w:rPr>
        <w:t>47.40</w:t>
      </w:r>
      <w:r>
        <w:rPr>
          <w:rFonts w:hint="eastAsia" w:ascii="仿宋" w:hAnsi="仿宋" w:eastAsia="仿宋" w:cs="仿宋"/>
          <w:color w:val="000000"/>
          <w:kern w:val="0"/>
          <w:sz w:val="32"/>
          <w:szCs w:val="32"/>
          <w:lang w:eastAsia="zh-CN"/>
        </w:rPr>
        <w:t>万元，主要用于：计划生育服务支出。</w:t>
      </w:r>
    </w:p>
    <w:p w14:paraId="4B0B6AE4">
      <w:pPr>
        <w:rPr>
          <w:rFonts w:hint="eastAsia" w:ascii="仿宋" w:hAnsi="仿宋" w:eastAsia="仿宋" w:cs="仿宋"/>
          <w:color w:val="000000"/>
          <w:kern w:val="0"/>
          <w:sz w:val="32"/>
          <w:szCs w:val="32"/>
          <w:lang w:eastAsia="zh-CN"/>
        </w:rPr>
      </w:pPr>
      <w:r>
        <w:rPr>
          <w:rFonts w:hint="eastAsia" w:ascii="仿宋" w:hAnsi="仿宋" w:cs="仿宋"/>
          <w:color w:val="000000"/>
          <w:kern w:val="0"/>
          <w:sz w:val="32"/>
          <w:szCs w:val="32"/>
          <w:lang w:val="en-US" w:eastAsia="zh-CN"/>
        </w:rPr>
        <w:t>17</w:t>
      </w:r>
      <w:r>
        <w:rPr>
          <w:rFonts w:hint="eastAsia" w:ascii="仿宋" w:hAnsi="仿宋" w:eastAsia="仿宋" w:cs="仿宋"/>
          <w:color w:val="000000"/>
          <w:kern w:val="0"/>
          <w:sz w:val="32"/>
          <w:szCs w:val="32"/>
          <w:lang w:eastAsia="zh-CN"/>
        </w:rPr>
        <w:t>.卫生健康支出（类）行政事业单位医疗（款）行政单位医疗（项）:202</w:t>
      </w:r>
      <w:r>
        <w:rPr>
          <w:rFonts w:hint="eastAsia"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lang w:eastAsia="zh-CN"/>
        </w:rPr>
        <w:t>年预算数为</w:t>
      </w:r>
      <w:r>
        <w:rPr>
          <w:rFonts w:hint="eastAsia" w:ascii="仿宋" w:hAnsi="仿宋" w:eastAsia="仿宋" w:cs="仿宋"/>
          <w:color w:val="000000"/>
          <w:kern w:val="0"/>
          <w:sz w:val="32"/>
          <w:szCs w:val="32"/>
          <w:lang w:val="en-US" w:eastAsia="zh-CN"/>
        </w:rPr>
        <w:t>15.24</w:t>
      </w:r>
      <w:r>
        <w:rPr>
          <w:rFonts w:hint="eastAsia" w:ascii="仿宋" w:hAnsi="仿宋" w:eastAsia="仿宋" w:cs="仿宋"/>
          <w:color w:val="000000"/>
          <w:kern w:val="0"/>
          <w:sz w:val="32"/>
          <w:szCs w:val="32"/>
          <w:lang w:eastAsia="zh-CN"/>
        </w:rPr>
        <w:t>万元，主要用于：行政单位基本医疗保险缴费经费。</w:t>
      </w:r>
    </w:p>
    <w:p w14:paraId="2579D637">
      <w:pPr>
        <w:rPr>
          <w:rFonts w:hint="eastAsia" w:ascii="仿宋" w:hAnsi="仿宋" w:eastAsia="仿宋" w:cs="仿宋"/>
          <w:kern w:val="0"/>
          <w:sz w:val="32"/>
          <w:szCs w:val="32"/>
          <w:lang w:eastAsia="zh-CN"/>
        </w:rPr>
      </w:pPr>
      <w:r>
        <w:rPr>
          <w:rFonts w:hint="eastAsia" w:ascii="仿宋" w:hAnsi="仿宋" w:cs="仿宋"/>
          <w:kern w:val="0"/>
          <w:sz w:val="32"/>
          <w:szCs w:val="32"/>
          <w:lang w:val="en-US" w:eastAsia="zh-CN"/>
        </w:rPr>
        <w:t>18</w:t>
      </w:r>
      <w:r>
        <w:rPr>
          <w:rFonts w:hint="eastAsia" w:ascii="仿宋" w:hAnsi="仿宋" w:eastAsia="仿宋" w:cs="仿宋"/>
          <w:kern w:val="0"/>
          <w:sz w:val="32"/>
          <w:szCs w:val="32"/>
        </w:rPr>
        <w:t>.卫生健康支出（类）行政事业单位医疗（款）事业单位医疗（项）:202</w:t>
      </w:r>
      <w:r>
        <w:rPr>
          <w:rFonts w:hint="eastAsia" w:ascii="仿宋" w:hAnsi="仿宋" w:eastAsia="仿宋" w:cs="仿宋"/>
          <w:kern w:val="0"/>
          <w:sz w:val="32"/>
          <w:szCs w:val="32"/>
          <w:lang w:val="en-US" w:eastAsia="zh-CN"/>
        </w:rPr>
        <w:t>5</w:t>
      </w:r>
      <w:r>
        <w:rPr>
          <w:rFonts w:hint="eastAsia" w:ascii="仿宋" w:hAnsi="仿宋" w:eastAsia="仿宋" w:cs="仿宋"/>
          <w:kern w:val="0"/>
          <w:sz w:val="32"/>
          <w:szCs w:val="32"/>
        </w:rPr>
        <w:t>年预算数为1</w:t>
      </w:r>
      <w:r>
        <w:rPr>
          <w:rFonts w:hint="eastAsia" w:ascii="仿宋" w:hAnsi="仿宋" w:eastAsia="仿宋" w:cs="仿宋"/>
          <w:kern w:val="0"/>
          <w:sz w:val="32"/>
          <w:szCs w:val="32"/>
          <w:lang w:val="en-US" w:eastAsia="zh-CN"/>
        </w:rPr>
        <w:t>87.83</w:t>
      </w:r>
      <w:r>
        <w:rPr>
          <w:rFonts w:hint="eastAsia" w:ascii="仿宋" w:hAnsi="仿宋" w:eastAsia="仿宋" w:cs="仿宋"/>
          <w:kern w:val="0"/>
          <w:sz w:val="32"/>
          <w:szCs w:val="32"/>
        </w:rPr>
        <w:t>万元，主要用于：事业单位基本医疗保险缴费经费</w:t>
      </w:r>
      <w:r>
        <w:rPr>
          <w:rFonts w:hint="eastAsia" w:ascii="仿宋" w:hAnsi="仿宋" w:eastAsia="仿宋" w:cs="仿宋"/>
          <w:kern w:val="0"/>
          <w:sz w:val="32"/>
          <w:szCs w:val="32"/>
          <w:lang w:eastAsia="zh-CN"/>
        </w:rPr>
        <w:t>。</w:t>
      </w:r>
    </w:p>
    <w:p w14:paraId="03CB618A">
      <w:pPr>
        <w:rPr>
          <w:rFonts w:hint="eastAsia" w:ascii="仿宋" w:hAnsi="仿宋" w:eastAsia="仿宋" w:cs="仿宋"/>
          <w:kern w:val="0"/>
          <w:sz w:val="32"/>
          <w:szCs w:val="32"/>
          <w:lang w:eastAsia="zh-CN"/>
        </w:rPr>
      </w:pPr>
      <w:r>
        <w:rPr>
          <w:rFonts w:hint="eastAsia" w:ascii="仿宋" w:hAnsi="仿宋" w:cs="仿宋"/>
          <w:kern w:val="0"/>
          <w:sz w:val="32"/>
          <w:szCs w:val="32"/>
          <w:lang w:val="en-US" w:eastAsia="zh-CN"/>
        </w:rPr>
        <w:t>19</w:t>
      </w:r>
      <w:r>
        <w:rPr>
          <w:rFonts w:hint="eastAsia" w:ascii="仿宋" w:hAnsi="仿宋" w:eastAsia="仿宋" w:cs="仿宋"/>
          <w:kern w:val="0"/>
          <w:sz w:val="32"/>
          <w:szCs w:val="32"/>
        </w:rPr>
        <w:t>.住房保障（类）住房改革支出（款）住房公积金（项）:202</w:t>
      </w:r>
      <w:r>
        <w:rPr>
          <w:rFonts w:hint="eastAsia" w:ascii="仿宋" w:hAnsi="仿宋" w:eastAsia="仿宋" w:cs="仿宋"/>
          <w:kern w:val="0"/>
          <w:sz w:val="32"/>
          <w:szCs w:val="32"/>
          <w:lang w:val="en-US" w:eastAsia="zh-CN"/>
        </w:rPr>
        <w:t>5</w:t>
      </w:r>
      <w:r>
        <w:rPr>
          <w:rFonts w:hint="eastAsia" w:ascii="仿宋" w:hAnsi="仿宋" w:eastAsia="仿宋" w:cs="仿宋"/>
          <w:kern w:val="0"/>
          <w:sz w:val="32"/>
          <w:szCs w:val="32"/>
        </w:rPr>
        <w:t>年预算数为5</w:t>
      </w:r>
      <w:r>
        <w:rPr>
          <w:rFonts w:hint="eastAsia" w:ascii="仿宋" w:hAnsi="仿宋" w:eastAsia="仿宋" w:cs="仿宋"/>
          <w:kern w:val="0"/>
          <w:sz w:val="32"/>
          <w:szCs w:val="32"/>
          <w:lang w:val="en-US" w:eastAsia="zh-CN"/>
        </w:rPr>
        <w:t>47.54</w:t>
      </w:r>
      <w:r>
        <w:rPr>
          <w:rFonts w:hint="eastAsia" w:ascii="仿宋" w:hAnsi="仿宋" w:eastAsia="仿宋" w:cs="仿宋"/>
          <w:kern w:val="0"/>
          <w:sz w:val="32"/>
          <w:szCs w:val="32"/>
        </w:rPr>
        <w:t>万元，主要用于：部门按人力资源和社会保障部、财政部规定的基本工资和津贴补贴以及规定比例为职工缴纳的住房公积金支出</w:t>
      </w:r>
      <w:r>
        <w:rPr>
          <w:rFonts w:hint="eastAsia" w:ascii="仿宋" w:hAnsi="仿宋" w:eastAsia="仿宋" w:cs="仿宋"/>
          <w:color w:val="000000"/>
          <w:kern w:val="0"/>
          <w:sz w:val="32"/>
          <w:szCs w:val="32"/>
        </w:rPr>
        <w:t>。</w:t>
      </w:r>
    </w:p>
    <w:p w14:paraId="22CC3F89">
      <w:pPr>
        <w:pStyle w:val="4"/>
        <w:bidi w:val="0"/>
        <w:rPr>
          <w:rStyle w:val="23"/>
          <w:rFonts w:hint="eastAsia" w:ascii="黑体" w:hAnsi="黑体" w:eastAsia="黑体" w:cs="黑体"/>
          <w:b w:val="0"/>
          <w:bCs/>
          <w:lang w:eastAsia="zh-CN"/>
        </w:rPr>
      </w:pPr>
      <w:r>
        <w:rPr>
          <w:rStyle w:val="23"/>
          <w:rFonts w:hint="eastAsia" w:ascii="黑体" w:hAnsi="黑体" w:eastAsia="黑体" w:cs="黑体"/>
          <w:b w:val="0"/>
          <w:bCs/>
          <w:lang w:eastAsia="zh-CN"/>
        </w:rPr>
        <w:t>四</w:t>
      </w:r>
      <w:r>
        <w:rPr>
          <w:rStyle w:val="23"/>
          <w:rFonts w:hint="eastAsia" w:ascii="黑体" w:hAnsi="黑体" w:eastAsia="黑体" w:cs="黑体"/>
          <w:b w:val="0"/>
          <w:bCs/>
        </w:rPr>
        <w:t>、一般公共预算基本支出情况说明</w:t>
      </w:r>
    </w:p>
    <w:p w14:paraId="34651559">
      <w:pPr>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eastAsia="zh-CN"/>
        </w:rPr>
        <w:t>峨边彝族自治县卫生健康局2025</w:t>
      </w:r>
      <w:r>
        <w:rPr>
          <w:rFonts w:hint="eastAsia" w:ascii="Times New Roman" w:hAnsi="Times New Roman" w:eastAsia="仿宋_GB2312" w:cs="仿宋_GB2312"/>
          <w:color w:val="000000"/>
          <w:kern w:val="0"/>
          <w:sz w:val="32"/>
          <w:szCs w:val="32"/>
        </w:rPr>
        <w:t>年一般公共预算基本支出6018.67万元，其中：</w:t>
      </w:r>
    </w:p>
    <w:p w14:paraId="7CD3D510">
      <w:pPr>
        <w:rPr>
          <w:rFonts w:hint="eastAsia" w:ascii="Times New Roman" w:hAnsi="Times New Roman" w:eastAsia="仿宋_GB2312" w:cs="仿宋_GB2312"/>
          <w:color w:val="FF0000"/>
          <w:kern w:val="0"/>
          <w:sz w:val="32"/>
          <w:szCs w:val="32"/>
          <w:lang w:eastAsia="zh-CN"/>
        </w:rPr>
      </w:pPr>
      <w:r>
        <w:rPr>
          <w:rFonts w:hint="eastAsia" w:ascii="Times New Roman" w:hAnsi="Times New Roman" w:eastAsia="仿宋_GB2312" w:cs="仿宋_GB2312"/>
          <w:color w:val="000000"/>
          <w:kern w:val="0"/>
          <w:sz w:val="32"/>
          <w:szCs w:val="32"/>
        </w:rPr>
        <w:t>人员经费5557.19万元，主要包括：</w:t>
      </w:r>
      <w:r>
        <w:rPr>
          <w:rFonts w:hint="eastAsia" w:ascii="Times New Roman" w:hAnsi="Times New Roman" w:eastAsia="仿宋_GB2312" w:cs="仿宋_GB2312"/>
          <w:color w:val="auto"/>
          <w:kern w:val="0"/>
          <w:sz w:val="32"/>
          <w:szCs w:val="32"/>
        </w:rPr>
        <w:t>基本工资、津贴补贴、奖金、  伙食补助费、绩效工资、机关事业单位基本养老保险缴费、职业年金缴费、职工基本医疗保险缴费、其他社会保障缴费、住房公积金、其他工资福利支出、离休费、生活补助、其他对个人和家庭的补助支出。</w:t>
      </w:r>
    </w:p>
    <w:p w14:paraId="001DF325">
      <w:pPr>
        <w:rPr>
          <w:rFonts w:hint="eastAsia" w:ascii="Times New Roman" w:hAnsi="Times New Roman" w:eastAsia="仿宋_GB2312" w:cs="仿宋_GB2312"/>
          <w:color w:val="FF0000"/>
          <w:kern w:val="0"/>
          <w:sz w:val="32"/>
          <w:szCs w:val="32"/>
          <w:lang w:eastAsia="zh-CN"/>
        </w:rPr>
      </w:pPr>
      <w:r>
        <w:rPr>
          <w:rFonts w:hint="eastAsia" w:ascii="Times New Roman" w:hAnsi="Times New Roman" w:eastAsia="仿宋_GB2312" w:cs="仿宋_GB2312"/>
          <w:color w:val="000000"/>
          <w:kern w:val="0"/>
          <w:sz w:val="32"/>
          <w:szCs w:val="32"/>
        </w:rPr>
        <w:t>公用经费461.48万元，主要包括：</w:t>
      </w:r>
      <w:r>
        <w:rPr>
          <w:rFonts w:hint="eastAsia" w:ascii="Times New Roman" w:hAnsi="Times New Roman" w:eastAsia="仿宋_GB2312" w:cs="仿宋_GB2312"/>
          <w:color w:val="auto"/>
          <w:kern w:val="0"/>
          <w:sz w:val="32"/>
          <w:szCs w:val="32"/>
        </w:rPr>
        <w:t>办公费、印刷费、手续费、水费、电费、邮电费、差旅费、维修（护）费、会议费、培训费、劳务费、工会经费、福利费、其他交通费、其他商品和服务支出。</w:t>
      </w:r>
    </w:p>
    <w:p w14:paraId="4888B429">
      <w:pPr>
        <w:rPr>
          <w:rStyle w:val="23"/>
          <w:rFonts w:hint="eastAsia" w:ascii="黑体" w:hAnsi="黑体" w:eastAsia="黑体" w:cs="黑体"/>
          <w:b w:val="0"/>
          <w:bCs/>
          <w:lang w:eastAsia="zh-CN"/>
        </w:rPr>
      </w:pPr>
      <w:r>
        <w:rPr>
          <w:rStyle w:val="23"/>
          <w:rFonts w:hint="eastAsia" w:ascii="黑体" w:hAnsi="黑体" w:eastAsia="黑体" w:cs="黑体"/>
          <w:b w:val="0"/>
          <w:bCs/>
          <w:lang w:eastAsia="zh-CN"/>
        </w:rPr>
        <w:t>五</w:t>
      </w:r>
      <w:r>
        <w:rPr>
          <w:rStyle w:val="23"/>
          <w:rFonts w:hint="eastAsia" w:ascii="黑体" w:hAnsi="黑体" w:eastAsia="黑体" w:cs="黑体"/>
          <w:b w:val="0"/>
          <w:bCs/>
        </w:rPr>
        <w:t>、政府性基金预算支出规模及变化情况说明</w:t>
      </w:r>
    </w:p>
    <w:p w14:paraId="39D2D73B">
      <w:pPr>
        <w:rPr>
          <w:rFonts w:hint="eastAsia" w:ascii="Times New Roman" w:hAnsi="Times New Roman" w:eastAsia="仿宋_GB2312" w:cs="仿宋_GB2312"/>
          <w:color w:val="000000" w:themeColor="text1"/>
          <w:kern w:val="0"/>
          <w:sz w:val="32"/>
          <w:szCs w:val="32"/>
          <w:lang w:eastAsia="zh-CN"/>
          <w14:textFill>
            <w14:solidFill>
              <w14:schemeClr w14:val="tx1"/>
            </w14:solidFill>
          </w14:textFill>
        </w:rPr>
      </w:pPr>
      <w:r>
        <w:rPr>
          <w:rFonts w:hint="eastAsia" w:ascii="Times New Roman" w:hAnsi="Times New Roman" w:eastAsia="仿宋_GB2312" w:cs="仿宋_GB2312"/>
          <w:color w:val="000000"/>
          <w:kern w:val="0"/>
          <w:sz w:val="32"/>
          <w:szCs w:val="32"/>
        </w:rPr>
        <w:t>峨边彝族自治县卫生健康局2025年没有使用政府性基金预算拨款安排的支出</w:t>
      </w:r>
      <w:r>
        <w:rPr>
          <w:rFonts w:hint="eastAsia" w:ascii="Times New Roman" w:hAnsi="Times New Roman" w:eastAsia="仿宋_GB2312" w:cs="仿宋_GB2312"/>
          <w:color w:val="000000" w:themeColor="text1"/>
          <w:kern w:val="0"/>
          <w:sz w:val="32"/>
          <w:szCs w:val="32"/>
          <w:lang w:eastAsia="zh-CN"/>
          <w14:textFill>
            <w14:solidFill>
              <w14:schemeClr w14:val="tx1"/>
            </w14:solidFill>
          </w14:textFill>
        </w:rPr>
        <w:t>。</w:t>
      </w:r>
    </w:p>
    <w:p w14:paraId="339E4CF4">
      <w:pPr>
        <w:rPr>
          <w:rStyle w:val="23"/>
          <w:rFonts w:hint="eastAsia" w:ascii="黑体" w:hAnsi="黑体" w:eastAsia="黑体" w:cs="黑体"/>
          <w:b w:val="0"/>
          <w:bCs/>
        </w:rPr>
      </w:pPr>
      <w:r>
        <w:rPr>
          <w:rStyle w:val="23"/>
          <w:rFonts w:hint="eastAsia" w:ascii="黑体" w:hAnsi="黑体" w:eastAsia="黑体" w:cs="黑体"/>
          <w:b w:val="0"/>
          <w:bCs/>
          <w:lang w:eastAsia="zh-CN"/>
        </w:rPr>
        <w:t>六</w:t>
      </w:r>
      <w:r>
        <w:rPr>
          <w:rStyle w:val="23"/>
          <w:rFonts w:hint="eastAsia" w:ascii="黑体" w:hAnsi="黑体" w:eastAsia="黑体" w:cs="黑体"/>
          <w:b w:val="0"/>
          <w:bCs/>
        </w:rPr>
        <w:t>、国有资本经营预算支出规模及变化情况说明</w:t>
      </w:r>
    </w:p>
    <w:p w14:paraId="3A237742">
      <w:pPr>
        <w:rPr>
          <w:rFonts w:hint="eastAsia" w:ascii="Times New Roman" w:hAnsi="Times New Roman" w:eastAsia="仿宋_GB2312" w:cs="仿宋_GB2312"/>
          <w:color w:val="FF0000"/>
          <w:kern w:val="0"/>
          <w:sz w:val="32"/>
          <w:szCs w:val="32"/>
          <w:lang w:eastAsia="zh-CN"/>
        </w:rPr>
      </w:pPr>
      <w:r>
        <w:rPr>
          <w:rFonts w:hint="eastAsia" w:ascii="Times New Roman" w:hAnsi="Times New Roman" w:eastAsia="仿宋_GB2312" w:cs="仿宋_GB2312"/>
          <w:color w:val="000000"/>
          <w:kern w:val="0"/>
          <w:sz w:val="32"/>
          <w:szCs w:val="32"/>
        </w:rPr>
        <w:t>峨边彝族自治县卫生健康局2025年没有使用国有资本经营预算拨款安排的支出</w:t>
      </w:r>
      <w:r>
        <w:rPr>
          <w:rFonts w:hint="eastAsia" w:ascii="Times New Roman" w:hAnsi="Times New Roman" w:eastAsia="仿宋_GB2312" w:cs="仿宋_GB2312"/>
          <w:color w:val="000000" w:themeColor="text1"/>
          <w:kern w:val="0"/>
          <w:sz w:val="32"/>
          <w:szCs w:val="32"/>
          <w:lang w:eastAsia="zh-CN"/>
          <w14:textFill>
            <w14:solidFill>
              <w14:schemeClr w14:val="tx1"/>
            </w14:solidFill>
          </w14:textFill>
        </w:rPr>
        <w:t>。</w:t>
      </w:r>
    </w:p>
    <w:p w14:paraId="0C234FE8">
      <w:pPr>
        <w:pStyle w:val="4"/>
        <w:bidi w:val="0"/>
        <w:rPr>
          <w:rStyle w:val="23"/>
          <w:rFonts w:hint="eastAsia" w:ascii="黑体" w:hAnsi="黑体" w:eastAsia="黑体" w:cs="黑体"/>
          <w:b w:val="0"/>
          <w:bCs/>
          <w:lang w:eastAsia="zh-CN"/>
        </w:rPr>
      </w:pPr>
      <w:r>
        <w:rPr>
          <w:rStyle w:val="23"/>
          <w:rFonts w:hint="eastAsia" w:ascii="黑体" w:hAnsi="黑体" w:eastAsia="黑体" w:cs="黑体"/>
          <w:b w:val="0"/>
          <w:bCs/>
          <w:lang w:eastAsia="zh-CN"/>
        </w:rPr>
        <w:t>七</w:t>
      </w:r>
      <w:r>
        <w:rPr>
          <w:rStyle w:val="23"/>
          <w:rFonts w:hint="eastAsia" w:ascii="黑体" w:hAnsi="黑体" w:eastAsia="黑体" w:cs="黑体"/>
          <w:b w:val="0"/>
          <w:bCs/>
        </w:rPr>
        <w:t>、“三公”经费预算安排情况说明</w:t>
      </w:r>
    </w:p>
    <w:p w14:paraId="33B7419A">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eastAsia="zh-CN"/>
        </w:rPr>
        <w:t>峨边彝族自治县卫生健康局2025</w:t>
      </w:r>
      <w:r>
        <w:rPr>
          <w:rFonts w:hint="eastAsia" w:ascii="Times New Roman" w:hAnsi="Times New Roman" w:eastAsia="仿宋_GB2312" w:cs="仿宋_GB2312"/>
          <w:color w:val="000000"/>
          <w:kern w:val="0"/>
          <w:sz w:val="32"/>
          <w:szCs w:val="32"/>
        </w:rPr>
        <w:t>年“三公”经费</w:t>
      </w:r>
      <w:r>
        <w:rPr>
          <w:rFonts w:hint="eastAsia" w:ascii="Times New Roman" w:hAnsi="Times New Roman" w:eastAsia="仿宋_GB2312" w:cs="仿宋_GB2312"/>
          <w:color w:val="000000"/>
          <w:kern w:val="0"/>
          <w:sz w:val="32"/>
          <w:szCs w:val="32"/>
          <w:lang w:eastAsia="zh-CN"/>
        </w:rPr>
        <w:t>财政拨款</w:t>
      </w:r>
      <w:r>
        <w:rPr>
          <w:rFonts w:hint="eastAsia" w:ascii="Times New Roman" w:hAnsi="Times New Roman" w:eastAsia="仿宋_GB2312" w:cs="仿宋_GB2312"/>
          <w:color w:val="000000"/>
          <w:kern w:val="0"/>
          <w:sz w:val="32"/>
          <w:szCs w:val="32"/>
        </w:rPr>
        <w:t>预算数</w:t>
      </w:r>
      <w:r>
        <w:rPr>
          <w:rFonts w:hint="eastAsia" w:ascii="Times New Roman" w:hAnsi="Times New Roman" w:eastAsia="仿宋_GB2312" w:cs="仿宋_GB2312"/>
          <w:color w:val="000000"/>
          <w:kern w:val="0"/>
          <w:sz w:val="32"/>
          <w:szCs w:val="32"/>
          <w:lang w:val="en-US" w:eastAsia="zh-CN"/>
        </w:rPr>
        <w:t>86.50</w:t>
      </w:r>
      <w:r>
        <w:rPr>
          <w:rFonts w:hint="eastAsia" w:ascii="Times New Roman" w:hAnsi="Times New Roman" w:eastAsia="仿宋_GB2312" w:cs="仿宋_GB2312"/>
          <w:color w:val="000000"/>
          <w:kern w:val="0"/>
          <w:sz w:val="32"/>
          <w:szCs w:val="32"/>
        </w:rPr>
        <w:t>万元。其中</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因公出国（境）经费</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rPr>
        <w:t>万元，公务接待费</w:t>
      </w:r>
      <w:r>
        <w:rPr>
          <w:rFonts w:hint="eastAsia" w:ascii="Times New Roman" w:hAnsi="Times New Roman" w:eastAsia="仿宋_GB2312" w:cs="仿宋_GB2312"/>
          <w:color w:val="000000"/>
          <w:kern w:val="0"/>
          <w:sz w:val="32"/>
          <w:szCs w:val="32"/>
          <w:lang w:val="en-US" w:eastAsia="zh-CN"/>
        </w:rPr>
        <w:t>6</w:t>
      </w:r>
      <w:r>
        <w:rPr>
          <w:rFonts w:hint="eastAsia" w:ascii="Times New Roman" w:hAnsi="Times New Roman" w:eastAsia="仿宋_GB2312" w:cs="仿宋_GB2312"/>
          <w:color w:val="000000"/>
          <w:kern w:val="0"/>
          <w:sz w:val="32"/>
          <w:szCs w:val="32"/>
        </w:rPr>
        <w:t>万元，公务用车购置及运行维护费</w:t>
      </w:r>
      <w:r>
        <w:rPr>
          <w:rFonts w:hint="eastAsia" w:ascii="Times New Roman" w:hAnsi="Times New Roman" w:eastAsia="仿宋_GB2312" w:cs="仿宋_GB2312"/>
          <w:color w:val="000000"/>
          <w:kern w:val="0"/>
          <w:sz w:val="32"/>
          <w:szCs w:val="32"/>
          <w:lang w:val="en-US" w:eastAsia="zh-CN"/>
        </w:rPr>
        <w:t>80.50</w:t>
      </w:r>
      <w:r>
        <w:rPr>
          <w:rFonts w:hint="eastAsia" w:ascii="Times New Roman" w:hAnsi="Times New Roman" w:eastAsia="仿宋_GB2312" w:cs="仿宋_GB2312"/>
          <w:color w:val="000000"/>
          <w:kern w:val="0"/>
          <w:sz w:val="32"/>
          <w:szCs w:val="32"/>
        </w:rPr>
        <w:t>万元。</w:t>
      </w:r>
    </w:p>
    <w:p w14:paraId="32C5844F">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lang w:val="en-US" w:eastAsia="zh-CN"/>
        </w:rPr>
        <w:t>1.</w:t>
      </w:r>
      <w:r>
        <w:rPr>
          <w:rFonts w:hint="eastAsia" w:ascii="Times New Roman" w:hAnsi="Times New Roman" w:eastAsia="仿宋_GB2312" w:cs="仿宋_GB2312"/>
          <w:color w:val="000000"/>
          <w:kern w:val="0"/>
          <w:sz w:val="32"/>
          <w:szCs w:val="32"/>
        </w:rPr>
        <w:t>因公出国（境）经费较上年预算持平。主要原因是</w:t>
      </w:r>
      <w:r>
        <w:rPr>
          <w:rFonts w:hint="eastAsia" w:ascii="Times New Roman" w:hAnsi="Times New Roman" w:eastAsia="仿宋_GB2312" w:cs="仿宋_GB2312"/>
          <w:color w:val="000000"/>
          <w:kern w:val="0"/>
          <w:sz w:val="32"/>
          <w:szCs w:val="32"/>
          <w:lang w:eastAsia="zh-CN"/>
        </w:rPr>
        <w:t>2025</w:t>
      </w:r>
      <w:r>
        <w:rPr>
          <w:rFonts w:hint="eastAsia" w:ascii="Times New Roman" w:hAnsi="Times New Roman" w:eastAsia="仿宋_GB2312" w:cs="仿宋_GB2312"/>
          <w:color w:val="000000"/>
          <w:kern w:val="0"/>
          <w:sz w:val="32"/>
          <w:szCs w:val="32"/>
        </w:rPr>
        <w:t>年</w:t>
      </w:r>
      <w:r>
        <w:rPr>
          <w:rFonts w:hint="eastAsia" w:ascii="Times New Roman" w:hAnsi="Times New Roman" w:eastAsia="仿宋_GB2312" w:cs="仿宋_GB2312"/>
          <w:color w:val="000000"/>
          <w:kern w:val="0"/>
          <w:sz w:val="32"/>
          <w:szCs w:val="32"/>
          <w:lang w:eastAsia="zh-CN"/>
        </w:rPr>
        <w:t>和2024</w:t>
      </w:r>
      <w:r>
        <w:rPr>
          <w:rFonts w:hint="eastAsia" w:ascii="Times New Roman" w:hAnsi="Times New Roman" w:eastAsia="仿宋_GB2312" w:cs="仿宋_GB2312"/>
          <w:color w:val="000000"/>
          <w:kern w:val="0"/>
          <w:sz w:val="32"/>
          <w:szCs w:val="32"/>
        </w:rPr>
        <w:t>年均无因公出国（境）费用支出。</w:t>
      </w:r>
    </w:p>
    <w:p w14:paraId="6BFBAB2D">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rPr>
        <w:t>2.公务接待费较上年预算减少</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rPr>
        <w:t>万元，下降</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rPr>
        <w:t>%。主要原因是按照中央八项规定及厉行节约、反对浪费的要求，简化接待程序，严格控制用餐及住宿标准，减少公务接待开支。</w:t>
      </w:r>
    </w:p>
    <w:p w14:paraId="62ADA0B3">
      <w:pPr>
        <w:bidi w:val="0"/>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eastAsia="zh-CN"/>
        </w:rPr>
        <w:t>2025年公务接待费计划用于上级领导部门调研指导工作和其他区县卫健系统单位来我单位交流学习等</w:t>
      </w:r>
      <w:r>
        <w:rPr>
          <w:rFonts w:hint="eastAsia" w:ascii="Times New Roman" w:hAnsi="Times New Roman" w:eastAsia="仿宋_GB2312" w:cs="仿宋_GB2312"/>
          <w:color w:val="000000"/>
          <w:kern w:val="0"/>
          <w:sz w:val="32"/>
          <w:szCs w:val="32"/>
        </w:rPr>
        <w:t>。</w:t>
      </w:r>
    </w:p>
    <w:p w14:paraId="082BAA22">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rPr>
        <w:t>3.公务用车购置及运行维护费较上年预算减少</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rPr>
        <w:t>万元，下降</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rPr>
        <w:t>%。主要原因是</w:t>
      </w:r>
      <w:r>
        <w:rPr>
          <w:rFonts w:hint="eastAsia" w:ascii="Times New Roman" w:hAnsi="Times New Roman" w:eastAsia="仿宋_GB2312" w:cs="仿宋_GB2312"/>
          <w:color w:val="000000"/>
          <w:kern w:val="0"/>
          <w:sz w:val="32"/>
          <w:szCs w:val="32"/>
          <w:lang w:val="en-US" w:eastAsia="zh-CN"/>
        </w:rPr>
        <w:t>2025年按部门实际保有车辆预算公车运维费用</w:t>
      </w:r>
      <w:r>
        <w:rPr>
          <w:rFonts w:hint="eastAsia" w:ascii="Times New Roman" w:hAnsi="Times New Roman" w:eastAsia="仿宋_GB2312" w:cs="仿宋_GB2312"/>
          <w:color w:val="000000"/>
          <w:kern w:val="0"/>
          <w:sz w:val="32"/>
          <w:szCs w:val="32"/>
        </w:rPr>
        <w:t>。</w:t>
      </w:r>
    </w:p>
    <w:p w14:paraId="7DAFC83F">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rPr>
        <w:t>单位现有公务用车</w:t>
      </w:r>
      <w:r>
        <w:rPr>
          <w:rFonts w:hint="eastAsia" w:ascii="Times New Roman" w:hAnsi="Times New Roman" w:eastAsia="仿宋_GB2312" w:cs="仿宋_GB2312"/>
          <w:color w:val="000000"/>
          <w:kern w:val="0"/>
          <w:sz w:val="32"/>
          <w:szCs w:val="32"/>
          <w:lang w:val="en-US" w:eastAsia="zh-CN"/>
        </w:rPr>
        <w:t>28</w:t>
      </w:r>
      <w:r>
        <w:rPr>
          <w:rFonts w:hint="eastAsia" w:ascii="Times New Roman" w:hAnsi="Times New Roman" w:eastAsia="仿宋_GB2312" w:cs="仿宋_GB2312"/>
          <w:color w:val="000000"/>
          <w:kern w:val="0"/>
          <w:sz w:val="32"/>
          <w:szCs w:val="32"/>
        </w:rPr>
        <w:t>辆，其中：轿车</w:t>
      </w:r>
      <w:r>
        <w:rPr>
          <w:rFonts w:hint="eastAsia" w:ascii="Times New Roman" w:hAnsi="Times New Roman" w:eastAsia="仿宋_GB2312" w:cs="仿宋_GB2312"/>
          <w:color w:val="000000"/>
          <w:kern w:val="0"/>
          <w:sz w:val="32"/>
          <w:szCs w:val="32"/>
          <w:lang w:val="en-US" w:eastAsia="zh-CN"/>
        </w:rPr>
        <w:t>2</w:t>
      </w:r>
      <w:r>
        <w:rPr>
          <w:rFonts w:hint="eastAsia" w:ascii="Times New Roman" w:hAnsi="Times New Roman" w:eastAsia="仿宋_GB2312" w:cs="仿宋_GB2312"/>
          <w:color w:val="000000"/>
          <w:kern w:val="0"/>
          <w:sz w:val="32"/>
          <w:szCs w:val="32"/>
        </w:rPr>
        <w:t>辆，越野车</w:t>
      </w:r>
      <w:r>
        <w:rPr>
          <w:rFonts w:hint="eastAsia" w:ascii="Times New Roman" w:hAnsi="Times New Roman" w:eastAsia="仿宋_GB2312" w:cs="仿宋_GB2312"/>
          <w:color w:val="000000"/>
          <w:kern w:val="0"/>
          <w:sz w:val="32"/>
          <w:szCs w:val="32"/>
          <w:lang w:val="en-US" w:eastAsia="zh-CN"/>
        </w:rPr>
        <w:t>2</w:t>
      </w:r>
      <w:r>
        <w:rPr>
          <w:rFonts w:hint="eastAsia" w:ascii="Times New Roman" w:hAnsi="Times New Roman" w:eastAsia="仿宋_GB2312" w:cs="仿宋_GB2312"/>
          <w:color w:val="000000"/>
          <w:kern w:val="0"/>
          <w:sz w:val="32"/>
          <w:szCs w:val="32"/>
        </w:rPr>
        <w:t>辆，救护车1</w:t>
      </w:r>
      <w:r>
        <w:rPr>
          <w:rFonts w:hint="eastAsia" w:ascii="Times New Roman" w:hAnsi="Times New Roman" w:eastAsia="仿宋_GB2312" w:cs="仿宋_GB2312"/>
          <w:color w:val="000000"/>
          <w:kern w:val="0"/>
          <w:sz w:val="32"/>
          <w:szCs w:val="32"/>
          <w:lang w:val="en-US" w:eastAsia="zh-CN"/>
        </w:rPr>
        <w:t>9</w:t>
      </w:r>
      <w:r>
        <w:rPr>
          <w:rFonts w:hint="eastAsia" w:ascii="Times New Roman" w:hAnsi="Times New Roman" w:eastAsia="仿宋_GB2312" w:cs="仿宋_GB2312"/>
          <w:color w:val="000000"/>
          <w:kern w:val="0"/>
          <w:sz w:val="32"/>
          <w:szCs w:val="32"/>
        </w:rPr>
        <w:t>辆，其他车型5辆。</w:t>
      </w:r>
    </w:p>
    <w:p w14:paraId="228BCA73">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val="en-US" w:eastAsia="zh-CN"/>
        </w:rPr>
      </w:pPr>
      <w:r>
        <w:rPr>
          <w:rFonts w:hint="eastAsia" w:ascii="Times New Roman" w:hAnsi="Times New Roman" w:eastAsia="仿宋_GB2312" w:cs="仿宋_GB2312"/>
          <w:color w:val="000000"/>
          <w:kern w:val="0"/>
          <w:sz w:val="32"/>
          <w:szCs w:val="32"/>
          <w:lang w:val="en-US" w:eastAsia="zh-CN"/>
        </w:rPr>
        <w:t>2025年安排公务用车购置费0万元。</w:t>
      </w:r>
    </w:p>
    <w:p w14:paraId="00F39B25">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eastAsia="zh-CN"/>
        </w:rPr>
        <w:t>2025</w:t>
      </w:r>
      <w:r>
        <w:rPr>
          <w:rFonts w:hint="eastAsia" w:ascii="Times New Roman" w:hAnsi="Times New Roman" w:eastAsia="仿宋_GB2312" w:cs="仿宋_GB2312"/>
          <w:color w:val="000000"/>
          <w:kern w:val="0"/>
          <w:sz w:val="32"/>
          <w:szCs w:val="32"/>
        </w:rPr>
        <w:t>年安排公务用车运行维护费</w:t>
      </w:r>
      <w:r>
        <w:rPr>
          <w:rFonts w:hint="eastAsia" w:ascii="Times New Roman" w:hAnsi="Times New Roman" w:eastAsia="仿宋_GB2312" w:cs="仿宋_GB2312"/>
          <w:color w:val="000000"/>
          <w:kern w:val="0"/>
          <w:sz w:val="32"/>
          <w:szCs w:val="32"/>
          <w:lang w:val="en-US" w:eastAsia="zh-CN"/>
        </w:rPr>
        <w:t>80.50</w:t>
      </w:r>
      <w:r>
        <w:rPr>
          <w:rFonts w:hint="eastAsia" w:ascii="Times New Roman" w:hAnsi="Times New Roman" w:eastAsia="仿宋_GB2312" w:cs="仿宋_GB2312"/>
          <w:color w:val="000000"/>
          <w:kern w:val="0"/>
          <w:sz w:val="32"/>
          <w:szCs w:val="32"/>
        </w:rPr>
        <w:t>万元，用于公务用车燃油、维修、保险及其他车辆支出</w:t>
      </w:r>
      <w:r>
        <w:rPr>
          <w:rFonts w:hint="eastAsia" w:ascii="Times New Roman" w:hAnsi="Times New Roman" w:eastAsia="仿宋_GB2312" w:cs="仿宋_GB2312"/>
          <w:color w:val="000000"/>
          <w:kern w:val="0"/>
          <w:sz w:val="32"/>
          <w:szCs w:val="32"/>
          <w:lang w:eastAsia="zh-CN"/>
        </w:rPr>
        <w:t>，主要保障相关工作开展</w:t>
      </w:r>
      <w:r>
        <w:rPr>
          <w:rFonts w:hint="eastAsia" w:ascii="Times New Roman" w:hAnsi="Times New Roman" w:eastAsia="仿宋_GB2312" w:cs="仿宋_GB2312"/>
          <w:color w:val="000000"/>
          <w:kern w:val="0"/>
          <w:sz w:val="32"/>
          <w:szCs w:val="32"/>
        </w:rPr>
        <w:t>。</w:t>
      </w:r>
    </w:p>
    <w:p w14:paraId="0408944A">
      <w:pPr>
        <w:pStyle w:val="4"/>
        <w:bidi w:val="0"/>
        <w:rPr>
          <w:rStyle w:val="23"/>
          <w:rFonts w:hint="eastAsia" w:ascii="黑体" w:hAnsi="黑体" w:eastAsia="黑体" w:cs="黑体"/>
          <w:b w:val="0"/>
          <w:bCs/>
          <w:lang w:eastAsia="zh-CN"/>
        </w:rPr>
      </w:pPr>
      <w:r>
        <w:rPr>
          <w:rStyle w:val="23"/>
          <w:rFonts w:hint="eastAsia" w:ascii="黑体" w:hAnsi="黑体" w:eastAsia="黑体" w:cs="黑体"/>
          <w:b w:val="0"/>
          <w:bCs/>
          <w:lang w:eastAsia="zh-CN"/>
        </w:rPr>
        <w:t>八</w:t>
      </w:r>
      <w:r>
        <w:rPr>
          <w:rStyle w:val="23"/>
          <w:rFonts w:hint="eastAsia" w:ascii="黑体" w:hAnsi="黑体" w:eastAsia="黑体" w:cs="黑体"/>
          <w:b w:val="0"/>
          <w:bCs/>
        </w:rPr>
        <w:t>、其他重要事项的情况说明</w:t>
      </w:r>
    </w:p>
    <w:p w14:paraId="7DD4296C">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（一）机关运行经费。</w:t>
      </w:r>
    </w:p>
    <w:p w14:paraId="54DF644A">
      <w:pPr>
        <w:bidi w:val="0"/>
        <w:rPr>
          <w:rFonts w:hint="eastAsia" w:ascii="Times New Roman" w:hAnsi="Times New Roman" w:eastAsia="仿宋_GB2312" w:cs="仿宋_GB2312"/>
          <w:color w:val="000000"/>
          <w:sz w:val="32"/>
          <w:szCs w:val="32"/>
          <w:shd w:val="clear" w:color="auto" w:fill="FFFFFF"/>
        </w:rPr>
      </w:pPr>
      <w:r>
        <w:rPr>
          <w:rFonts w:hint="eastAsia" w:ascii="Times New Roman" w:hAnsi="Times New Roman" w:eastAsia="仿宋_GB2312" w:cs="仿宋_GB2312"/>
          <w:color w:val="000000"/>
          <w:sz w:val="32"/>
          <w:szCs w:val="32"/>
          <w:shd w:val="clear" w:color="auto" w:fill="FFFFFF"/>
          <w:lang w:eastAsia="zh-CN"/>
        </w:rPr>
        <w:t>2025</w:t>
      </w:r>
      <w:r>
        <w:rPr>
          <w:rFonts w:hint="eastAsia" w:ascii="Times New Roman" w:hAnsi="Times New Roman" w:eastAsia="仿宋_GB2312" w:cs="仿宋_GB2312"/>
          <w:color w:val="000000"/>
          <w:sz w:val="32"/>
          <w:szCs w:val="32"/>
          <w:shd w:val="clear" w:color="auto" w:fill="FFFFFF"/>
        </w:rPr>
        <w:t>年</w:t>
      </w:r>
      <w:r>
        <w:rPr>
          <w:rFonts w:hint="eastAsia" w:ascii="Times New Roman" w:hAnsi="Times New Roman" w:eastAsia="仿宋_GB2312" w:cs="仿宋_GB2312"/>
          <w:color w:val="000000"/>
          <w:sz w:val="32"/>
          <w:szCs w:val="32"/>
          <w:shd w:val="clear" w:color="auto" w:fill="FFFFFF"/>
          <w:lang w:eastAsia="zh-CN"/>
        </w:rPr>
        <w:t>，峨边彝族自治县卫生健康局</w:t>
      </w:r>
      <w:r>
        <w:rPr>
          <w:rFonts w:hint="eastAsia" w:ascii="Times New Roman" w:hAnsi="Times New Roman" w:eastAsia="仿宋_GB2312" w:cs="仿宋_GB2312"/>
          <w:color w:val="000000" w:themeColor="text1"/>
          <w:sz w:val="32"/>
          <w:szCs w:val="32"/>
          <w:lang w:eastAsia="zh-CN"/>
          <w14:textFill>
            <w14:solidFill>
              <w14:schemeClr w14:val="tx1"/>
            </w14:solidFill>
          </w14:textFill>
        </w:rPr>
        <w:t>运行经费财政拨款预算为</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88.94</w:t>
      </w:r>
      <w:r>
        <w:rPr>
          <w:rFonts w:hint="eastAsia" w:ascii="Times New Roman" w:hAnsi="Times New Roman" w:eastAsia="仿宋_GB2312" w:cs="仿宋_GB2312"/>
          <w:color w:val="000000"/>
          <w:sz w:val="32"/>
          <w:szCs w:val="32"/>
          <w:shd w:val="clear" w:color="auto" w:fill="FFFFFF"/>
        </w:rPr>
        <w:t>万元</w:t>
      </w:r>
      <w:r>
        <w:rPr>
          <w:rFonts w:hint="eastAsia" w:ascii="Times New Roman" w:hAnsi="Times New Roman" w:eastAsia="仿宋_GB2312" w:cs="仿宋_GB2312"/>
          <w:color w:val="000000"/>
          <w:sz w:val="32"/>
          <w:szCs w:val="32"/>
          <w:shd w:val="clear" w:color="auto" w:fill="FFFFFF"/>
          <w:lang w:eastAsia="zh-CN"/>
        </w:rPr>
        <w:t>，比2024年预算</w:t>
      </w:r>
      <w:r>
        <w:rPr>
          <w:rFonts w:hint="eastAsia" w:ascii="Times New Roman" w:hAnsi="Times New Roman" w:eastAsia="仿宋_GB2312" w:cs="仿宋_GB2312"/>
          <w:color w:val="auto"/>
          <w:kern w:val="0"/>
          <w:sz w:val="32"/>
          <w:szCs w:val="32"/>
          <w:lang w:eastAsia="zh-CN"/>
        </w:rPr>
        <w:t>减少</w:t>
      </w:r>
      <w:r>
        <w:rPr>
          <w:rFonts w:hint="eastAsia" w:ascii="Times New Roman" w:hAnsi="Times New Roman" w:eastAsia="仿宋_GB2312" w:cs="仿宋_GB2312"/>
          <w:color w:val="auto"/>
          <w:kern w:val="0"/>
          <w:sz w:val="32"/>
          <w:szCs w:val="32"/>
          <w:lang w:val="en-US" w:eastAsia="zh-CN"/>
        </w:rPr>
        <w:t>8.01</w:t>
      </w:r>
      <w:r>
        <w:rPr>
          <w:rFonts w:hint="eastAsia" w:ascii="Times New Roman" w:hAnsi="Times New Roman" w:eastAsia="仿宋_GB2312" w:cs="仿宋_GB2312"/>
          <w:color w:val="auto"/>
          <w:kern w:val="0"/>
          <w:sz w:val="32"/>
          <w:szCs w:val="32"/>
          <w:lang w:eastAsia="zh-CN"/>
        </w:rPr>
        <w:t>万元，主要原因是</w:t>
      </w:r>
      <w:r>
        <w:rPr>
          <w:rFonts w:hint="eastAsia" w:ascii="Times New Roman" w:hAnsi="Times New Roman" w:eastAsia="仿宋_GB2312" w:cs="仿宋_GB2312"/>
          <w:color w:val="auto"/>
          <w:kern w:val="0"/>
          <w:sz w:val="32"/>
          <w:szCs w:val="32"/>
          <w:lang w:val="en-US" w:eastAsia="zh-CN"/>
        </w:rPr>
        <w:t>厉行节约，压减办公经费开支</w:t>
      </w:r>
      <w:r>
        <w:rPr>
          <w:rFonts w:hint="eastAsia" w:ascii="Times New Roman" w:hAnsi="Times New Roman" w:eastAsia="仿宋_GB2312" w:cs="仿宋_GB2312"/>
          <w:color w:val="000000"/>
          <w:sz w:val="32"/>
          <w:szCs w:val="32"/>
          <w:shd w:val="clear" w:color="auto" w:fill="FFFFFF"/>
        </w:rPr>
        <w:t>。</w:t>
      </w:r>
    </w:p>
    <w:p w14:paraId="68057CCC">
      <w:pPr>
        <w:bidi w:val="0"/>
        <w:rPr>
          <w:rFonts w:hint="eastAsia" w:ascii="Times New Roman" w:hAnsi="Times New Roman" w:eastAsia="仿宋_GB2312" w:cs="仿宋_GB2312"/>
          <w:color w:val="000000"/>
          <w:sz w:val="32"/>
          <w:szCs w:val="32"/>
          <w:shd w:val="clear" w:color="auto" w:fill="FFFFFF"/>
          <w:lang w:eastAsia="zh-CN"/>
        </w:rPr>
      </w:pPr>
      <w:r>
        <w:rPr>
          <w:rFonts w:hint="eastAsia" w:ascii="Times New Roman" w:hAnsi="Times New Roman" w:eastAsia="仿宋_GB2312" w:cs="仿宋_GB2312"/>
          <w:color w:val="000000"/>
          <w:sz w:val="32"/>
          <w:szCs w:val="32"/>
          <w:shd w:val="clear" w:color="auto" w:fill="FFFFFF"/>
          <w:lang w:eastAsia="zh-CN"/>
        </w:rPr>
        <w:t>机关运行经费统计口径：</w:t>
      </w:r>
      <w:r>
        <w:rPr>
          <w:rFonts w:hint="eastAsia" w:ascii="Times New Roman" w:hAnsi="Times New Roman" w:eastAsia="仿宋_GB2312" w:cs="仿宋_GB2312"/>
          <w:color w:val="000000"/>
          <w:sz w:val="32"/>
          <w:szCs w:val="32"/>
          <w:shd w:val="clear" w:color="auto" w:fill="FFFFFF"/>
        </w:rPr>
        <w:t>为保障行政单位（包括参照公务员法管理事业单位）运行用于购买货物和服务的各项资金，包括办公及印刷费、邮电费、差旅费、会议费、福利费、日常维护费、专用材料及一般设备购置费、办公用房水电费、办公用房取暖费、办公用房物业管理费、公务用车运行维护以及其他费用。</w:t>
      </w:r>
    </w:p>
    <w:p w14:paraId="5B0E3CD4">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（二）政府采购情况。</w:t>
      </w:r>
    </w:p>
    <w:p w14:paraId="2EAC454C">
      <w:pPr>
        <w:suppressAutoHyphens/>
        <w:spacing w:line="580" w:lineRule="exact"/>
        <w:ind w:firstLine="640" w:firstLineChars="200"/>
        <w:jc w:val="both"/>
        <w:outlineLvl w:val="2"/>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eastAsia="zh-CN"/>
        </w:rPr>
        <w:t>2025年，峨边彝族自治县卫生健康局安排政府采购预算</w:t>
      </w:r>
      <w:r>
        <w:rPr>
          <w:rFonts w:hint="eastAsia" w:ascii="Times New Roman" w:hAnsi="Times New Roman" w:eastAsia="仿宋_GB2312" w:cs="仿宋_GB2312"/>
          <w:color w:val="000000"/>
          <w:kern w:val="0"/>
          <w:sz w:val="32"/>
          <w:szCs w:val="32"/>
          <w:lang w:val="en-US" w:eastAsia="zh-CN"/>
        </w:rPr>
        <w:t>14</w:t>
      </w:r>
      <w:r>
        <w:rPr>
          <w:rFonts w:hint="eastAsia" w:ascii="Times New Roman" w:hAnsi="Times New Roman" w:eastAsia="仿宋_GB2312" w:cs="仿宋_GB2312"/>
          <w:color w:val="000000"/>
          <w:kern w:val="0"/>
          <w:sz w:val="32"/>
          <w:szCs w:val="32"/>
          <w:lang w:eastAsia="zh-CN"/>
        </w:rPr>
        <w:t>万元，其中，政府采购货物预算</w:t>
      </w:r>
      <w:r>
        <w:rPr>
          <w:rFonts w:hint="eastAsia" w:ascii="Times New Roman" w:hAnsi="Times New Roman" w:eastAsia="仿宋_GB2312" w:cs="仿宋_GB2312"/>
          <w:color w:val="000000"/>
          <w:kern w:val="0"/>
          <w:sz w:val="32"/>
          <w:szCs w:val="32"/>
          <w:lang w:val="en-US" w:eastAsia="zh-CN"/>
        </w:rPr>
        <w:t>9</w:t>
      </w:r>
      <w:r>
        <w:rPr>
          <w:rFonts w:hint="eastAsia" w:ascii="Times New Roman" w:hAnsi="Times New Roman" w:eastAsia="仿宋_GB2312" w:cs="仿宋_GB2312"/>
          <w:color w:val="000000"/>
          <w:kern w:val="0"/>
          <w:sz w:val="32"/>
          <w:szCs w:val="32"/>
          <w:lang w:eastAsia="zh-CN"/>
        </w:rPr>
        <w:t>万元；政府采购工程预算</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lang w:eastAsia="zh-CN"/>
        </w:rPr>
        <w:t>万元；政府采购服务预算</w:t>
      </w:r>
      <w:r>
        <w:rPr>
          <w:rFonts w:hint="eastAsia" w:ascii="Times New Roman" w:hAnsi="Times New Roman" w:eastAsia="仿宋_GB2312" w:cs="仿宋_GB2312"/>
          <w:color w:val="000000"/>
          <w:kern w:val="0"/>
          <w:sz w:val="32"/>
          <w:szCs w:val="32"/>
          <w:lang w:val="en-US" w:eastAsia="zh-CN"/>
        </w:rPr>
        <w:t>5</w:t>
      </w:r>
      <w:r>
        <w:rPr>
          <w:rFonts w:hint="eastAsia" w:ascii="Times New Roman" w:hAnsi="Times New Roman" w:eastAsia="仿宋_GB2312" w:cs="仿宋_GB2312"/>
          <w:color w:val="000000"/>
          <w:kern w:val="0"/>
          <w:sz w:val="32"/>
          <w:szCs w:val="32"/>
          <w:lang w:eastAsia="zh-CN"/>
        </w:rPr>
        <w:t>万元。</w:t>
      </w:r>
    </w:p>
    <w:p w14:paraId="22BA3C5D">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rPr>
      </w:pPr>
      <w:r>
        <w:rPr>
          <w:rFonts w:hint="eastAsia" w:ascii="Times New Roman" w:hAnsi="Times New Roman" w:eastAsia="楷体_GB2312" w:cs="Times New Roman"/>
          <w:b w:val="0"/>
          <w:bCs/>
          <w:sz w:val="32"/>
          <w:szCs w:val="32"/>
        </w:rPr>
        <w:t>（</w:t>
      </w:r>
      <w:r>
        <w:rPr>
          <w:rFonts w:hint="eastAsia" w:ascii="Times New Roman" w:hAnsi="Times New Roman" w:eastAsia="楷体_GB2312" w:cs="Times New Roman"/>
          <w:b w:val="0"/>
          <w:bCs/>
          <w:sz w:val="32"/>
          <w:szCs w:val="32"/>
          <w:lang w:eastAsia="zh-CN"/>
        </w:rPr>
        <w:t>三</w:t>
      </w:r>
      <w:r>
        <w:rPr>
          <w:rFonts w:hint="eastAsia" w:ascii="Times New Roman" w:hAnsi="Times New Roman" w:eastAsia="楷体_GB2312" w:cs="Times New Roman"/>
          <w:b w:val="0"/>
          <w:bCs/>
          <w:sz w:val="32"/>
          <w:szCs w:val="32"/>
        </w:rPr>
        <w:t>）国有资产占有使用情况。</w:t>
      </w:r>
    </w:p>
    <w:p w14:paraId="36B58FC5">
      <w:pPr>
        <w:rPr>
          <w:rFonts w:hint="eastAsia" w:ascii="Times New Roman" w:hAnsi="Times New Roman" w:eastAsia="仿宋_GB2312" w:cs="仿宋_GB2312"/>
          <w:color w:val="000000"/>
          <w:kern w:val="0"/>
        </w:rPr>
      </w:pPr>
      <w:r>
        <w:rPr>
          <w:rFonts w:hint="eastAsia" w:ascii="Times New Roman" w:hAnsi="Times New Roman" w:eastAsia="仿宋_GB2312" w:cs="仿宋_GB2312"/>
          <w:color w:val="000000"/>
          <w:kern w:val="0"/>
        </w:rPr>
        <w:t>截至2024年底，峨边彝族自治县卫生健康局所属各预算单位共有车辆</w:t>
      </w:r>
      <w:r>
        <w:rPr>
          <w:rFonts w:hint="eastAsia" w:ascii="Times New Roman" w:hAnsi="Times New Roman" w:eastAsia="仿宋_GB2312" w:cs="仿宋_GB2312"/>
          <w:color w:val="000000"/>
          <w:kern w:val="0"/>
          <w:lang w:val="en-US" w:eastAsia="zh-CN"/>
        </w:rPr>
        <w:t>28</w:t>
      </w:r>
      <w:r>
        <w:rPr>
          <w:rFonts w:hint="eastAsia" w:ascii="Times New Roman" w:hAnsi="Times New Roman" w:eastAsia="仿宋_GB2312" w:cs="仿宋_GB2312"/>
          <w:color w:val="000000"/>
          <w:kern w:val="0"/>
        </w:rPr>
        <w:t>辆，其中，县级领导干部用车</w:t>
      </w:r>
      <w:r>
        <w:rPr>
          <w:rFonts w:hint="eastAsia" w:ascii="Times New Roman" w:hAnsi="Times New Roman" w:eastAsia="仿宋_GB2312" w:cs="仿宋_GB2312"/>
          <w:color w:val="000000"/>
          <w:kern w:val="0"/>
          <w:lang w:val="en-US" w:eastAsia="zh-CN"/>
        </w:rPr>
        <w:t>0</w:t>
      </w:r>
      <w:r>
        <w:rPr>
          <w:rFonts w:hint="eastAsia" w:ascii="Times New Roman" w:hAnsi="Times New Roman" w:eastAsia="仿宋_GB2312" w:cs="仿宋_GB2312"/>
          <w:color w:val="000000"/>
          <w:kern w:val="0"/>
        </w:rPr>
        <w:t>辆、定向保障用车</w:t>
      </w:r>
      <w:r>
        <w:rPr>
          <w:rFonts w:hint="eastAsia" w:ascii="Times New Roman" w:hAnsi="Times New Roman" w:eastAsia="仿宋_GB2312" w:cs="仿宋_GB2312"/>
          <w:color w:val="000000"/>
          <w:kern w:val="0"/>
          <w:lang w:val="en-US" w:eastAsia="zh-CN"/>
        </w:rPr>
        <w:t>4</w:t>
      </w:r>
      <w:r>
        <w:rPr>
          <w:rFonts w:hint="eastAsia" w:ascii="Times New Roman" w:hAnsi="Times New Roman" w:eastAsia="仿宋_GB2312" w:cs="仿宋_GB2312"/>
          <w:color w:val="000000"/>
          <w:kern w:val="0"/>
        </w:rPr>
        <w:t>辆、执法执勤用车</w:t>
      </w:r>
      <w:r>
        <w:rPr>
          <w:rFonts w:hint="eastAsia" w:ascii="Times New Roman" w:hAnsi="Times New Roman" w:eastAsia="仿宋_GB2312" w:cs="仿宋_GB2312"/>
          <w:color w:val="000000"/>
          <w:kern w:val="0"/>
          <w:lang w:val="en-US" w:eastAsia="zh-CN"/>
        </w:rPr>
        <w:t>0</w:t>
      </w:r>
      <w:r>
        <w:rPr>
          <w:rFonts w:hint="eastAsia" w:ascii="Times New Roman" w:hAnsi="Times New Roman" w:eastAsia="仿宋_GB2312" w:cs="仿宋_GB2312"/>
          <w:color w:val="000000"/>
          <w:kern w:val="0"/>
        </w:rPr>
        <w:t>辆</w:t>
      </w:r>
      <w:r>
        <w:rPr>
          <w:rFonts w:hint="eastAsia" w:ascii="Times New Roman" w:hAnsi="Times New Roman" w:eastAsia="仿宋_GB2312" w:cs="仿宋_GB2312"/>
          <w:color w:val="000000"/>
          <w:kern w:val="0"/>
          <w:lang w:eastAsia="zh-CN"/>
        </w:rPr>
        <w:t>、特种专业技术用车</w:t>
      </w:r>
      <w:r>
        <w:rPr>
          <w:rFonts w:hint="eastAsia" w:ascii="Times New Roman" w:hAnsi="Times New Roman" w:eastAsia="仿宋_GB2312" w:cs="仿宋_GB2312"/>
          <w:color w:val="000000"/>
          <w:kern w:val="0"/>
          <w:lang w:val="en-US" w:eastAsia="zh-CN"/>
        </w:rPr>
        <w:t>19辆、其他车辆4辆</w:t>
      </w:r>
      <w:r>
        <w:rPr>
          <w:rFonts w:hint="eastAsia" w:ascii="Times New Roman" w:hAnsi="Times New Roman" w:eastAsia="仿宋_GB2312" w:cs="仿宋_GB2312"/>
          <w:color w:val="000000"/>
          <w:kern w:val="0"/>
        </w:rPr>
        <w:t>。单位价值200万元以上大型设备</w:t>
      </w:r>
      <w:r>
        <w:rPr>
          <w:rFonts w:hint="eastAsia" w:ascii="Times New Roman" w:hAnsi="Times New Roman" w:eastAsia="仿宋_GB2312" w:cs="仿宋_GB2312"/>
          <w:color w:val="000000"/>
          <w:kern w:val="0"/>
          <w:lang w:val="en-US" w:eastAsia="zh-CN"/>
        </w:rPr>
        <w:t>6</w:t>
      </w:r>
      <w:r>
        <w:rPr>
          <w:rFonts w:hint="eastAsia" w:ascii="Times New Roman" w:hAnsi="Times New Roman" w:eastAsia="仿宋_GB2312" w:cs="仿宋_GB2312"/>
          <w:color w:val="000000"/>
          <w:kern w:val="0"/>
        </w:rPr>
        <w:t>台（套）。</w:t>
      </w:r>
    </w:p>
    <w:p w14:paraId="2B68134B">
      <w:pPr>
        <w:rPr>
          <w:rFonts w:hint="eastAsia" w:ascii="Times New Roman" w:hAnsi="Times New Roman" w:eastAsia="仿宋_GB2312" w:cs="仿宋_GB2312"/>
          <w:color w:val="000000"/>
          <w:kern w:val="0"/>
        </w:rPr>
      </w:pPr>
      <w:r>
        <w:rPr>
          <w:rFonts w:hint="eastAsia" w:ascii="Times New Roman" w:hAnsi="Times New Roman" w:eastAsia="仿宋_GB2312" w:cs="仿宋_GB2312"/>
          <w:color w:val="000000"/>
          <w:kern w:val="0"/>
          <w:lang w:eastAsia="zh-CN"/>
        </w:rPr>
        <w:t>202</w:t>
      </w:r>
      <w:r>
        <w:rPr>
          <w:rFonts w:hint="eastAsia" w:ascii="Times New Roman" w:hAnsi="Times New Roman" w:eastAsia="仿宋_GB2312" w:cs="仿宋_GB2312"/>
          <w:color w:val="000000"/>
          <w:kern w:val="0"/>
          <w:lang w:val="en-US" w:eastAsia="zh-CN"/>
        </w:rPr>
        <w:t>5</w:t>
      </w:r>
      <w:r>
        <w:rPr>
          <w:rFonts w:hint="eastAsia" w:ascii="Times New Roman" w:hAnsi="Times New Roman" w:eastAsia="仿宋_GB2312" w:cs="仿宋_GB2312"/>
          <w:color w:val="000000"/>
          <w:kern w:val="0"/>
        </w:rPr>
        <w:t>年部门预算</w:t>
      </w:r>
      <w:r>
        <w:rPr>
          <w:rFonts w:hint="eastAsia" w:ascii="Times New Roman" w:hAnsi="Times New Roman" w:eastAsia="仿宋_GB2312" w:cs="仿宋_GB2312"/>
          <w:color w:val="000000" w:themeColor="text1"/>
          <w:kern w:val="0"/>
          <w14:textFill>
            <w14:solidFill>
              <w14:schemeClr w14:val="tx1"/>
            </w14:solidFill>
          </w14:textFill>
        </w:rPr>
        <w:t>未</w:t>
      </w:r>
      <w:r>
        <w:rPr>
          <w:rFonts w:hint="eastAsia" w:ascii="Times New Roman" w:hAnsi="Times New Roman" w:eastAsia="仿宋_GB2312" w:cs="仿宋_GB2312"/>
          <w:color w:val="000000"/>
          <w:kern w:val="0"/>
        </w:rPr>
        <w:t>安排购置车辆及单位价值200万元以上大型设备。</w:t>
      </w:r>
    </w:p>
    <w:p w14:paraId="15FFCD76">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w:t>
      </w:r>
      <w:r>
        <w:rPr>
          <w:rFonts w:hint="eastAsia" w:ascii="Times New Roman" w:hAnsi="Times New Roman" w:eastAsia="楷体_GB2312" w:cs="Times New Roman"/>
          <w:b w:val="0"/>
          <w:bCs/>
          <w:sz w:val="32"/>
          <w:szCs w:val="32"/>
          <w:lang w:eastAsia="zh-CN"/>
        </w:rPr>
        <w:t>四</w:t>
      </w:r>
      <w:r>
        <w:rPr>
          <w:rFonts w:hint="eastAsia" w:ascii="Times New Roman" w:hAnsi="Times New Roman" w:eastAsia="楷体_GB2312" w:cs="Times New Roman"/>
          <w:b w:val="0"/>
          <w:bCs/>
          <w:sz w:val="32"/>
          <w:szCs w:val="32"/>
        </w:rPr>
        <w:t>）绩效目标设置情况。</w:t>
      </w:r>
    </w:p>
    <w:p w14:paraId="5ACE1902">
      <w:pPr>
        <w:bidi w:val="0"/>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eastAsia="zh-CN"/>
        </w:rPr>
        <w:t>2025年，峨边彝族自治县卫生健康局开展绩效目标管理的项目</w:t>
      </w:r>
      <w:r>
        <w:rPr>
          <w:rFonts w:hint="eastAsia" w:ascii="Times New Roman" w:hAnsi="Times New Roman" w:eastAsia="仿宋_GB2312" w:cs="仿宋_GB2312"/>
          <w:color w:val="000000"/>
          <w:kern w:val="0"/>
          <w:sz w:val="32"/>
          <w:szCs w:val="32"/>
          <w:lang w:val="en-US" w:eastAsia="zh-CN"/>
        </w:rPr>
        <w:t>19</w:t>
      </w:r>
      <w:r>
        <w:rPr>
          <w:rFonts w:hint="eastAsia" w:ascii="Times New Roman" w:hAnsi="Times New Roman" w:eastAsia="仿宋_GB2312" w:cs="仿宋_GB2312"/>
          <w:color w:val="000000"/>
          <w:kern w:val="0"/>
          <w:sz w:val="32"/>
          <w:szCs w:val="32"/>
          <w:lang w:eastAsia="zh-CN"/>
        </w:rPr>
        <w:t>个，涉及预算</w:t>
      </w:r>
      <w:r>
        <w:rPr>
          <w:rFonts w:hint="eastAsia" w:ascii="Times New Roman" w:hAnsi="Times New Roman" w:eastAsia="仿宋_GB2312" w:cs="仿宋_GB2312"/>
          <w:color w:val="000000"/>
          <w:kern w:val="0"/>
          <w:sz w:val="32"/>
          <w:szCs w:val="32"/>
          <w:lang w:val="en-US" w:eastAsia="zh-CN"/>
        </w:rPr>
        <w:t>6461.07</w:t>
      </w:r>
      <w:r>
        <w:rPr>
          <w:rFonts w:hint="eastAsia" w:ascii="Times New Roman" w:hAnsi="Times New Roman" w:eastAsia="仿宋_GB2312" w:cs="仿宋_GB2312"/>
          <w:color w:val="000000"/>
          <w:kern w:val="0"/>
          <w:sz w:val="32"/>
          <w:szCs w:val="32"/>
          <w:lang w:eastAsia="zh-CN"/>
        </w:rPr>
        <w:t>万元。其中：人员类项目</w:t>
      </w:r>
      <w:r>
        <w:rPr>
          <w:rFonts w:hint="eastAsia" w:ascii="Times New Roman" w:hAnsi="Times New Roman" w:eastAsia="仿宋_GB2312" w:cs="仿宋_GB2312"/>
          <w:color w:val="000000"/>
          <w:kern w:val="0"/>
          <w:sz w:val="32"/>
          <w:szCs w:val="32"/>
          <w:lang w:val="en-US" w:eastAsia="zh-CN"/>
        </w:rPr>
        <w:t>11</w:t>
      </w:r>
      <w:r>
        <w:rPr>
          <w:rFonts w:hint="eastAsia" w:ascii="Times New Roman" w:hAnsi="Times New Roman" w:eastAsia="仿宋_GB2312" w:cs="仿宋_GB2312"/>
          <w:color w:val="000000"/>
          <w:kern w:val="0"/>
          <w:sz w:val="32"/>
          <w:szCs w:val="32"/>
          <w:lang w:eastAsia="zh-CN"/>
        </w:rPr>
        <w:t>个，涉及预算</w:t>
      </w:r>
      <w:r>
        <w:rPr>
          <w:rFonts w:hint="eastAsia" w:ascii="Times New Roman" w:hAnsi="Times New Roman" w:eastAsia="仿宋_GB2312" w:cs="仿宋_GB2312"/>
          <w:color w:val="000000"/>
          <w:kern w:val="0"/>
          <w:sz w:val="32"/>
          <w:szCs w:val="32"/>
          <w:lang w:val="en-US" w:eastAsia="zh-CN"/>
        </w:rPr>
        <w:t>5557.22</w:t>
      </w:r>
      <w:r>
        <w:rPr>
          <w:rFonts w:hint="eastAsia" w:ascii="Times New Roman" w:hAnsi="Times New Roman" w:eastAsia="仿宋_GB2312" w:cs="仿宋_GB2312"/>
          <w:color w:val="000000"/>
          <w:kern w:val="0"/>
          <w:sz w:val="32"/>
          <w:szCs w:val="32"/>
          <w:lang w:eastAsia="zh-CN"/>
        </w:rPr>
        <w:t>万元；运转类项目</w:t>
      </w:r>
      <w:r>
        <w:rPr>
          <w:rFonts w:hint="eastAsia" w:ascii="Times New Roman" w:hAnsi="Times New Roman" w:eastAsia="仿宋_GB2312" w:cs="仿宋_GB2312"/>
          <w:color w:val="000000"/>
          <w:kern w:val="0"/>
          <w:sz w:val="32"/>
          <w:szCs w:val="32"/>
          <w:lang w:val="en-US" w:eastAsia="zh-CN"/>
        </w:rPr>
        <w:t>3</w:t>
      </w:r>
      <w:r>
        <w:rPr>
          <w:rFonts w:hint="eastAsia" w:ascii="Times New Roman" w:hAnsi="Times New Roman" w:eastAsia="仿宋_GB2312" w:cs="仿宋_GB2312"/>
          <w:color w:val="000000"/>
          <w:kern w:val="0"/>
          <w:sz w:val="32"/>
          <w:szCs w:val="32"/>
          <w:lang w:eastAsia="zh-CN"/>
        </w:rPr>
        <w:t>个，涉及预算</w:t>
      </w:r>
      <w:r>
        <w:rPr>
          <w:rFonts w:hint="eastAsia" w:ascii="Times New Roman" w:hAnsi="Times New Roman" w:eastAsia="仿宋_GB2312" w:cs="仿宋_GB2312"/>
          <w:color w:val="000000"/>
          <w:kern w:val="0"/>
          <w:sz w:val="32"/>
          <w:szCs w:val="32"/>
          <w:lang w:val="en-US" w:eastAsia="zh-CN"/>
        </w:rPr>
        <w:t>461.45</w:t>
      </w:r>
      <w:r>
        <w:rPr>
          <w:rFonts w:hint="eastAsia" w:ascii="Times New Roman" w:hAnsi="Times New Roman" w:eastAsia="仿宋_GB2312" w:cs="仿宋_GB2312"/>
          <w:color w:val="000000"/>
          <w:kern w:val="0"/>
          <w:sz w:val="32"/>
          <w:szCs w:val="32"/>
          <w:lang w:eastAsia="zh-CN"/>
        </w:rPr>
        <w:t>万元；特定目标类项目</w:t>
      </w:r>
      <w:r>
        <w:rPr>
          <w:rFonts w:hint="eastAsia" w:ascii="Times New Roman" w:hAnsi="Times New Roman" w:eastAsia="仿宋_GB2312" w:cs="仿宋_GB2312"/>
          <w:color w:val="000000"/>
          <w:kern w:val="0"/>
          <w:sz w:val="32"/>
          <w:szCs w:val="32"/>
          <w:lang w:val="en-US" w:eastAsia="zh-CN"/>
        </w:rPr>
        <w:t>5</w:t>
      </w:r>
      <w:r>
        <w:rPr>
          <w:rFonts w:hint="eastAsia" w:ascii="Times New Roman" w:hAnsi="Times New Roman" w:eastAsia="仿宋_GB2312" w:cs="仿宋_GB2312"/>
          <w:color w:val="000000"/>
          <w:kern w:val="0"/>
          <w:sz w:val="32"/>
          <w:szCs w:val="32"/>
          <w:lang w:eastAsia="zh-CN"/>
        </w:rPr>
        <w:t>个，涉及预算</w:t>
      </w:r>
      <w:r>
        <w:rPr>
          <w:rFonts w:hint="eastAsia" w:ascii="Times New Roman" w:hAnsi="Times New Roman" w:eastAsia="仿宋_GB2312" w:cs="仿宋_GB2312"/>
          <w:color w:val="000000"/>
          <w:kern w:val="0"/>
          <w:sz w:val="32"/>
          <w:szCs w:val="32"/>
          <w:lang w:val="en-US" w:eastAsia="zh-CN"/>
        </w:rPr>
        <w:t>442.40</w:t>
      </w:r>
      <w:r>
        <w:rPr>
          <w:rFonts w:hint="eastAsia" w:ascii="Times New Roman" w:hAnsi="Times New Roman" w:eastAsia="仿宋_GB2312" w:cs="仿宋_GB2312"/>
          <w:color w:val="000000"/>
          <w:kern w:val="0"/>
          <w:sz w:val="32"/>
          <w:szCs w:val="32"/>
          <w:lang w:eastAsia="zh-CN"/>
        </w:rPr>
        <w:t>万元</w:t>
      </w:r>
      <w:r>
        <w:rPr>
          <w:rFonts w:hint="eastAsia" w:ascii="Times New Roman" w:hAnsi="Times New Roman" w:eastAsia="仿宋_GB2312" w:cs="仿宋_GB2312"/>
          <w:color w:val="000000"/>
          <w:kern w:val="0"/>
          <w:sz w:val="32"/>
          <w:szCs w:val="32"/>
        </w:rPr>
        <w:t>。</w:t>
      </w:r>
    </w:p>
    <w:p w14:paraId="7ECBBDEC">
      <w:pPr>
        <w:rPr>
          <w:rFonts w:hint="eastAsia"/>
          <w:lang w:val="en-US" w:eastAsia="zh-CN"/>
        </w:rPr>
      </w:pPr>
    </w:p>
    <w:p w14:paraId="1517D407">
      <w:pPr>
        <w:rPr>
          <w:rFonts w:hint="eastAsia"/>
          <w:lang w:val="en-US" w:eastAsia="zh-CN"/>
        </w:rPr>
      </w:pPr>
    </w:p>
    <w:p w14:paraId="3A715D49">
      <w:pPr>
        <w:rPr>
          <w:rFonts w:hint="eastAsia"/>
          <w:lang w:val="en-US" w:eastAsia="zh-CN"/>
        </w:rPr>
      </w:pPr>
    </w:p>
    <w:p w14:paraId="1FE99AEC">
      <w:pPr>
        <w:rPr>
          <w:rFonts w:hint="eastAsia"/>
          <w:lang w:val="en-US" w:eastAsia="zh-CN"/>
        </w:rPr>
      </w:pPr>
    </w:p>
    <w:p w14:paraId="69B5E88A">
      <w:pPr>
        <w:rPr>
          <w:rFonts w:hint="eastAsia"/>
          <w:lang w:val="en-US" w:eastAsia="zh-CN"/>
        </w:rPr>
      </w:pPr>
    </w:p>
    <w:p w14:paraId="55ED65B8">
      <w:pPr>
        <w:rPr>
          <w:rFonts w:hint="eastAsia"/>
          <w:lang w:val="en-US" w:eastAsia="zh-CN"/>
        </w:rPr>
      </w:pPr>
    </w:p>
    <w:p w14:paraId="4E699A9A">
      <w:pPr>
        <w:rPr>
          <w:rFonts w:hint="eastAsia"/>
          <w:lang w:val="en-US" w:eastAsia="zh-CN"/>
        </w:rPr>
      </w:pPr>
    </w:p>
    <w:p w14:paraId="1DF28E62">
      <w:pPr>
        <w:rPr>
          <w:rFonts w:hint="eastAsia"/>
          <w:lang w:val="en-US" w:eastAsia="zh-CN"/>
        </w:rPr>
      </w:pPr>
    </w:p>
    <w:p w14:paraId="7BEDDD46">
      <w:pPr>
        <w:rPr>
          <w:rFonts w:hint="eastAsia"/>
          <w:lang w:val="en-US" w:eastAsia="zh-CN"/>
        </w:rPr>
      </w:pPr>
    </w:p>
    <w:p w14:paraId="08FCBA9D">
      <w:pPr>
        <w:rPr>
          <w:rFonts w:hint="eastAsia"/>
          <w:lang w:val="en-US" w:eastAsia="zh-CN"/>
        </w:rPr>
      </w:pPr>
    </w:p>
    <w:p w14:paraId="290364B1">
      <w:pPr>
        <w:rPr>
          <w:rFonts w:hint="eastAsia"/>
          <w:lang w:val="en-US" w:eastAsia="zh-CN"/>
        </w:rPr>
      </w:pPr>
    </w:p>
    <w:p w14:paraId="74F1CDCE">
      <w:pPr>
        <w:rPr>
          <w:rFonts w:hint="eastAsia"/>
          <w:lang w:val="en-US" w:eastAsia="zh-CN"/>
        </w:rPr>
      </w:pPr>
    </w:p>
    <w:p w14:paraId="6AC5353A">
      <w:pPr>
        <w:rPr>
          <w:rFonts w:hint="eastAsia"/>
          <w:lang w:val="en-US" w:eastAsia="zh-CN"/>
        </w:rPr>
      </w:pPr>
    </w:p>
    <w:p w14:paraId="4124650B">
      <w:pPr>
        <w:rPr>
          <w:rFonts w:hint="eastAsia"/>
          <w:lang w:val="en-US" w:eastAsia="zh-CN"/>
        </w:rPr>
      </w:pPr>
    </w:p>
    <w:p w14:paraId="4631D4D7">
      <w:pPr>
        <w:rPr>
          <w:rFonts w:hint="eastAsia"/>
          <w:lang w:val="en-US" w:eastAsia="zh-CN"/>
        </w:rPr>
      </w:pPr>
    </w:p>
    <w:p w14:paraId="33A7CFAB">
      <w:pPr>
        <w:rPr>
          <w:rFonts w:hint="eastAsia"/>
          <w:lang w:val="en-US" w:eastAsia="zh-CN"/>
        </w:rPr>
      </w:pPr>
    </w:p>
    <w:p w14:paraId="2912E5F1">
      <w:pPr>
        <w:rPr>
          <w:rFonts w:hint="eastAsia"/>
          <w:lang w:val="en-US" w:eastAsia="zh-CN"/>
        </w:rPr>
      </w:pPr>
    </w:p>
    <w:p w14:paraId="7DBABB57">
      <w:pPr>
        <w:rPr>
          <w:rFonts w:hint="eastAsia"/>
          <w:lang w:val="en-US" w:eastAsia="zh-CN"/>
        </w:rPr>
      </w:pPr>
    </w:p>
    <w:p w14:paraId="088D3E5D">
      <w:pPr>
        <w:pStyle w:val="2"/>
        <w:numPr>
          <w:ilvl w:val="0"/>
          <w:numId w:val="0"/>
        </w:numPr>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第四部分  名词解释</w:t>
      </w:r>
    </w:p>
    <w:p w14:paraId="1AF2D4B6">
      <w:pPr>
        <w:widowControl/>
        <w:numPr>
          <w:ilvl w:val="0"/>
          <w:numId w:val="0"/>
        </w:numPr>
        <w:shd w:val="clear" w:color="auto" w:fill="FFFFFF"/>
        <w:ind w:left="960" w:leftChars="0"/>
        <w:jc w:val="left"/>
        <w:rPr>
          <w:rFonts w:hint="eastAsia" w:ascii="仿宋" w:hAnsi="宋体" w:eastAsia="仿宋" w:cs="宋体"/>
          <w:color w:val="000000"/>
          <w:kern w:val="0"/>
          <w:sz w:val="32"/>
          <w:szCs w:val="32"/>
        </w:rPr>
      </w:pPr>
    </w:p>
    <w:p w14:paraId="4E054C20">
      <w:pPr>
        <w:widowControl/>
        <w:numPr>
          <w:ilvl w:val="0"/>
          <w:numId w:val="0"/>
        </w:numPr>
        <w:shd w:val="clear" w:color="auto" w:fill="FFFFFF"/>
        <w:jc w:val="left"/>
        <w:rPr>
          <w:rFonts w:hint="eastAsia" w:ascii="仿宋" w:hAnsi="宋体" w:eastAsia="仿宋" w:cs="宋体"/>
          <w:color w:val="000000"/>
          <w:kern w:val="0"/>
          <w:sz w:val="32"/>
          <w:szCs w:val="32"/>
        </w:rPr>
      </w:pPr>
    </w:p>
    <w:p w14:paraId="48A662BE">
      <w:pPr>
        <w:widowControl/>
        <w:numPr>
          <w:ilvl w:val="0"/>
          <w:numId w:val="0"/>
        </w:numPr>
        <w:shd w:val="clear" w:color="auto" w:fill="FFFFFF"/>
        <w:jc w:val="left"/>
        <w:rPr>
          <w:rFonts w:hint="eastAsia" w:ascii="仿宋" w:hAnsi="宋体" w:eastAsia="仿宋" w:cs="宋体"/>
          <w:color w:val="000000"/>
          <w:kern w:val="0"/>
          <w:sz w:val="32"/>
          <w:szCs w:val="32"/>
        </w:rPr>
      </w:pPr>
    </w:p>
    <w:p w14:paraId="4B8245C4">
      <w:pPr>
        <w:widowControl/>
        <w:numPr>
          <w:ilvl w:val="0"/>
          <w:numId w:val="0"/>
        </w:numPr>
        <w:shd w:val="clear" w:color="auto" w:fill="FFFFFF"/>
        <w:jc w:val="left"/>
        <w:rPr>
          <w:rFonts w:hint="eastAsia" w:ascii="仿宋" w:hAnsi="宋体" w:eastAsia="仿宋" w:cs="宋体"/>
          <w:color w:val="000000"/>
          <w:kern w:val="0"/>
          <w:sz w:val="32"/>
          <w:szCs w:val="32"/>
        </w:rPr>
      </w:pPr>
    </w:p>
    <w:p w14:paraId="2CCB710F">
      <w:pPr>
        <w:widowControl/>
        <w:numPr>
          <w:ilvl w:val="0"/>
          <w:numId w:val="0"/>
        </w:numPr>
        <w:shd w:val="clear" w:color="auto" w:fill="FFFFFF"/>
        <w:jc w:val="left"/>
        <w:rPr>
          <w:rFonts w:hint="eastAsia" w:ascii="仿宋" w:hAnsi="宋体" w:eastAsia="仿宋" w:cs="宋体"/>
          <w:color w:val="000000"/>
          <w:kern w:val="0"/>
          <w:sz w:val="32"/>
          <w:szCs w:val="32"/>
        </w:rPr>
      </w:pPr>
    </w:p>
    <w:p w14:paraId="3BAB8189">
      <w:pPr>
        <w:widowControl/>
        <w:numPr>
          <w:ilvl w:val="0"/>
          <w:numId w:val="0"/>
        </w:numPr>
        <w:shd w:val="clear" w:color="auto" w:fill="FFFFFF"/>
        <w:jc w:val="left"/>
        <w:rPr>
          <w:rFonts w:hint="eastAsia" w:ascii="仿宋" w:hAnsi="宋体" w:eastAsia="仿宋" w:cs="宋体"/>
          <w:color w:val="000000"/>
          <w:kern w:val="0"/>
          <w:sz w:val="32"/>
          <w:szCs w:val="32"/>
        </w:rPr>
      </w:pPr>
    </w:p>
    <w:p w14:paraId="4A6B5034">
      <w:pPr>
        <w:widowControl/>
        <w:numPr>
          <w:ilvl w:val="0"/>
          <w:numId w:val="0"/>
        </w:numPr>
        <w:shd w:val="clear" w:color="auto" w:fill="FFFFFF"/>
        <w:jc w:val="left"/>
        <w:rPr>
          <w:rFonts w:hint="eastAsia" w:ascii="仿宋" w:hAnsi="宋体" w:eastAsia="仿宋" w:cs="宋体"/>
          <w:color w:val="000000"/>
          <w:kern w:val="0"/>
          <w:sz w:val="32"/>
          <w:szCs w:val="32"/>
        </w:rPr>
      </w:pPr>
    </w:p>
    <w:p w14:paraId="0B350836">
      <w:pPr>
        <w:widowControl/>
        <w:numPr>
          <w:ilvl w:val="0"/>
          <w:numId w:val="0"/>
        </w:numPr>
        <w:shd w:val="clear" w:color="auto" w:fill="FFFFFF"/>
        <w:jc w:val="left"/>
        <w:rPr>
          <w:rFonts w:hint="eastAsia" w:ascii="仿宋" w:hAnsi="宋体" w:eastAsia="仿宋" w:cs="宋体"/>
          <w:color w:val="000000"/>
          <w:kern w:val="0"/>
          <w:sz w:val="32"/>
          <w:szCs w:val="32"/>
        </w:rPr>
      </w:pPr>
    </w:p>
    <w:p w14:paraId="3188883F">
      <w:pPr>
        <w:widowControl/>
        <w:numPr>
          <w:ilvl w:val="0"/>
          <w:numId w:val="0"/>
        </w:numPr>
        <w:shd w:val="clear" w:color="auto" w:fill="FFFFFF"/>
        <w:jc w:val="left"/>
        <w:rPr>
          <w:rFonts w:hint="eastAsia" w:ascii="仿宋" w:hAnsi="宋体" w:eastAsia="仿宋" w:cs="宋体"/>
          <w:color w:val="000000"/>
          <w:kern w:val="0"/>
          <w:sz w:val="32"/>
          <w:szCs w:val="32"/>
        </w:rPr>
      </w:pPr>
    </w:p>
    <w:p w14:paraId="556273BC">
      <w:pPr>
        <w:widowControl/>
        <w:numPr>
          <w:ilvl w:val="0"/>
          <w:numId w:val="0"/>
        </w:numPr>
        <w:shd w:val="clear" w:color="auto" w:fill="FFFFFF"/>
        <w:jc w:val="left"/>
        <w:rPr>
          <w:rFonts w:hint="eastAsia" w:ascii="仿宋" w:hAnsi="宋体" w:eastAsia="仿宋" w:cs="宋体"/>
          <w:color w:val="000000"/>
          <w:kern w:val="0"/>
          <w:sz w:val="32"/>
          <w:szCs w:val="32"/>
        </w:rPr>
      </w:pPr>
    </w:p>
    <w:p w14:paraId="2EC0E3D8">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一</w:t>
      </w:r>
      <w:r>
        <w:rPr>
          <w:rFonts w:hint="eastAsia" w:ascii="仿宋" w:hAnsi="仿宋" w:eastAsia="仿宋" w:cs="仿宋"/>
          <w:lang w:eastAsia="zh-CN"/>
        </w:rPr>
        <w:t>）</w:t>
      </w:r>
      <w:r>
        <w:rPr>
          <w:rFonts w:hint="eastAsia" w:ascii="仿宋" w:hAnsi="仿宋" w:eastAsia="仿宋" w:cs="仿宋"/>
        </w:rPr>
        <w:t>财政拨款收支情况：是指一般公共预算、政府性基金预算、国有资本经营预算拨款收支情况。</w:t>
      </w:r>
    </w:p>
    <w:p w14:paraId="4DC3FF72">
      <w:pPr>
        <w:bidi w:val="0"/>
        <w:rPr>
          <w:rFonts w:hint="eastAsia" w:ascii="仿宋" w:hAnsi="仿宋" w:eastAsia="仿宋" w:cs="仿宋"/>
          <w:lang w:eastAsia="zh-CN"/>
        </w:rPr>
      </w:pPr>
      <w:r>
        <w:rPr>
          <w:rFonts w:hint="eastAsia" w:ascii="仿宋" w:hAnsi="仿宋" w:eastAsia="仿宋" w:cs="仿宋"/>
          <w:lang w:eastAsia="zh-CN"/>
        </w:rPr>
        <w:t>（二）财政拨款收入：</w:t>
      </w:r>
      <w:r>
        <w:rPr>
          <w:rFonts w:hint="eastAsia" w:ascii="仿宋" w:hAnsi="仿宋" w:eastAsia="仿宋" w:cs="仿宋"/>
        </w:rPr>
        <w:t>指</w:t>
      </w:r>
      <w:r>
        <w:rPr>
          <w:rFonts w:hint="eastAsia" w:ascii="仿宋" w:hAnsi="仿宋" w:eastAsia="仿宋" w:cs="仿宋"/>
          <w:lang w:eastAsia="zh-CN"/>
        </w:rPr>
        <w:t>县</w:t>
      </w:r>
      <w:r>
        <w:rPr>
          <w:rFonts w:hint="eastAsia" w:ascii="仿宋" w:hAnsi="仿宋" w:eastAsia="仿宋" w:cs="仿宋"/>
        </w:rPr>
        <w:t>级财政当年拨付的资金。</w:t>
      </w:r>
    </w:p>
    <w:p w14:paraId="709B55F8">
      <w:pPr>
        <w:bidi w:val="0"/>
        <w:rPr>
          <w:rFonts w:hint="eastAsia" w:ascii="仿宋" w:hAnsi="仿宋" w:eastAsia="仿宋" w:cs="仿宋"/>
          <w:lang w:eastAsia="zh-CN"/>
        </w:rPr>
      </w:pPr>
      <w:r>
        <w:rPr>
          <w:rFonts w:hint="eastAsia" w:ascii="仿宋" w:hAnsi="仿宋" w:eastAsia="仿宋" w:cs="仿宋"/>
          <w:lang w:eastAsia="zh-CN"/>
        </w:rPr>
        <w:t>（三）事业收入：</w:t>
      </w:r>
      <w:r>
        <w:rPr>
          <w:rFonts w:hint="eastAsia" w:ascii="仿宋" w:hAnsi="仿宋" w:eastAsia="仿宋" w:cs="仿宋"/>
        </w:rPr>
        <w:t>指事业单位开展专业业务活动及辅助活动所取得的收入。</w:t>
      </w:r>
    </w:p>
    <w:p w14:paraId="0B741C76">
      <w:pPr>
        <w:bidi w:val="0"/>
        <w:rPr>
          <w:rFonts w:hint="eastAsia" w:ascii="仿宋" w:hAnsi="仿宋" w:eastAsia="仿宋" w:cs="仿宋"/>
          <w:lang w:eastAsia="zh-CN"/>
        </w:rPr>
      </w:pPr>
      <w:r>
        <w:rPr>
          <w:rFonts w:hint="eastAsia" w:ascii="仿宋" w:hAnsi="仿宋" w:eastAsia="仿宋" w:cs="仿宋"/>
          <w:lang w:eastAsia="zh-CN"/>
        </w:rPr>
        <w:t>（四）事业单位经营收入：</w:t>
      </w:r>
      <w:r>
        <w:rPr>
          <w:rFonts w:hint="eastAsia" w:ascii="仿宋" w:hAnsi="仿宋" w:eastAsia="仿宋" w:cs="仿宋"/>
        </w:rPr>
        <w:t>指事业单位在专业业务活动及其辅助活动之外开展非独立核算经营活动取得的收入。</w:t>
      </w:r>
    </w:p>
    <w:p w14:paraId="20C37CA2">
      <w:pPr>
        <w:bidi w:val="0"/>
        <w:rPr>
          <w:rFonts w:hint="eastAsia" w:ascii="仿宋" w:hAnsi="仿宋" w:eastAsia="仿宋" w:cs="仿宋"/>
          <w:lang w:eastAsia="zh-CN"/>
        </w:rPr>
      </w:pPr>
      <w:r>
        <w:rPr>
          <w:rFonts w:hint="eastAsia" w:ascii="仿宋" w:hAnsi="仿宋" w:eastAsia="仿宋" w:cs="仿宋"/>
          <w:lang w:eastAsia="zh-CN"/>
        </w:rPr>
        <w:t>（五）其他收入：</w:t>
      </w:r>
      <w:r>
        <w:rPr>
          <w:rFonts w:hint="eastAsia" w:ascii="仿宋" w:hAnsi="仿宋" w:eastAsia="仿宋" w:cs="仿宋"/>
        </w:rPr>
        <w:t>指除上述“一般公共预算拨款收入</w:t>
      </w:r>
      <w:r>
        <w:rPr>
          <w:rFonts w:hint="eastAsia" w:ascii="仿宋" w:hAnsi="仿宋" w:cs="仿宋"/>
          <w:lang w:eastAsia="zh-CN"/>
        </w:rPr>
        <w:t>”“</w:t>
      </w:r>
      <w:r>
        <w:rPr>
          <w:rFonts w:hint="eastAsia" w:ascii="仿宋" w:hAnsi="仿宋" w:eastAsia="仿宋" w:cs="仿宋"/>
        </w:rPr>
        <w:t>事业收入</w:t>
      </w:r>
      <w:r>
        <w:rPr>
          <w:rFonts w:hint="eastAsia" w:ascii="仿宋" w:hAnsi="仿宋" w:cs="仿宋"/>
          <w:lang w:eastAsia="zh-CN"/>
        </w:rPr>
        <w:t>”“</w:t>
      </w:r>
      <w:r>
        <w:rPr>
          <w:rFonts w:hint="eastAsia" w:ascii="仿宋" w:hAnsi="仿宋" w:eastAsia="仿宋" w:cs="仿宋"/>
        </w:rPr>
        <w:t>事业单位经营收入”等以外的收入。主要是利息收入、国有资产出租收入等。</w:t>
      </w:r>
    </w:p>
    <w:p w14:paraId="2F8002CA">
      <w:pPr>
        <w:bidi w:val="0"/>
        <w:rPr>
          <w:rFonts w:hint="eastAsia" w:ascii="仿宋" w:hAnsi="仿宋" w:eastAsia="仿宋" w:cs="仿宋"/>
          <w:lang w:eastAsia="zh-CN"/>
        </w:rPr>
      </w:pPr>
      <w:r>
        <w:rPr>
          <w:rFonts w:hint="eastAsia" w:ascii="仿宋" w:hAnsi="仿宋" w:eastAsia="仿宋" w:cs="仿宋"/>
          <w:lang w:val="en-US" w:eastAsia="zh-CN"/>
        </w:rPr>
        <w:t>（六）</w:t>
      </w:r>
      <w:r>
        <w:rPr>
          <w:rFonts w:hint="eastAsia" w:ascii="仿宋" w:hAnsi="仿宋" w:eastAsia="仿宋" w:cs="仿宋"/>
          <w:lang w:eastAsia="zh-CN"/>
        </w:rPr>
        <w:t>上年结转：</w:t>
      </w:r>
      <w:r>
        <w:rPr>
          <w:rFonts w:hint="eastAsia" w:ascii="仿宋" w:hAnsi="仿宋" w:eastAsia="仿宋" w:cs="仿宋"/>
        </w:rPr>
        <w:t>指以前年度</w:t>
      </w:r>
      <w:r>
        <w:rPr>
          <w:rFonts w:hint="eastAsia" w:ascii="仿宋" w:hAnsi="仿宋" w:eastAsia="仿宋" w:cs="仿宋"/>
          <w:lang w:eastAsia="zh-CN"/>
        </w:rPr>
        <w:t>安排、</w:t>
      </w:r>
      <w:r>
        <w:rPr>
          <w:rFonts w:hint="eastAsia" w:ascii="仿宋" w:hAnsi="仿宋" w:eastAsia="仿宋" w:cs="仿宋"/>
        </w:rPr>
        <w:t>结转到本年仍按原规定用途继续使用的资金。</w:t>
      </w:r>
    </w:p>
    <w:p w14:paraId="76B7082C">
      <w:pPr>
        <w:bidi w:val="0"/>
        <w:rPr>
          <w:rFonts w:hint="eastAsia" w:ascii="仿宋" w:hAnsi="仿宋" w:eastAsia="仿宋" w:cs="仿宋"/>
          <w:lang w:eastAsia="zh-CN"/>
        </w:rPr>
      </w:pPr>
      <w:r>
        <w:rPr>
          <w:rFonts w:hint="eastAsia" w:ascii="仿宋" w:hAnsi="仿宋" w:eastAsia="仿宋" w:cs="仿宋"/>
          <w:lang w:val="en-US" w:eastAsia="zh-CN"/>
        </w:rPr>
        <w:t>（七）</w:t>
      </w:r>
      <w:r>
        <w:rPr>
          <w:rFonts w:hint="eastAsia" w:ascii="仿宋" w:hAnsi="仿宋" w:eastAsia="仿宋" w:cs="仿宋"/>
          <w:lang w:eastAsia="zh-CN"/>
        </w:rPr>
        <w:t>社会保障和就业（类）行政事业单位养老支出（款）事业单位离退休（项）：</w:t>
      </w:r>
      <w:r>
        <w:rPr>
          <w:rFonts w:hint="eastAsia" w:ascii="仿宋" w:hAnsi="仿宋" w:eastAsia="仿宋" w:cs="仿宋"/>
        </w:rPr>
        <w:t>指</w:t>
      </w:r>
      <w:r>
        <w:rPr>
          <w:rFonts w:hint="eastAsia" w:ascii="仿宋" w:hAnsi="仿宋" w:eastAsia="仿宋" w:cs="仿宋"/>
          <w:lang w:eastAsia="zh-CN"/>
        </w:rPr>
        <w:t>事业单位开支的离退休经费</w:t>
      </w:r>
      <w:r>
        <w:rPr>
          <w:rFonts w:hint="eastAsia" w:ascii="仿宋" w:hAnsi="仿宋" w:eastAsia="仿宋" w:cs="仿宋"/>
        </w:rPr>
        <w:t>。</w:t>
      </w:r>
    </w:p>
    <w:p w14:paraId="4FFB9562">
      <w:pPr>
        <w:bidi w:val="0"/>
        <w:rPr>
          <w:rFonts w:hint="eastAsia" w:ascii="仿宋" w:hAnsi="仿宋" w:eastAsia="仿宋" w:cs="仿宋"/>
          <w:lang w:eastAsia="zh-CN"/>
        </w:rPr>
      </w:pPr>
      <w:r>
        <w:rPr>
          <w:rFonts w:hint="eastAsia" w:ascii="仿宋" w:hAnsi="仿宋" w:eastAsia="仿宋" w:cs="仿宋"/>
          <w:lang w:val="en-US" w:eastAsia="zh-CN"/>
        </w:rPr>
        <w:t>（八）</w:t>
      </w:r>
      <w:r>
        <w:rPr>
          <w:rFonts w:hint="eastAsia" w:ascii="仿宋" w:hAnsi="仿宋" w:eastAsia="仿宋" w:cs="仿宋"/>
          <w:lang w:eastAsia="zh-CN"/>
        </w:rPr>
        <w:t>社会保障和就业支出（类）行政事业单位养老支出（款）行政单位离退休（项）：</w:t>
      </w:r>
      <w:r>
        <w:rPr>
          <w:rFonts w:hint="eastAsia" w:ascii="仿宋" w:hAnsi="仿宋" w:eastAsia="仿宋" w:cs="仿宋"/>
        </w:rPr>
        <w:t>指</w:t>
      </w:r>
      <w:r>
        <w:rPr>
          <w:rFonts w:hint="eastAsia" w:ascii="仿宋" w:hAnsi="仿宋" w:eastAsia="仿宋" w:cs="仿宋"/>
          <w:lang w:eastAsia="zh-CN"/>
        </w:rPr>
        <w:t>行政单位（包括实行公务员管理的事业单位）开支的离退休经费。</w:t>
      </w:r>
    </w:p>
    <w:p w14:paraId="032F5AC5">
      <w:pPr>
        <w:bidi w:val="0"/>
        <w:rPr>
          <w:rFonts w:hint="eastAsia" w:ascii="仿宋" w:hAnsi="仿宋" w:eastAsia="仿宋" w:cs="仿宋"/>
          <w:lang w:eastAsia="zh-CN"/>
        </w:rPr>
      </w:pPr>
      <w:r>
        <w:rPr>
          <w:rFonts w:hint="eastAsia" w:ascii="仿宋" w:hAnsi="仿宋" w:eastAsia="仿宋" w:cs="仿宋"/>
          <w:lang w:eastAsia="zh-CN"/>
        </w:rPr>
        <w:t>（九）社会保障和就业支出（类）行政事业单位养老支出（款）机关事业单位基本养老保险缴费支出（项）：</w:t>
      </w:r>
      <w:r>
        <w:rPr>
          <w:rFonts w:hint="eastAsia" w:ascii="仿宋" w:hAnsi="仿宋" w:eastAsia="仿宋" w:cs="仿宋"/>
        </w:rPr>
        <w:t>指</w:t>
      </w:r>
      <w:r>
        <w:rPr>
          <w:rFonts w:hint="eastAsia" w:ascii="仿宋" w:hAnsi="仿宋" w:eastAsia="仿宋" w:cs="仿宋"/>
          <w:lang w:eastAsia="zh-CN"/>
        </w:rPr>
        <w:t>机关事业单位</w:t>
      </w:r>
      <w:r>
        <w:rPr>
          <w:rFonts w:hint="eastAsia" w:ascii="仿宋" w:hAnsi="仿宋" w:eastAsia="仿宋" w:cs="仿宋"/>
        </w:rPr>
        <w:t>实施养老保险制度由单位缴纳的</w:t>
      </w:r>
      <w:r>
        <w:rPr>
          <w:rFonts w:hint="eastAsia" w:ascii="仿宋" w:hAnsi="仿宋" w:eastAsia="仿宋" w:cs="仿宋"/>
          <w:lang w:eastAsia="zh-CN"/>
        </w:rPr>
        <w:t>基本</w:t>
      </w:r>
      <w:r>
        <w:rPr>
          <w:rFonts w:hint="eastAsia" w:ascii="仿宋" w:hAnsi="仿宋" w:eastAsia="仿宋" w:cs="仿宋"/>
        </w:rPr>
        <w:t>养老保险费的支出。</w:t>
      </w:r>
    </w:p>
    <w:p w14:paraId="7BD18598">
      <w:pPr>
        <w:bidi w:val="0"/>
        <w:rPr>
          <w:rFonts w:hint="eastAsia" w:ascii="仿宋" w:hAnsi="仿宋" w:eastAsia="仿宋" w:cs="仿宋"/>
          <w:lang w:eastAsia="zh-CN"/>
        </w:rPr>
      </w:pPr>
      <w:r>
        <w:rPr>
          <w:rFonts w:hint="eastAsia" w:ascii="仿宋" w:hAnsi="仿宋" w:eastAsia="仿宋" w:cs="仿宋"/>
          <w:lang w:eastAsia="zh-CN"/>
        </w:rPr>
        <w:t>（十）社会保障和就业支出（类）行政事业单位养老支出（款）机关事业单位职业年金缴费支出（项）：</w:t>
      </w:r>
      <w:r>
        <w:rPr>
          <w:rFonts w:hint="eastAsia" w:ascii="仿宋" w:hAnsi="仿宋" w:eastAsia="仿宋" w:cs="仿宋"/>
        </w:rPr>
        <w:t>指</w:t>
      </w:r>
      <w:r>
        <w:rPr>
          <w:rFonts w:hint="eastAsia" w:ascii="仿宋" w:hAnsi="仿宋" w:eastAsia="仿宋" w:cs="仿宋"/>
          <w:lang w:eastAsia="zh-CN"/>
        </w:rPr>
        <w:t>机关事业单位</w:t>
      </w:r>
      <w:r>
        <w:rPr>
          <w:rFonts w:hint="eastAsia" w:ascii="仿宋" w:hAnsi="仿宋" w:eastAsia="仿宋" w:cs="仿宋"/>
        </w:rPr>
        <w:t>实施养老保险制度由单位缴纳的职业年金的支出</w:t>
      </w:r>
      <w:r>
        <w:rPr>
          <w:rFonts w:hint="eastAsia" w:ascii="仿宋" w:hAnsi="仿宋" w:eastAsia="仿宋" w:cs="仿宋"/>
          <w:lang w:eastAsia="zh-CN"/>
        </w:rPr>
        <w:t>（含职业年金补记支出）</w:t>
      </w:r>
      <w:r>
        <w:rPr>
          <w:rFonts w:hint="eastAsia" w:ascii="仿宋" w:hAnsi="仿宋" w:eastAsia="仿宋" w:cs="仿宋"/>
        </w:rPr>
        <w:t>。</w:t>
      </w:r>
    </w:p>
    <w:p w14:paraId="07178005">
      <w:pPr>
        <w:bidi w:val="0"/>
        <w:rPr>
          <w:rFonts w:hint="eastAsia" w:ascii="仿宋" w:hAnsi="仿宋" w:eastAsia="仿宋" w:cs="仿宋"/>
        </w:rPr>
      </w:pPr>
      <w:r>
        <w:rPr>
          <w:rFonts w:hint="eastAsia" w:ascii="仿宋" w:hAnsi="仿宋" w:eastAsia="仿宋" w:cs="仿宋"/>
          <w:lang w:eastAsia="zh-CN"/>
        </w:rPr>
        <w:t>（十一）社会保障和就业支出（类）其他社会保障和就业支出（款）其他社会保障和就业支出（项）：</w:t>
      </w:r>
      <w:r>
        <w:rPr>
          <w:rFonts w:hint="eastAsia" w:ascii="仿宋" w:hAnsi="仿宋" w:eastAsia="仿宋" w:cs="仿宋"/>
        </w:rPr>
        <w:t>指除上述项目</w:t>
      </w:r>
      <w:r>
        <w:rPr>
          <w:rFonts w:hint="eastAsia" w:ascii="仿宋" w:hAnsi="仿宋" w:eastAsia="仿宋" w:cs="仿宋"/>
          <w:lang w:eastAsia="zh-CN"/>
        </w:rPr>
        <w:t>以</w:t>
      </w:r>
      <w:r>
        <w:rPr>
          <w:rFonts w:hint="eastAsia" w:ascii="仿宋" w:hAnsi="仿宋" w:cs="仿宋"/>
          <w:lang w:eastAsia="zh-CN"/>
        </w:rPr>
        <w:t>外的</w:t>
      </w:r>
      <w:r>
        <w:rPr>
          <w:rFonts w:hint="eastAsia" w:ascii="仿宋" w:hAnsi="仿宋" w:eastAsia="仿宋" w:cs="仿宋"/>
        </w:rPr>
        <w:t>其他用于</w:t>
      </w:r>
      <w:r>
        <w:rPr>
          <w:rFonts w:hint="eastAsia" w:ascii="仿宋" w:hAnsi="仿宋" w:eastAsia="仿宋" w:cs="仿宋"/>
          <w:lang w:eastAsia="zh-CN"/>
        </w:rPr>
        <w:t>社会保障和就业</w:t>
      </w:r>
      <w:r>
        <w:rPr>
          <w:rFonts w:hint="eastAsia" w:ascii="仿宋" w:hAnsi="仿宋" w:eastAsia="仿宋" w:cs="仿宋"/>
        </w:rPr>
        <w:t>方面的支出。</w:t>
      </w:r>
    </w:p>
    <w:p w14:paraId="3E7077BA">
      <w:pPr>
        <w:bidi w:val="0"/>
        <w:rPr>
          <w:rFonts w:hint="eastAsia" w:ascii="仿宋" w:hAnsi="仿宋" w:eastAsia="仿宋" w:cs="仿宋"/>
          <w:lang w:eastAsia="zh-CN"/>
        </w:rPr>
      </w:pPr>
      <w:r>
        <w:rPr>
          <w:rFonts w:hint="eastAsia" w:ascii="仿宋" w:hAnsi="仿宋" w:eastAsia="仿宋" w:cs="仿宋"/>
          <w:lang w:eastAsia="zh-CN"/>
        </w:rPr>
        <w:t>（十</w:t>
      </w:r>
      <w:r>
        <w:rPr>
          <w:rFonts w:hint="eastAsia" w:ascii="仿宋" w:hAnsi="仿宋" w:cs="仿宋"/>
          <w:lang w:val="en-US" w:eastAsia="zh-CN"/>
        </w:rPr>
        <w:t>二</w:t>
      </w:r>
      <w:r>
        <w:rPr>
          <w:rFonts w:hint="eastAsia" w:ascii="仿宋" w:hAnsi="仿宋" w:eastAsia="仿宋" w:cs="仿宋"/>
          <w:lang w:eastAsia="zh-CN"/>
        </w:rPr>
        <w:t>）卫生健康支出（类）卫生健康管理事务（款）行政运行（项）：</w:t>
      </w:r>
      <w:r>
        <w:rPr>
          <w:rFonts w:hint="eastAsia" w:ascii="仿宋" w:hAnsi="仿宋" w:cs="仿宋"/>
          <w:lang w:val="en-US" w:eastAsia="zh-CN"/>
        </w:rPr>
        <w:t>指</w:t>
      </w:r>
      <w:r>
        <w:rPr>
          <w:rFonts w:hint="eastAsia" w:ascii="仿宋" w:hAnsi="仿宋" w:eastAsia="仿宋" w:cs="仿宋"/>
          <w:lang w:eastAsia="zh-CN"/>
        </w:rPr>
        <w:t>行政单位（包括实行公务员管理的事业单位）的基本支出。</w:t>
      </w:r>
    </w:p>
    <w:p w14:paraId="6397ECD4">
      <w:pPr>
        <w:bidi w:val="0"/>
        <w:rPr>
          <w:rFonts w:hint="eastAsia" w:ascii="仿宋" w:hAnsi="仿宋" w:eastAsia="仿宋" w:cs="仿宋"/>
          <w:lang w:eastAsia="zh-CN"/>
        </w:rPr>
      </w:pPr>
      <w:r>
        <w:rPr>
          <w:rFonts w:hint="eastAsia" w:ascii="仿宋" w:hAnsi="仿宋" w:eastAsia="仿宋" w:cs="仿宋"/>
          <w:lang w:eastAsia="zh-CN"/>
        </w:rPr>
        <w:t>（十</w:t>
      </w:r>
      <w:r>
        <w:rPr>
          <w:rFonts w:hint="eastAsia" w:ascii="仿宋" w:hAnsi="仿宋" w:cs="仿宋"/>
          <w:lang w:val="en-US" w:eastAsia="zh-CN"/>
        </w:rPr>
        <w:t>三</w:t>
      </w:r>
      <w:r>
        <w:rPr>
          <w:rFonts w:hint="eastAsia" w:ascii="仿宋" w:hAnsi="仿宋" w:eastAsia="仿宋" w:cs="仿宋"/>
          <w:lang w:eastAsia="zh-CN"/>
        </w:rPr>
        <w:t>）卫生健康支出（类）卫生健康管理事务（款）其他卫生健康管理事务支出（项）：</w:t>
      </w:r>
      <w:r>
        <w:rPr>
          <w:rFonts w:hint="eastAsia" w:ascii="仿宋" w:hAnsi="仿宋" w:cs="仿宋"/>
          <w:lang w:val="en-US" w:eastAsia="zh-CN"/>
        </w:rPr>
        <w:t>指</w:t>
      </w:r>
      <w:r>
        <w:rPr>
          <w:rFonts w:hint="eastAsia" w:ascii="仿宋" w:hAnsi="仿宋" w:eastAsia="仿宋" w:cs="仿宋"/>
          <w:lang w:eastAsia="zh-CN"/>
        </w:rPr>
        <w:t>除上述项目以外其他用于卫生健康管理事务方面的支出。</w:t>
      </w:r>
    </w:p>
    <w:p w14:paraId="1F2B7B2C">
      <w:pPr>
        <w:bidi w:val="0"/>
        <w:rPr>
          <w:rFonts w:hint="eastAsia" w:ascii="仿宋" w:hAnsi="仿宋" w:eastAsia="仿宋" w:cs="仿宋"/>
          <w:lang w:eastAsia="zh-CN"/>
        </w:rPr>
      </w:pPr>
      <w:r>
        <w:rPr>
          <w:rFonts w:hint="eastAsia" w:ascii="仿宋" w:hAnsi="仿宋" w:eastAsia="仿宋" w:cs="仿宋"/>
          <w:lang w:eastAsia="zh-CN"/>
        </w:rPr>
        <w:t>（十</w:t>
      </w:r>
      <w:r>
        <w:rPr>
          <w:rFonts w:hint="eastAsia" w:ascii="仿宋" w:hAnsi="仿宋" w:cs="仿宋"/>
          <w:lang w:val="en-US" w:eastAsia="zh-CN"/>
        </w:rPr>
        <w:t>四</w:t>
      </w:r>
      <w:r>
        <w:rPr>
          <w:rFonts w:hint="eastAsia" w:ascii="仿宋" w:hAnsi="仿宋" w:eastAsia="仿宋" w:cs="仿宋"/>
          <w:lang w:eastAsia="zh-CN"/>
        </w:rPr>
        <w:t>）卫生健康支出（类）</w:t>
      </w:r>
      <w:r>
        <w:rPr>
          <w:rFonts w:hint="eastAsia" w:ascii="仿宋" w:hAnsi="仿宋" w:cs="仿宋"/>
          <w:lang w:val="en-US" w:eastAsia="zh-CN"/>
        </w:rPr>
        <w:t>公立医院</w:t>
      </w:r>
      <w:r>
        <w:rPr>
          <w:rFonts w:hint="eastAsia" w:ascii="仿宋" w:hAnsi="仿宋" w:eastAsia="仿宋" w:cs="仿宋"/>
          <w:lang w:eastAsia="zh-CN"/>
        </w:rPr>
        <w:t>（款）</w:t>
      </w:r>
      <w:r>
        <w:rPr>
          <w:rFonts w:hint="eastAsia" w:ascii="仿宋" w:hAnsi="仿宋" w:cs="仿宋"/>
          <w:lang w:val="en-US" w:eastAsia="zh-CN"/>
        </w:rPr>
        <w:t>综合医院</w:t>
      </w:r>
      <w:r>
        <w:rPr>
          <w:rFonts w:hint="eastAsia" w:ascii="仿宋" w:hAnsi="仿宋" w:eastAsia="仿宋" w:cs="仿宋"/>
          <w:lang w:eastAsia="zh-CN"/>
        </w:rPr>
        <w:t>（项）：</w:t>
      </w:r>
      <w:r>
        <w:rPr>
          <w:rFonts w:hint="eastAsia" w:ascii="仿宋" w:hAnsi="仿宋" w:cs="仿宋"/>
          <w:lang w:val="en-US" w:eastAsia="zh-CN"/>
        </w:rPr>
        <w:t>指</w:t>
      </w:r>
      <w:r>
        <w:rPr>
          <w:rFonts w:hint="eastAsia" w:ascii="仿宋" w:hAnsi="仿宋" w:eastAsia="仿宋" w:cs="仿宋"/>
          <w:lang w:eastAsia="zh-CN"/>
        </w:rPr>
        <w:t>反映卫生健康、中医部门所属的城市综合性医院、独立门诊、教学医院、疗养院和县医院的支出。</w:t>
      </w:r>
    </w:p>
    <w:p w14:paraId="16D1A495">
      <w:pPr>
        <w:bidi w:val="0"/>
        <w:rPr>
          <w:rFonts w:hint="eastAsia" w:ascii="仿宋" w:hAnsi="仿宋" w:eastAsia="仿宋" w:cs="仿宋"/>
          <w:lang w:eastAsia="zh-CN"/>
        </w:rPr>
      </w:pPr>
      <w:r>
        <w:rPr>
          <w:rFonts w:hint="eastAsia" w:ascii="仿宋" w:hAnsi="仿宋" w:eastAsia="仿宋" w:cs="仿宋"/>
          <w:lang w:eastAsia="zh-CN"/>
        </w:rPr>
        <w:t>（十</w:t>
      </w:r>
      <w:r>
        <w:rPr>
          <w:rFonts w:hint="eastAsia" w:ascii="仿宋" w:hAnsi="仿宋" w:cs="仿宋"/>
          <w:lang w:val="en-US" w:eastAsia="zh-CN"/>
        </w:rPr>
        <w:t>五</w:t>
      </w:r>
      <w:r>
        <w:rPr>
          <w:rFonts w:hint="eastAsia" w:ascii="仿宋" w:hAnsi="仿宋" w:eastAsia="仿宋" w:cs="仿宋"/>
          <w:lang w:eastAsia="zh-CN"/>
        </w:rPr>
        <w:t>）卫生健康支出（类）公立医院（款）中医（民族）医院（项）：</w:t>
      </w:r>
      <w:r>
        <w:rPr>
          <w:rFonts w:hint="eastAsia" w:ascii="仿宋" w:hAnsi="仿宋" w:cs="仿宋"/>
          <w:lang w:val="en-US" w:eastAsia="zh-CN"/>
        </w:rPr>
        <w:t>指</w:t>
      </w:r>
      <w:r>
        <w:rPr>
          <w:rFonts w:hint="eastAsia" w:ascii="仿宋" w:hAnsi="仿宋" w:eastAsia="仿宋" w:cs="仿宋"/>
          <w:lang w:eastAsia="zh-CN"/>
        </w:rPr>
        <w:t>卫生健康、中医部门所属的中医院、中西医结合医院、民族医院的支出。</w:t>
      </w:r>
    </w:p>
    <w:p w14:paraId="31EDCF95">
      <w:pPr>
        <w:bidi w:val="0"/>
        <w:rPr>
          <w:rFonts w:hint="eastAsia" w:ascii="仿宋" w:hAnsi="仿宋" w:eastAsia="仿宋" w:cs="仿宋"/>
          <w:lang w:eastAsia="zh-CN"/>
        </w:rPr>
      </w:pPr>
      <w:r>
        <w:rPr>
          <w:rFonts w:hint="eastAsia" w:ascii="仿宋" w:hAnsi="仿宋" w:eastAsia="仿宋" w:cs="仿宋"/>
          <w:lang w:eastAsia="zh-CN"/>
        </w:rPr>
        <w:t>（十</w:t>
      </w:r>
      <w:r>
        <w:rPr>
          <w:rFonts w:hint="eastAsia" w:ascii="仿宋" w:hAnsi="仿宋" w:cs="仿宋"/>
          <w:lang w:val="en-US" w:eastAsia="zh-CN"/>
        </w:rPr>
        <w:t>六</w:t>
      </w:r>
      <w:r>
        <w:rPr>
          <w:rFonts w:hint="eastAsia" w:ascii="仿宋" w:hAnsi="仿宋" w:eastAsia="仿宋" w:cs="仿宋"/>
          <w:lang w:eastAsia="zh-CN"/>
        </w:rPr>
        <w:t>）卫生健康支出（类）公立医院（款）其他公立医院支出（项）：</w:t>
      </w:r>
      <w:r>
        <w:rPr>
          <w:rFonts w:hint="eastAsia" w:ascii="仿宋" w:hAnsi="仿宋" w:cs="仿宋"/>
          <w:lang w:val="en-US" w:eastAsia="zh-CN"/>
        </w:rPr>
        <w:t>指</w:t>
      </w:r>
      <w:r>
        <w:rPr>
          <w:rFonts w:hint="eastAsia" w:ascii="仿宋" w:hAnsi="仿宋" w:eastAsia="仿宋" w:cs="仿宋"/>
          <w:lang w:eastAsia="zh-CN"/>
        </w:rPr>
        <w:t>除上述项目以外的其他用于公立医院方面的支出。</w:t>
      </w:r>
    </w:p>
    <w:p w14:paraId="155A0316">
      <w:pPr>
        <w:bidi w:val="0"/>
        <w:rPr>
          <w:rFonts w:hint="eastAsia" w:ascii="仿宋" w:hAnsi="仿宋" w:eastAsia="仿宋" w:cs="仿宋"/>
          <w:lang w:eastAsia="zh-CN"/>
        </w:rPr>
      </w:pPr>
      <w:r>
        <w:rPr>
          <w:rFonts w:hint="eastAsia" w:ascii="仿宋" w:hAnsi="仿宋" w:eastAsia="仿宋" w:cs="仿宋"/>
          <w:lang w:eastAsia="zh-CN"/>
        </w:rPr>
        <w:t>（十</w:t>
      </w:r>
      <w:r>
        <w:rPr>
          <w:rFonts w:hint="eastAsia" w:ascii="仿宋" w:hAnsi="仿宋" w:cs="仿宋"/>
          <w:lang w:val="en-US" w:eastAsia="zh-CN"/>
        </w:rPr>
        <w:t>七</w:t>
      </w:r>
      <w:r>
        <w:rPr>
          <w:rFonts w:hint="eastAsia" w:ascii="仿宋" w:hAnsi="仿宋" w:eastAsia="仿宋" w:cs="仿宋"/>
          <w:lang w:eastAsia="zh-CN"/>
        </w:rPr>
        <w:t>）卫生健康支出（类）基层医疗卫生机构（款）乡镇卫生院（项）：</w:t>
      </w:r>
      <w:r>
        <w:rPr>
          <w:rFonts w:hint="eastAsia" w:ascii="仿宋" w:hAnsi="仿宋" w:cs="仿宋"/>
          <w:lang w:val="en-US" w:eastAsia="zh-CN"/>
        </w:rPr>
        <w:t>指</w:t>
      </w:r>
      <w:r>
        <w:rPr>
          <w:rFonts w:hint="eastAsia" w:ascii="仿宋" w:hAnsi="仿宋" w:eastAsia="仿宋" w:cs="仿宋"/>
          <w:lang w:eastAsia="zh-CN"/>
        </w:rPr>
        <w:t>用于乡镇卫生院的支出。</w:t>
      </w:r>
    </w:p>
    <w:p w14:paraId="054062E5">
      <w:pPr>
        <w:bidi w:val="0"/>
        <w:rPr>
          <w:rFonts w:hint="eastAsia" w:ascii="仿宋" w:hAnsi="仿宋" w:eastAsia="仿宋" w:cs="仿宋"/>
          <w:lang w:eastAsia="zh-CN"/>
        </w:rPr>
      </w:pPr>
      <w:r>
        <w:rPr>
          <w:rFonts w:hint="eastAsia" w:ascii="仿宋" w:hAnsi="仿宋" w:eastAsia="仿宋" w:cs="仿宋"/>
          <w:lang w:eastAsia="zh-CN"/>
        </w:rPr>
        <w:t>（十</w:t>
      </w:r>
      <w:r>
        <w:rPr>
          <w:rFonts w:hint="eastAsia" w:ascii="仿宋" w:hAnsi="仿宋" w:cs="仿宋"/>
          <w:lang w:val="en-US" w:eastAsia="zh-CN"/>
        </w:rPr>
        <w:t>八</w:t>
      </w:r>
      <w:r>
        <w:rPr>
          <w:rFonts w:hint="eastAsia" w:ascii="仿宋" w:hAnsi="仿宋" w:eastAsia="仿宋" w:cs="仿宋"/>
          <w:lang w:eastAsia="zh-CN"/>
        </w:rPr>
        <w:t>）卫生健康支出（类）基层医疗卫生机构（款）其他基层医疗卫生机构（项）：反映除上述项目以外的其他用于基层医疗卫生机构的支出。</w:t>
      </w:r>
    </w:p>
    <w:p w14:paraId="534053F0">
      <w:pPr>
        <w:bidi w:val="0"/>
        <w:rPr>
          <w:rFonts w:hint="eastAsia" w:ascii="仿宋" w:hAnsi="仿宋" w:eastAsia="仿宋" w:cs="仿宋"/>
          <w:lang w:eastAsia="zh-CN"/>
        </w:rPr>
      </w:pPr>
      <w:r>
        <w:rPr>
          <w:rFonts w:hint="eastAsia" w:ascii="仿宋" w:hAnsi="仿宋" w:eastAsia="仿宋" w:cs="仿宋"/>
          <w:lang w:eastAsia="zh-CN"/>
        </w:rPr>
        <w:t>（十</w:t>
      </w:r>
      <w:r>
        <w:rPr>
          <w:rFonts w:hint="eastAsia" w:ascii="仿宋" w:hAnsi="仿宋" w:cs="仿宋"/>
          <w:lang w:val="en-US" w:eastAsia="zh-CN"/>
        </w:rPr>
        <w:t>九</w:t>
      </w:r>
      <w:r>
        <w:rPr>
          <w:rFonts w:hint="eastAsia" w:ascii="仿宋" w:hAnsi="仿宋" w:eastAsia="仿宋" w:cs="仿宋"/>
          <w:lang w:eastAsia="zh-CN"/>
        </w:rPr>
        <w:t>）卫生健康支出（类）</w:t>
      </w:r>
      <w:r>
        <w:rPr>
          <w:rFonts w:hint="eastAsia" w:ascii="仿宋" w:hAnsi="仿宋" w:cs="仿宋"/>
          <w:lang w:val="en-US" w:eastAsia="zh-CN"/>
        </w:rPr>
        <w:t>公共卫生</w:t>
      </w:r>
      <w:r>
        <w:rPr>
          <w:rFonts w:hint="eastAsia" w:ascii="仿宋" w:hAnsi="仿宋" w:eastAsia="仿宋" w:cs="仿宋"/>
          <w:lang w:eastAsia="zh-CN"/>
        </w:rPr>
        <w:t>（款）疾病预防控制机构（项）：</w:t>
      </w:r>
      <w:r>
        <w:rPr>
          <w:rFonts w:hint="eastAsia" w:ascii="仿宋" w:hAnsi="仿宋" w:cs="仿宋"/>
          <w:lang w:val="en-US" w:eastAsia="zh-CN"/>
        </w:rPr>
        <w:t>指</w:t>
      </w:r>
      <w:r>
        <w:rPr>
          <w:rFonts w:hint="eastAsia" w:ascii="仿宋" w:hAnsi="仿宋" w:eastAsia="仿宋" w:cs="仿宋"/>
          <w:lang w:eastAsia="zh-CN"/>
        </w:rPr>
        <w:t>卫生健康、疾病预防控制部门所属疾病预防控制机构的支出。</w:t>
      </w:r>
    </w:p>
    <w:p w14:paraId="6CD40C9F">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cs="仿宋"/>
          <w:lang w:val="en-US" w:eastAsia="zh-CN"/>
        </w:rPr>
        <w:t>二十</w:t>
      </w:r>
      <w:r>
        <w:rPr>
          <w:rFonts w:hint="eastAsia" w:ascii="仿宋" w:hAnsi="仿宋" w:eastAsia="仿宋" w:cs="仿宋"/>
          <w:lang w:eastAsia="zh-CN"/>
        </w:rPr>
        <w:t>）卫生健康支出（类）</w:t>
      </w:r>
      <w:r>
        <w:rPr>
          <w:rFonts w:hint="eastAsia" w:ascii="仿宋" w:hAnsi="仿宋" w:cs="仿宋"/>
          <w:lang w:val="en-US" w:eastAsia="zh-CN"/>
        </w:rPr>
        <w:t>公共卫生</w:t>
      </w:r>
      <w:r>
        <w:rPr>
          <w:rFonts w:hint="eastAsia" w:ascii="仿宋" w:hAnsi="仿宋" w:eastAsia="仿宋" w:cs="仿宋"/>
          <w:lang w:eastAsia="zh-CN"/>
        </w:rPr>
        <w:t>（款）卫生监督机构（项）：</w:t>
      </w:r>
      <w:r>
        <w:rPr>
          <w:rFonts w:hint="eastAsia" w:ascii="仿宋" w:hAnsi="仿宋" w:cs="仿宋"/>
          <w:lang w:val="en-US" w:eastAsia="zh-CN"/>
        </w:rPr>
        <w:t>指</w:t>
      </w:r>
      <w:r>
        <w:rPr>
          <w:rFonts w:hint="eastAsia" w:ascii="仿宋" w:hAnsi="仿宋" w:eastAsia="仿宋" w:cs="仿宋"/>
          <w:lang w:eastAsia="zh-CN"/>
        </w:rPr>
        <w:t>卫生健康、疾病预防控制部门所属卫生监督机构的支出。</w:t>
      </w:r>
    </w:p>
    <w:p w14:paraId="5A8E1EF2">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cs="仿宋"/>
          <w:lang w:val="en-US" w:eastAsia="zh-CN"/>
        </w:rPr>
        <w:t>二十一</w:t>
      </w:r>
      <w:r>
        <w:rPr>
          <w:rFonts w:hint="eastAsia" w:ascii="仿宋" w:hAnsi="仿宋" w:eastAsia="仿宋" w:cs="仿宋"/>
          <w:lang w:eastAsia="zh-CN"/>
        </w:rPr>
        <w:t>）卫生健康支出（类）</w:t>
      </w:r>
      <w:r>
        <w:rPr>
          <w:rFonts w:hint="eastAsia" w:ascii="仿宋" w:hAnsi="仿宋" w:cs="仿宋"/>
          <w:lang w:val="en-US" w:eastAsia="zh-CN"/>
        </w:rPr>
        <w:t>公共卫生</w:t>
      </w:r>
      <w:r>
        <w:rPr>
          <w:rFonts w:hint="eastAsia" w:ascii="仿宋" w:hAnsi="仿宋" w:eastAsia="仿宋" w:cs="仿宋"/>
          <w:lang w:eastAsia="zh-CN"/>
        </w:rPr>
        <w:t>（款）妇幼保健机构（项）：</w:t>
      </w:r>
      <w:r>
        <w:rPr>
          <w:rFonts w:hint="eastAsia" w:ascii="仿宋" w:hAnsi="仿宋" w:cs="仿宋"/>
          <w:lang w:val="en-US" w:eastAsia="zh-CN"/>
        </w:rPr>
        <w:t>指</w:t>
      </w:r>
      <w:r>
        <w:rPr>
          <w:rFonts w:hint="eastAsia" w:ascii="仿宋" w:hAnsi="仿宋" w:eastAsia="仿宋" w:cs="仿宋"/>
          <w:lang w:eastAsia="zh-CN"/>
        </w:rPr>
        <w:t>卫生健康部门所属妇幼保健机构的支出。</w:t>
      </w:r>
    </w:p>
    <w:p w14:paraId="7A2D1A4C">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cs="仿宋"/>
          <w:lang w:val="en-US" w:eastAsia="zh-CN"/>
        </w:rPr>
        <w:t>二十二</w:t>
      </w:r>
      <w:r>
        <w:rPr>
          <w:rFonts w:hint="eastAsia" w:ascii="仿宋" w:hAnsi="仿宋" w:eastAsia="仿宋" w:cs="仿宋"/>
          <w:lang w:eastAsia="zh-CN"/>
        </w:rPr>
        <w:t>）卫生健康支出（类）公共卫生（款）基本公共卫生服务（项）：</w:t>
      </w:r>
      <w:r>
        <w:rPr>
          <w:rFonts w:hint="eastAsia" w:ascii="仿宋" w:hAnsi="仿宋" w:cs="仿宋"/>
          <w:lang w:val="en-US" w:eastAsia="zh-CN"/>
        </w:rPr>
        <w:t>指</w:t>
      </w:r>
      <w:r>
        <w:rPr>
          <w:rFonts w:hint="eastAsia" w:ascii="仿宋" w:hAnsi="仿宋" w:eastAsia="仿宋" w:cs="仿宋"/>
          <w:lang w:eastAsia="zh-CN"/>
        </w:rPr>
        <w:t>基本公共卫生服务支出。</w:t>
      </w:r>
    </w:p>
    <w:p w14:paraId="50966D5B">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cs="仿宋"/>
          <w:lang w:val="en-US" w:eastAsia="zh-CN"/>
        </w:rPr>
        <w:t>二十三</w:t>
      </w:r>
      <w:r>
        <w:rPr>
          <w:rFonts w:hint="eastAsia" w:ascii="仿宋" w:hAnsi="仿宋" w:eastAsia="仿宋" w:cs="仿宋"/>
          <w:lang w:eastAsia="zh-CN"/>
        </w:rPr>
        <w:t>）卫生健康支出（类）公共卫生（款）重大公共卫生服务（项）：</w:t>
      </w:r>
      <w:r>
        <w:rPr>
          <w:rFonts w:hint="eastAsia" w:ascii="仿宋" w:hAnsi="仿宋" w:cs="仿宋"/>
          <w:lang w:val="en-US" w:eastAsia="zh-CN"/>
        </w:rPr>
        <w:t>指</w:t>
      </w:r>
      <w:r>
        <w:rPr>
          <w:rFonts w:hint="eastAsia" w:ascii="仿宋" w:hAnsi="仿宋" w:eastAsia="仿宋" w:cs="仿宋"/>
          <w:lang w:eastAsia="zh-CN"/>
        </w:rPr>
        <w:t>重大疾病、重大传染病预防控制等重大公共卫生服务项目支出。</w:t>
      </w:r>
    </w:p>
    <w:p w14:paraId="3BF3D977">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cs="仿宋"/>
          <w:lang w:val="en-US" w:eastAsia="zh-CN"/>
        </w:rPr>
        <w:t>二十四</w:t>
      </w:r>
      <w:r>
        <w:rPr>
          <w:rFonts w:hint="eastAsia" w:ascii="仿宋" w:hAnsi="仿宋" w:eastAsia="仿宋" w:cs="仿宋"/>
          <w:lang w:eastAsia="zh-CN"/>
        </w:rPr>
        <w:t>）卫生健康支出（类）公共卫生（款）其他公共卫生支出（项）：</w:t>
      </w:r>
      <w:r>
        <w:rPr>
          <w:rFonts w:hint="eastAsia" w:ascii="仿宋" w:hAnsi="仿宋" w:cs="仿宋"/>
          <w:lang w:val="en-US" w:eastAsia="zh-CN"/>
        </w:rPr>
        <w:t>指</w:t>
      </w:r>
      <w:r>
        <w:rPr>
          <w:rFonts w:hint="eastAsia" w:ascii="仿宋" w:hAnsi="仿宋" w:eastAsia="仿宋" w:cs="仿宋"/>
          <w:lang w:eastAsia="zh-CN"/>
        </w:rPr>
        <w:t>除上述项目以外的其他用于公共卫生方面的支出。</w:t>
      </w:r>
    </w:p>
    <w:p w14:paraId="00170881">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cs="仿宋"/>
          <w:lang w:val="en-US" w:eastAsia="zh-CN"/>
        </w:rPr>
        <w:t>二十五</w:t>
      </w:r>
      <w:r>
        <w:rPr>
          <w:rFonts w:hint="eastAsia" w:ascii="仿宋" w:hAnsi="仿宋" w:eastAsia="仿宋" w:cs="仿宋"/>
          <w:lang w:eastAsia="zh-CN"/>
        </w:rPr>
        <w:t>）卫生健康支出（类）计划生育事务（款）计划生育服务（项）：反映计划生育服务支出。</w:t>
      </w:r>
    </w:p>
    <w:p w14:paraId="7728CE8A">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cs="仿宋"/>
          <w:lang w:val="en-US" w:eastAsia="zh-CN"/>
        </w:rPr>
        <w:t>二十六</w:t>
      </w:r>
      <w:r>
        <w:rPr>
          <w:rFonts w:hint="eastAsia" w:ascii="仿宋" w:hAnsi="仿宋" w:eastAsia="仿宋" w:cs="仿宋"/>
          <w:lang w:eastAsia="zh-CN"/>
        </w:rPr>
        <w:t>）卫生健康支出（类）计划生育事务（款）其他计划生育事务支出（项）：反映除上述项目</w:t>
      </w:r>
      <w:r>
        <w:rPr>
          <w:rFonts w:hint="eastAsia" w:ascii="仿宋" w:hAnsi="仿宋" w:cs="仿宋"/>
          <w:lang w:eastAsia="zh-CN"/>
        </w:rPr>
        <w:t>以外</w:t>
      </w:r>
      <w:r>
        <w:rPr>
          <w:rFonts w:hint="eastAsia" w:ascii="仿宋" w:hAnsi="仿宋" w:eastAsia="仿宋" w:cs="仿宋"/>
          <w:lang w:eastAsia="zh-CN"/>
        </w:rPr>
        <w:t>其他用于计划生育管理事务方面的支出。</w:t>
      </w:r>
    </w:p>
    <w:p w14:paraId="5EAC13E1">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cs="仿宋"/>
          <w:lang w:val="en-US" w:eastAsia="zh-CN"/>
        </w:rPr>
        <w:t>二十七</w:t>
      </w:r>
      <w:r>
        <w:rPr>
          <w:rFonts w:hint="eastAsia" w:ascii="仿宋" w:hAnsi="仿宋" w:eastAsia="仿宋" w:cs="仿宋"/>
          <w:lang w:eastAsia="zh-CN"/>
        </w:rPr>
        <w:t>）卫生健康支出（类）行政事业单位医疗（款）行政单位医疗（项）：</w:t>
      </w:r>
      <w:r>
        <w:rPr>
          <w:rFonts w:hint="eastAsia" w:ascii="仿宋" w:hAnsi="仿宋" w:eastAsia="仿宋" w:cs="仿宋"/>
        </w:rPr>
        <w:t>指财政部门安排的行政单位（包括实行公务员管理的事业单位）基本医疗保险缴费经费，未参加医疗保险的行政单位的公费医疗经费，按国家规定享受离休人员、红军老战士待遇人员的医疗经费。</w:t>
      </w:r>
    </w:p>
    <w:p w14:paraId="5A667FB1">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cs="仿宋"/>
          <w:lang w:val="en-US" w:eastAsia="zh-CN"/>
        </w:rPr>
        <w:t>二十八</w:t>
      </w:r>
      <w:r>
        <w:rPr>
          <w:rFonts w:hint="eastAsia" w:ascii="仿宋" w:hAnsi="仿宋" w:eastAsia="仿宋" w:cs="仿宋"/>
          <w:lang w:eastAsia="zh-CN"/>
        </w:rPr>
        <w:t>）卫生健康支出（类）行政事业单位医疗（款）事业单位医疗（项）：</w:t>
      </w:r>
      <w:r>
        <w:rPr>
          <w:rFonts w:hint="eastAsia" w:ascii="仿宋" w:hAnsi="仿宋" w:eastAsia="仿宋" w:cs="仿宋"/>
        </w:rPr>
        <w:t>指财政部门安排的事业单位基本医疗保险缴费经费，未参加医疗保险的事业单位的公费医疗经费，按国家规定享受离休人员待遇的医疗经费。</w:t>
      </w:r>
    </w:p>
    <w:p w14:paraId="7FFCFD18">
      <w:pPr>
        <w:bidi w:val="0"/>
        <w:rPr>
          <w:rFonts w:hint="eastAsia" w:ascii="仿宋" w:hAnsi="仿宋" w:eastAsia="仿宋" w:cs="仿宋"/>
        </w:rPr>
      </w:pPr>
      <w:r>
        <w:rPr>
          <w:rFonts w:hint="eastAsia" w:ascii="仿宋" w:hAnsi="仿宋" w:eastAsia="仿宋" w:cs="仿宋"/>
          <w:lang w:eastAsia="zh-CN"/>
        </w:rPr>
        <w:t>（</w:t>
      </w:r>
      <w:r>
        <w:rPr>
          <w:rFonts w:hint="eastAsia" w:ascii="仿宋" w:hAnsi="仿宋" w:cs="仿宋"/>
          <w:lang w:val="en-US" w:eastAsia="zh-CN"/>
        </w:rPr>
        <w:t>二十九</w:t>
      </w:r>
      <w:r>
        <w:rPr>
          <w:rFonts w:hint="eastAsia" w:ascii="仿宋" w:hAnsi="仿宋" w:eastAsia="仿宋" w:cs="仿宋"/>
          <w:lang w:eastAsia="zh-CN"/>
        </w:rPr>
        <w:t>）卫生健康支出（类）行政事业单位医疗（款）公务员医疗补助（项）：</w:t>
      </w:r>
      <w:r>
        <w:rPr>
          <w:rFonts w:hint="eastAsia" w:ascii="仿宋" w:hAnsi="仿宋" w:eastAsia="仿宋" w:cs="仿宋"/>
        </w:rPr>
        <w:t>指财政部门安排的公务员医疗补助经费。</w:t>
      </w:r>
    </w:p>
    <w:p w14:paraId="59B60ADC">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cs="仿宋"/>
          <w:lang w:val="en-US" w:eastAsia="zh-CN"/>
        </w:rPr>
        <w:t>三十</w:t>
      </w:r>
      <w:r>
        <w:rPr>
          <w:rFonts w:hint="eastAsia" w:ascii="仿宋" w:hAnsi="仿宋" w:eastAsia="仿宋" w:cs="仿宋"/>
          <w:lang w:eastAsia="zh-CN"/>
        </w:rPr>
        <w:t>）卫生健康支出（类）</w:t>
      </w:r>
      <w:r>
        <w:rPr>
          <w:rFonts w:hint="eastAsia" w:ascii="仿宋" w:hAnsi="仿宋" w:cs="仿宋"/>
          <w:lang w:val="en-US" w:eastAsia="zh-CN"/>
        </w:rPr>
        <w:t>其他卫生健康支出</w:t>
      </w:r>
      <w:r>
        <w:rPr>
          <w:rFonts w:hint="eastAsia" w:ascii="仿宋" w:hAnsi="仿宋" w:eastAsia="仿宋" w:cs="仿宋"/>
          <w:lang w:eastAsia="zh-CN"/>
        </w:rPr>
        <w:t>（款）其他卫生健康支出（项）：</w:t>
      </w:r>
      <w:r>
        <w:rPr>
          <w:rFonts w:hint="eastAsia" w:ascii="仿宋" w:hAnsi="仿宋" w:eastAsia="仿宋" w:cs="仿宋"/>
        </w:rPr>
        <w:t>指除上述项目以外其他用于卫生健康方面的支出。</w:t>
      </w:r>
    </w:p>
    <w:p w14:paraId="3ABD8C7A">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cs="仿宋"/>
          <w:lang w:val="en-US" w:eastAsia="zh-CN"/>
        </w:rPr>
        <w:t>三十一</w:t>
      </w:r>
      <w:r>
        <w:rPr>
          <w:rFonts w:hint="eastAsia" w:ascii="仿宋" w:hAnsi="仿宋" w:eastAsia="仿宋" w:cs="仿宋"/>
          <w:lang w:eastAsia="zh-CN"/>
        </w:rPr>
        <w:t>）住房保障支出（类）住房改革支出（款）住房公积金（项）：</w:t>
      </w:r>
      <w:r>
        <w:rPr>
          <w:rFonts w:hint="eastAsia" w:ascii="仿宋" w:hAnsi="仿宋" w:eastAsia="仿宋" w:cs="仿宋"/>
        </w:rPr>
        <w:t>指行政事业单位按人力资源和社会保障部、财政部规定的基本工资和津贴补贴以及规定比例为职工缴纳的住房公积金。</w:t>
      </w:r>
    </w:p>
    <w:p w14:paraId="7F9FD777">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cs="仿宋"/>
          <w:lang w:val="en-US" w:eastAsia="zh-CN"/>
        </w:rPr>
        <w:t>三十二</w:t>
      </w:r>
      <w:r>
        <w:rPr>
          <w:rFonts w:hint="eastAsia" w:ascii="仿宋" w:hAnsi="仿宋" w:eastAsia="仿宋" w:cs="仿宋"/>
          <w:lang w:eastAsia="zh-CN"/>
        </w:rPr>
        <w:t>）基本支出：</w:t>
      </w:r>
      <w:r>
        <w:rPr>
          <w:rFonts w:hint="eastAsia" w:ascii="仿宋" w:hAnsi="仿宋" w:eastAsia="仿宋" w:cs="仿宋"/>
        </w:rPr>
        <w:t>指为保</w:t>
      </w:r>
      <w:r>
        <w:rPr>
          <w:rFonts w:hint="eastAsia" w:ascii="仿宋" w:hAnsi="仿宋" w:eastAsia="仿宋" w:cs="仿宋"/>
          <w:lang w:eastAsia="zh-CN"/>
        </w:rPr>
        <w:t>障</w:t>
      </w:r>
      <w:r>
        <w:rPr>
          <w:rFonts w:hint="eastAsia" w:ascii="仿宋" w:hAnsi="仿宋" w:eastAsia="仿宋" w:cs="仿宋"/>
        </w:rPr>
        <w:t>机构正常运转，完成日常工作任务而发生的人员支出和公用支出。</w:t>
      </w:r>
    </w:p>
    <w:p w14:paraId="3A35CA7B">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cs="仿宋"/>
          <w:lang w:val="en-US" w:eastAsia="zh-CN"/>
        </w:rPr>
        <w:t>三十三</w:t>
      </w:r>
      <w:r>
        <w:rPr>
          <w:rFonts w:hint="eastAsia" w:ascii="仿宋" w:hAnsi="仿宋" w:eastAsia="仿宋" w:cs="仿宋"/>
          <w:lang w:eastAsia="zh-CN"/>
        </w:rPr>
        <w:t>）项目支出：</w:t>
      </w:r>
      <w:r>
        <w:rPr>
          <w:rFonts w:hint="eastAsia" w:ascii="仿宋" w:hAnsi="仿宋" w:eastAsia="仿宋" w:cs="仿宋"/>
        </w:rPr>
        <w:t>指在基本支出之外为完成特定行政任务</w:t>
      </w:r>
      <w:r>
        <w:rPr>
          <w:rFonts w:hint="eastAsia" w:ascii="仿宋" w:hAnsi="仿宋" w:eastAsia="仿宋" w:cs="仿宋"/>
          <w:lang w:eastAsia="zh-CN"/>
        </w:rPr>
        <w:t>或</w:t>
      </w:r>
      <w:r>
        <w:rPr>
          <w:rFonts w:hint="eastAsia" w:ascii="仿宋" w:hAnsi="仿宋" w:eastAsia="仿宋" w:cs="仿宋"/>
        </w:rPr>
        <w:t>事业发展目标所发生的支出。</w:t>
      </w:r>
    </w:p>
    <w:p w14:paraId="7A9B63E7">
      <w:pPr>
        <w:bidi w:val="0"/>
        <w:rPr>
          <w:rFonts w:hint="eastAsia" w:ascii="仿宋" w:hAnsi="仿宋" w:eastAsia="仿宋" w:cs="仿宋"/>
          <w:sz w:val="32"/>
          <w:szCs w:val="32"/>
          <w:lang w:val="en-US" w:eastAsia="zh-CN"/>
        </w:rPr>
      </w:pPr>
      <w:r>
        <w:rPr>
          <w:rFonts w:hint="eastAsia" w:ascii="仿宋" w:hAnsi="仿宋" w:eastAsia="仿宋" w:cs="仿宋"/>
          <w:lang w:eastAsia="zh-CN"/>
        </w:rPr>
        <w:t>（</w:t>
      </w:r>
      <w:r>
        <w:rPr>
          <w:rFonts w:hint="eastAsia" w:ascii="仿宋" w:hAnsi="仿宋" w:cs="仿宋"/>
          <w:lang w:val="en-US" w:eastAsia="zh-CN"/>
        </w:rPr>
        <w:t>三十四</w:t>
      </w:r>
      <w:r>
        <w:rPr>
          <w:rFonts w:hint="eastAsia" w:ascii="仿宋" w:hAnsi="仿宋" w:eastAsia="仿宋" w:cs="仿宋"/>
          <w:lang w:eastAsia="zh-CN"/>
        </w:rPr>
        <w:t>）“三公”经费：纳入预算管理的“三公”经费，</w:t>
      </w:r>
      <w:r>
        <w:rPr>
          <w:rFonts w:hint="eastAsia" w:ascii="仿宋" w:hAnsi="仿宋" w:eastAsia="仿宋" w:cs="仿宋"/>
        </w:rPr>
        <w:t>是指部门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w:t>
      </w:r>
      <w:r>
        <w:rPr>
          <w:rFonts w:hint="eastAsia" w:ascii="仿宋" w:hAnsi="仿宋" w:eastAsia="仿宋" w:cs="仿宋"/>
          <w:lang w:eastAsia="zh-CN"/>
        </w:rPr>
        <w:t>、牌照费</w:t>
      </w:r>
      <w:r>
        <w:rPr>
          <w:rFonts w:hint="eastAsia" w:ascii="仿宋" w:hAnsi="仿宋" w:eastAsia="仿宋" w:cs="仿宋"/>
        </w:rPr>
        <w:t>）及</w:t>
      </w:r>
      <w:r>
        <w:rPr>
          <w:rFonts w:hint="eastAsia" w:ascii="仿宋" w:hAnsi="仿宋" w:eastAsia="仿宋" w:cs="仿宋"/>
          <w:lang w:eastAsia="zh-CN"/>
        </w:rPr>
        <w:t>单位按规定保留的公务用车</w:t>
      </w:r>
      <w:r>
        <w:rPr>
          <w:rFonts w:hint="eastAsia" w:ascii="仿宋" w:hAnsi="仿宋" w:eastAsia="仿宋" w:cs="仿宋"/>
        </w:rPr>
        <w:t>燃料费、维修费、过路过桥费、保险费</w:t>
      </w:r>
      <w:r>
        <w:rPr>
          <w:rFonts w:hint="eastAsia" w:ascii="仿宋" w:hAnsi="仿宋" w:eastAsia="仿宋" w:cs="仿宋"/>
          <w:lang w:eastAsia="zh-CN"/>
        </w:rPr>
        <w:t>、安全奖励费用</w:t>
      </w:r>
      <w:r>
        <w:rPr>
          <w:rFonts w:hint="eastAsia" w:ascii="仿宋" w:hAnsi="仿宋" w:eastAsia="仿宋" w:cs="仿宋"/>
        </w:rPr>
        <w:t>等支出；公务接待费反映单位按规定开支的各类公务接待（含外宾接待）支出。</w:t>
      </w:r>
    </w:p>
    <w:p w14:paraId="338E5B99">
      <w:pPr>
        <w:rPr>
          <w:rFonts w:hint="eastAsia"/>
        </w:rPr>
      </w:pPr>
    </w:p>
    <w:sectPr>
      <w:footerReference r:id="rId5" w:type="default"/>
      <w:pgSz w:w="11906" w:h="16838"/>
      <w:pgMar w:top="2041" w:right="1469" w:bottom="1588" w:left="1469" w:header="851" w:footer="992" w:gutter="0"/>
      <w:pgNumType w:fmt="numberInDash"/>
      <w:cols w:space="0" w:num="1"/>
      <w:docGrid w:type="lines" w:linePitch="31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E2B6005-1407-42FE-9F63-CA67A24EDE2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2" w:fontKey="{8A8FE9EB-BA20-43B6-AD8B-BF4195F685DA}"/>
  </w:font>
  <w:font w:name="仿宋_GB2312">
    <w:panose1 w:val="02010609030101010101"/>
    <w:charset w:val="86"/>
    <w:family w:val="modern"/>
    <w:pitch w:val="default"/>
    <w:sig w:usb0="00000001" w:usb1="080E0000" w:usb2="00000000" w:usb3="00000000" w:csb0="00040000" w:csb1="00000000"/>
    <w:embedRegular r:id="rId3" w:fontKey="{3A217F85-B114-410E-B684-5CD016DC81E4}"/>
  </w:font>
  <w:font w:name="汉仪中宋简á..">
    <w:altName w:val="宋体"/>
    <w:panose1 w:val="00000000000000000000"/>
    <w:charset w:val="86"/>
    <w:family w:val="roman"/>
    <w:pitch w:val="default"/>
    <w:sig w:usb0="00000000" w:usb1="00000000" w:usb2="00000000" w:usb3="00000000" w:csb0="00040000" w:csb1="00000000"/>
  </w:font>
  <w:font w:name="方正小标宋简体">
    <w:panose1 w:val="02000000000000000000"/>
    <w:charset w:val="86"/>
    <w:family w:val="auto"/>
    <w:pitch w:val="default"/>
    <w:sig w:usb0="00000001" w:usb1="080E0000" w:usb2="00000000" w:usb3="00000000" w:csb0="00040000" w:csb1="00000000"/>
    <w:embedRegular r:id="rId4" w:fontKey="{48EB2F80-DF7F-47AA-81DC-251AEA703F91}"/>
  </w:font>
  <w:font w:name="楷体_GB2312">
    <w:panose1 w:val="02010609030101010101"/>
    <w:charset w:val="86"/>
    <w:family w:val="modern"/>
    <w:pitch w:val="default"/>
    <w:sig w:usb0="00000001" w:usb1="080E0000" w:usb2="00000000" w:usb3="00000000" w:csb0="00040000" w:csb1="00000000"/>
    <w:embedRegular r:id="rId5" w:fontKey="{CDEC8261-3F12-4706-A8CB-7E9F6431BE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19D41">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E276D19">
                          <w:pPr>
                            <w:pStyle w:val="9"/>
                          </w:pPr>
                          <w:r>
                            <w:rPr>
                              <w:rFonts w:hint="eastAsia" w:asciiTheme="minorEastAsia" w:hAnsiTheme="minorEastAsia" w:cstheme="minorEastAsia"/>
                              <w:sz w:val="32"/>
                              <w:szCs w:val="32"/>
                            </w:rPr>
                            <w:fldChar w:fldCharType="begin"/>
                          </w:r>
                          <w:r>
                            <w:rPr>
                              <w:rFonts w:hint="eastAsia" w:asciiTheme="minorEastAsia" w:hAnsiTheme="minorEastAsia" w:cstheme="minorEastAsia"/>
                              <w:sz w:val="32"/>
                              <w:szCs w:val="32"/>
                            </w:rPr>
                            <w:instrText xml:space="preserve"> PAGE  \* MERGEFORMAT </w:instrText>
                          </w:r>
                          <w:r>
                            <w:rPr>
                              <w:rFonts w:hint="eastAsia" w:asciiTheme="minorEastAsia" w:hAnsiTheme="minorEastAsia" w:cstheme="minorEastAsia"/>
                              <w:sz w:val="32"/>
                              <w:szCs w:val="32"/>
                            </w:rPr>
                            <w:fldChar w:fldCharType="separate"/>
                          </w:r>
                          <w:r>
                            <w:rPr>
                              <w:rFonts w:asciiTheme="minorEastAsia" w:hAnsiTheme="minorEastAsia" w:cstheme="minorEastAsia"/>
                              <w:sz w:val="32"/>
                              <w:szCs w:val="32"/>
                            </w:rPr>
                            <w:t>- 1 -</w:t>
                          </w:r>
                          <w:r>
                            <w:rPr>
                              <w:rFonts w:hint="eastAsia" w:asciiTheme="minorEastAsia" w:hAnsiTheme="minorEastAsia" w:cstheme="minorEastAsia"/>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6E276D19">
                    <w:pPr>
                      <w:pStyle w:val="9"/>
                    </w:pPr>
                    <w:r>
                      <w:rPr>
                        <w:rFonts w:hint="eastAsia" w:asciiTheme="minorEastAsia" w:hAnsiTheme="minorEastAsia" w:cstheme="minorEastAsia"/>
                        <w:sz w:val="32"/>
                        <w:szCs w:val="32"/>
                      </w:rPr>
                      <w:fldChar w:fldCharType="begin"/>
                    </w:r>
                    <w:r>
                      <w:rPr>
                        <w:rFonts w:hint="eastAsia" w:asciiTheme="minorEastAsia" w:hAnsiTheme="minorEastAsia" w:cstheme="minorEastAsia"/>
                        <w:sz w:val="32"/>
                        <w:szCs w:val="32"/>
                      </w:rPr>
                      <w:instrText xml:space="preserve"> PAGE  \* MERGEFORMAT </w:instrText>
                    </w:r>
                    <w:r>
                      <w:rPr>
                        <w:rFonts w:hint="eastAsia" w:asciiTheme="minorEastAsia" w:hAnsiTheme="minorEastAsia" w:cstheme="minorEastAsia"/>
                        <w:sz w:val="32"/>
                        <w:szCs w:val="32"/>
                      </w:rPr>
                      <w:fldChar w:fldCharType="separate"/>
                    </w:r>
                    <w:r>
                      <w:rPr>
                        <w:rFonts w:asciiTheme="minorEastAsia" w:hAnsiTheme="minorEastAsia" w:cstheme="minorEastAsia"/>
                        <w:sz w:val="32"/>
                        <w:szCs w:val="32"/>
                      </w:rPr>
                      <w:t>- 1 -</w:t>
                    </w:r>
                    <w:r>
                      <w:rPr>
                        <w:rFonts w:hint="eastAsia" w:asciiTheme="minorEastAsia" w:hAnsiTheme="minorEastAsia" w:cstheme="minorEastAsia"/>
                        <w:sz w:val="32"/>
                        <w:szCs w:val="3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8D4774"/>
    <w:multiLevelType w:val="multilevel"/>
    <w:tmpl w:val="5D8D4774"/>
    <w:lvl w:ilvl="0" w:tentative="0">
      <w:start w:val="13"/>
      <w:numFmt w:val="chineseCountingThousand"/>
      <w:lvlText w:val="第%1章"/>
      <w:lvlJc w:val="left"/>
      <w:pPr>
        <w:tabs>
          <w:tab w:val="left" w:pos="2782"/>
        </w:tabs>
      </w:pPr>
      <w:rPr>
        <w:rFonts w:hint="eastAsia"/>
      </w:rPr>
    </w:lvl>
    <w:lvl w:ilvl="1" w:tentative="0">
      <w:start w:val="1"/>
      <w:numFmt w:val="decimal"/>
      <w:pStyle w:val="3"/>
      <w:isLgl/>
      <w:lvlText w:val="%1.%2"/>
      <w:lvlJc w:val="left"/>
      <w:pPr>
        <w:tabs>
          <w:tab w:val="left" w:pos="2422"/>
        </w:tabs>
      </w:pPr>
      <w:rPr>
        <w:rFonts w:hint="eastAsia"/>
      </w:rPr>
    </w:lvl>
    <w:lvl w:ilvl="2" w:tentative="0">
      <w:start w:val="1"/>
      <w:numFmt w:val="decimal"/>
      <w:isLgl/>
      <w:lvlText w:val="%1.%2.%3"/>
      <w:lvlJc w:val="left"/>
      <w:pPr>
        <w:tabs>
          <w:tab w:val="left" w:pos="2782"/>
        </w:tabs>
      </w:pPr>
      <w:rPr>
        <w:rFonts w:hint="eastAsia"/>
      </w:rPr>
    </w:lvl>
    <w:lvl w:ilvl="3" w:tentative="0">
      <w:start w:val="1"/>
      <w:numFmt w:val="decimal"/>
      <w:isLgl/>
      <w:lvlText w:val="%1.%2.%3.%4"/>
      <w:lvlJc w:val="left"/>
      <w:pPr>
        <w:tabs>
          <w:tab w:val="left" w:pos="4582"/>
        </w:tabs>
        <w:ind w:left="2566" w:hanging="864"/>
      </w:pPr>
      <w:rPr>
        <w:rFonts w:hint="eastAsia"/>
      </w:rPr>
    </w:lvl>
    <w:lvl w:ilvl="4" w:tentative="0">
      <w:start w:val="1"/>
      <w:numFmt w:val="decimal"/>
      <w:isLgl/>
      <w:lvlText w:val="%1.%2.%3.%4.%5"/>
      <w:lvlJc w:val="left"/>
      <w:pPr>
        <w:tabs>
          <w:tab w:val="left" w:pos="3862"/>
        </w:tabs>
        <w:ind w:left="2710" w:hanging="1008"/>
      </w:pPr>
      <w:rPr>
        <w:rFonts w:hint="eastAsia"/>
      </w:rPr>
    </w:lvl>
    <w:lvl w:ilvl="5" w:tentative="0">
      <w:start w:val="1"/>
      <w:numFmt w:val="decimal"/>
      <w:isLgl/>
      <w:lvlText w:val="%1.%2.%3.%4.%5.%6"/>
      <w:lvlJc w:val="left"/>
      <w:pPr>
        <w:tabs>
          <w:tab w:val="left" w:pos="4222"/>
        </w:tabs>
        <w:ind w:left="2854" w:hanging="1152"/>
      </w:pPr>
      <w:rPr>
        <w:rFonts w:hint="eastAsia"/>
      </w:rPr>
    </w:lvl>
    <w:lvl w:ilvl="6" w:tentative="0">
      <w:start w:val="1"/>
      <w:numFmt w:val="decimal"/>
      <w:isLgl/>
      <w:lvlText w:val="%1.%2.%3.%4.%5.%6.%7"/>
      <w:lvlJc w:val="left"/>
      <w:pPr>
        <w:tabs>
          <w:tab w:val="left" w:pos="4942"/>
        </w:tabs>
        <w:ind w:left="2998" w:hanging="1296"/>
      </w:pPr>
      <w:rPr>
        <w:rFonts w:hint="eastAsia"/>
      </w:rPr>
    </w:lvl>
    <w:lvl w:ilvl="7" w:tentative="0">
      <w:start w:val="1"/>
      <w:numFmt w:val="decimal"/>
      <w:isLgl/>
      <w:lvlText w:val="%1.%2.%3.%4.%5.%6.%7.%8"/>
      <w:lvlJc w:val="left"/>
      <w:pPr>
        <w:tabs>
          <w:tab w:val="left" w:pos="5302"/>
        </w:tabs>
        <w:ind w:left="3142" w:hanging="1440"/>
      </w:pPr>
      <w:rPr>
        <w:rFonts w:hint="eastAsia"/>
      </w:rPr>
    </w:lvl>
    <w:lvl w:ilvl="8" w:tentative="0">
      <w:start w:val="1"/>
      <w:numFmt w:val="decimal"/>
      <w:isLgl/>
      <w:lvlText w:val="%1.%2.%3.%4.%5.%6.%7.%8.%9"/>
      <w:lvlJc w:val="left"/>
      <w:pPr>
        <w:tabs>
          <w:tab w:val="left" w:pos="5662"/>
        </w:tabs>
        <w:ind w:left="3286"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7"/>
  <w:displayHorizontalDrawingGridEvery w:val="0"/>
  <w:displayVerticalDrawingGridEvery w:val="2"/>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7865"/>
    <w:rsid w:val="00044417"/>
    <w:rsid w:val="00061ACE"/>
    <w:rsid w:val="00066DAC"/>
    <w:rsid w:val="00070145"/>
    <w:rsid w:val="00091AAC"/>
    <w:rsid w:val="000F6987"/>
    <w:rsid w:val="00112171"/>
    <w:rsid w:val="00127D11"/>
    <w:rsid w:val="00144DF8"/>
    <w:rsid w:val="00172A27"/>
    <w:rsid w:val="00187C87"/>
    <w:rsid w:val="00192096"/>
    <w:rsid w:val="001B01D2"/>
    <w:rsid w:val="001D512F"/>
    <w:rsid w:val="001E30C0"/>
    <w:rsid w:val="00260924"/>
    <w:rsid w:val="00276A73"/>
    <w:rsid w:val="00286D78"/>
    <w:rsid w:val="002C723E"/>
    <w:rsid w:val="003019C3"/>
    <w:rsid w:val="00313DCD"/>
    <w:rsid w:val="00333B67"/>
    <w:rsid w:val="00336343"/>
    <w:rsid w:val="00353F9F"/>
    <w:rsid w:val="0036108B"/>
    <w:rsid w:val="00364E2A"/>
    <w:rsid w:val="003D44AA"/>
    <w:rsid w:val="0043152E"/>
    <w:rsid w:val="00465A32"/>
    <w:rsid w:val="00466676"/>
    <w:rsid w:val="0049116A"/>
    <w:rsid w:val="004E04D2"/>
    <w:rsid w:val="004F20BD"/>
    <w:rsid w:val="0052635E"/>
    <w:rsid w:val="00533308"/>
    <w:rsid w:val="00553E37"/>
    <w:rsid w:val="00587D51"/>
    <w:rsid w:val="005F00C2"/>
    <w:rsid w:val="00607597"/>
    <w:rsid w:val="006110D7"/>
    <w:rsid w:val="006368F6"/>
    <w:rsid w:val="00651BD8"/>
    <w:rsid w:val="006C5714"/>
    <w:rsid w:val="006D4CE5"/>
    <w:rsid w:val="0074734E"/>
    <w:rsid w:val="00752661"/>
    <w:rsid w:val="0077780A"/>
    <w:rsid w:val="00794055"/>
    <w:rsid w:val="007A6535"/>
    <w:rsid w:val="007E6435"/>
    <w:rsid w:val="007F23CA"/>
    <w:rsid w:val="0084407A"/>
    <w:rsid w:val="00850F93"/>
    <w:rsid w:val="00886062"/>
    <w:rsid w:val="008E3D4B"/>
    <w:rsid w:val="00944DB8"/>
    <w:rsid w:val="009552E6"/>
    <w:rsid w:val="009F78A2"/>
    <w:rsid w:val="00A068D8"/>
    <w:rsid w:val="00A11CCC"/>
    <w:rsid w:val="00A47E4F"/>
    <w:rsid w:val="00AA2536"/>
    <w:rsid w:val="00AF0502"/>
    <w:rsid w:val="00AF2D05"/>
    <w:rsid w:val="00B26922"/>
    <w:rsid w:val="00B55CCE"/>
    <w:rsid w:val="00B82AF3"/>
    <w:rsid w:val="00B861CA"/>
    <w:rsid w:val="00B91481"/>
    <w:rsid w:val="00B96941"/>
    <w:rsid w:val="00C47ED7"/>
    <w:rsid w:val="00C51E0A"/>
    <w:rsid w:val="00C7262B"/>
    <w:rsid w:val="00C7370C"/>
    <w:rsid w:val="00C7721E"/>
    <w:rsid w:val="00D22DD7"/>
    <w:rsid w:val="00DE489B"/>
    <w:rsid w:val="00E82D3B"/>
    <w:rsid w:val="00EB13EE"/>
    <w:rsid w:val="00F403B5"/>
    <w:rsid w:val="00F45E21"/>
    <w:rsid w:val="00FA0E5D"/>
    <w:rsid w:val="00FE4CAE"/>
    <w:rsid w:val="00FE638D"/>
    <w:rsid w:val="010662AC"/>
    <w:rsid w:val="010C0F51"/>
    <w:rsid w:val="01362EA7"/>
    <w:rsid w:val="01882F25"/>
    <w:rsid w:val="018C0544"/>
    <w:rsid w:val="019F118E"/>
    <w:rsid w:val="01A3107B"/>
    <w:rsid w:val="01BA7141"/>
    <w:rsid w:val="01CA79BB"/>
    <w:rsid w:val="01D64485"/>
    <w:rsid w:val="01E83A92"/>
    <w:rsid w:val="01EB3E74"/>
    <w:rsid w:val="022F534A"/>
    <w:rsid w:val="024039F2"/>
    <w:rsid w:val="033E43E6"/>
    <w:rsid w:val="03945CCD"/>
    <w:rsid w:val="03BA186D"/>
    <w:rsid w:val="040F3551"/>
    <w:rsid w:val="042072C2"/>
    <w:rsid w:val="043C361C"/>
    <w:rsid w:val="043F4C24"/>
    <w:rsid w:val="044B2AE6"/>
    <w:rsid w:val="045B0809"/>
    <w:rsid w:val="04A04F6C"/>
    <w:rsid w:val="04A05348"/>
    <w:rsid w:val="04A94D2F"/>
    <w:rsid w:val="0502501C"/>
    <w:rsid w:val="05233D9C"/>
    <w:rsid w:val="05465970"/>
    <w:rsid w:val="05590821"/>
    <w:rsid w:val="056C235C"/>
    <w:rsid w:val="062E413A"/>
    <w:rsid w:val="06A2019C"/>
    <w:rsid w:val="06B66C8B"/>
    <w:rsid w:val="06B76AD2"/>
    <w:rsid w:val="06CC45A6"/>
    <w:rsid w:val="06D8568E"/>
    <w:rsid w:val="06DD60AB"/>
    <w:rsid w:val="072F53D3"/>
    <w:rsid w:val="07574DBE"/>
    <w:rsid w:val="076A7644"/>
    <w:rsid w:val="07980D6A"/>
    <w:rsid w:val="07B14DE9"/>
    <w:rsid w:val="07E809FE"/>
    <w:rsid w:val="07F655F9"/>
    <w:rsid w:val="084B25CC"/>
    <w:rsid w:val="084E286D"/>
    <w:rsid w:val="084E4C61"/>
    <w:rsid w:val="0860583A"/>
    <w:rsid w:val="08914A76"/>
    <w:rsid w:val="08AE4D92"/>
    <w:rsid w:val="08DB6116"/>
    <w:rsid w:val="08ED7502"/>
    <w:rsid w:val="08F6117B"/>
    <w:rsid w:val="09010002"/>
    <w:rsid w:val="096878F0"/>
    <w:rsid w:val="097E121A"/>
    <w:rsid w:val="09952E46"/>
    <w:rsid w:val="09C64739"/>
    <w:rsid w:val="09CF5F42"/>
    <w:rsid w:val="09F82EA0"/>
    <w:rsid w:val="0A8E6119"/>
    <w:rsid w:val="0A913707"/>
    <w:rsid w:val="0ABE1F9B"/>
    <w:rsid w:val="0ADA1A81"/>
    <w:rsid w:val="0B29129C"/>
    <w:rsid w:val="0B4502BB"/>
    <w:rsid w:val="0BB15CFC"/>
    <w:rsid w:val="0BB67F1C"/>
    <w:rsid w:val="0BE20302"/>
    <w:rsid w:val="0C31589B"/>
    <w:rsid w:val="0C343E9E"/>
    <w:rsid w:val="0C37316F"/>
    <w:rsid w:val="0C565E28"/>
    <w:rsid w:val="0C9E05B3"/>
    <w:rsid w:val="0CEF662F"/>
    <w:rsid w:val="0D15182E"/>
    <w:rsid w:val="0D1F7D7F"/>
    <w:rsid w:val="0D211BCC"/>
    <w:rsid w:val="0DA40415"/>
    <w:rsid w:val="0DC47C7E"/>
    <w:rsid w:val="0E1B6735"/>
    <w:rsid w:val="0E5A24B2"/>
    <w:rsid w:val="0E5B7463"/>
    <w:rsid w:val="0E7C2A49"/>
    <w:rsid w:val="0E863207"/>
    <w:rsid w:val="0E8C67E6"/>
    <w:rsid w:val="0E995F08"/>
    <w:rsid w:val="0EA77466"/>
    <w:rsid w:val="0EFF2D5A"/>
    <w:rsid w:val="0F332E84"/>
    <w:rsid w:val="0F4F3EF9"/>
    <w:rsid w:val="0F5126AD"/>
    <w:rsid w:val="0F5C24C4"/>
    <w:rsid w:val="0F773787"/>
    <w:rsid w:val="0F8C416D"/>
    <w:rsid w:val="0F903831"/>
    <w:rsid w:val="0FC21DA3"/>
    <w:rsid w:val="0FCB515E"/>
    <w:rsid w:val="0FE02C01"/>
    <w:rsid w:val="106E3487"/>
    <w:rsid w:val="107A2AB2"/>
    <w:rsid w:val="10B403A4"/>
    <w:rsid w:val="10E95826"/>
    <w:rsid w:val="117B6E9B"/>
    <w:rsid w:val="11A062BA"/>
    <w:rsid w:val="11BB24DA"/>
    <w:rsid w:val="120A09B7"/>
    <w:rsid w:val="120A68D6"/>
    <w:rsid w:val="12290641"/>
    <w:rsid w:val="127150AC"/>
    <w:rsid w:val="127A774D"/>
    <w:rsid w:val="12F04042"/>
    <w:rsid w:val="13030836"/>
    <w:rsid w:val="131A52D4"/>
    <w:rsid w:val="13B824DA"/>
    <w:rsid w:val="13F265CF"/>
    <w:rsid w:val="13F50541"/>
    <w:rsid w:val="13FD34D0"/>
    <w:rsid w:val="14030F44"/>
    <w:rsid w:val="1421019A"/>
    <w:rsid w:val="14250002"/>
    <w:rsid w:val="143546C3"/>
    <w:rsid w:val="14D50328"/>
    <w:rsid w:val="14E44445"/>
    <w:rsid w:val="14FF1C34"/>
    <w:rsid w:val="15016C82"/>
    <w:rsid w:val="15333760"/>
    <w:rsid w:val="15500F91"/>
    <w:rsid w:val="157F6F01"/>
    <w:rsid w:val="15A866E4"/>
    <w:rsid w:val="15D8136C"/>
    <w:rsid w:val="15E80FCB"/>
    <w:rsid w:val="169B01CE"/>
    <w:rsid w:val="16BA0530"/>
    <w:rsid w:val="16CD70BB"/>
    <w:rsid w:val="172E2ACB"/>
    <w:rsid w:val="17304353"/>
    <w:rsid w:val="17403920"/>
    <w:rsid w:val="17D759F2"/>
    <w:rsid w:val="17F770F6"/>
    <w:rsid w:val="181727DC"/>
    <w:rsid w:val="18510D87"/>
    <w:rsid w:val="18827941"/>
    <w:rsid w:val="18BD2FFF"/>
    <w:rsid w:val="18FC06F1"/>
    <w:rsid w:val="19007EC3"/>
    <w:rsid w:val="1969002C"/>
    <w:rsid w:val="19F7360C"/>
    <w:rsid w:val="1A045C10"/>
    <w:rsid w:val="1A577820"/>
    <w:rsid w:val="1A5E7EFB"/>
    <w:rsid w:val="1A7D5B0F"/>
    <w:rsid w:val="1A9C7E2B"/>
    <w:rsid w:val="1A9F6B7F"/>
    <w:rsid w:val="1AE807BA"/>
    <w:rsid w:val="1AEF7DCF"/>
    <w:rsid w:val="1AFF4785"/>
    <w:rsid w:val="1B2E6628"/>
    <w:rsid w:val="1B5F7D27"/>
    <w:rsid w:val="1BF33119"/>
    <w:rsid w:val="1C074B15"/>
    <w:rsid w:val="1CAF32EA"/>
    <w:rsid w:val="1CB64F71"/>
    <w:rsid w:val="1CBD69AA"/>
    <w:rsid w:val="1CD55808"/>
    <w:rsid w:val="1CFB3E9E"/>
    <w:rsid w:val="1D3356ED"/>
    <w:rsid w:val="1D5B07B8"/>
    <w:rsid w:val="1D6135A7"/>
    <w:rsid w:val="1DC52255"/>
    <w:rsid w:val="1DDA5D4F"/>
    <w:rsid w:val="1DDB2F47"/>
    <w:rsid w:val="1DFB51A6"/>
    <w:rsid w:val="1E3D7C87"/>
    <w:rsid w:val="1E707FD4"/>
    <w:rsid w:val="1E877297"/>
    <w:rsid w:val="1EB05D0A"/>
    <w:rsid w:val="1EF0431B"/>
    <w:rsid w:val="1EFE7B28"/>
    <w:rsid w:val="1F3565D5"/>
    <w:rsid w:val="1F9A468B"/>
    <w:rsid w:val="1FFA6A2F"/>
    <w:rsid w:val="20023401"/>
    <w:rsid w:val="20143409"/>
    <w:rsid w:val="204A4001"/>
    <w:rsid w:val="20F902C6"/>
    <w:rsid w:val="21320321"/>
    <w:rsid w:val="2138528B"/>
    <w:rsid w:val="217544DB"/>
    <w:rsid w:val="21971D65"/>
    <w:rsid w:val="21B957AE"/>
    <w:rsid w:val="22121464"/>
    <w:rsid w:val="22653E5A"/>
    <w:rsid w:val="22673757"/>
    <w:rsid w:val="227A13E4"/>
    <w:rsid w:val="22AD5E3A"/>
    <w:rsid w:val="230F1CF5"/>
    <w:rsid w:val="23255E32"/>
    <w:rsid w:val="2345745A"/>
    <w:rsid w:val="235E0BC8"/>
    <w:rsid w:val="23D47812"/>
    <w:rsid w:val="23DE1611"/>
    <w:rsid w:val="24150A7F"/>
    <w:rsid w:val="24213EC8"/>
    <w:rsid w:val="24307A0E"/>
    <w:rsid w:val="245034D6"/>
    <w:rsid w:val="246A6DCB"/>
    <w:rsid w:val="247453B8"/>
    <w:rsid w:val="24BA0829"/>
    <w:rsid w:val="25212915"/>
    <w:rsid w:val="265A431A"/>
    <w:rsid w:val="266B2A66"/>
    <w:rsid w:val="26710FF0"/>
    <w:rsid w:val="26B732BD"/>
    <w:rsid w:val="27104C6C"/>
    <w:rsid w:val="27263D7B"/>
    <w:rsid w:val="272D4172"/>
    <w:rsid w:val="279168B5"/>
    <w:rsid w:val="27A0205E"/>
    <w:rsid w:val="27CA2B49"/>
    <w:rsid w:val="27CB754F"/>
    <w:rsid w:val="280223C0"/>
    <w:rsid w:val="28115DC0"/>
    <w:rsid w:val="28A21C19"/>
    <w:rsid w:val="297B4FBD"/>
    <w:rsid w:val="298D0C33"/>
    <w:rsid w:val="29A12E30"/>
    <w:rsid w:val="29A2295C"/>
    <w:rsid w:val="29B4649A"/>
    <w:rsid w:val="29DC2D0C"/>
    <w:rsid w:val="29EE4FAE"/>
    <w:rsid w:val="2A3E1EBB"/>
    <w:rsid w:val="2A6A7B31"/>
    <w:rsid w:val="2AFE1AAC"/>
    <w:rsid w:val="2B424B14"/>
    <w:rsid w:val="2B576F68"/>
    <w:rsid w:val="2B580C97"/>
    <w:rsid w:val="2B6B4108"/>
    <w:rsid w:val="2B7A76AB"/>
    <w:rsid w:val="2B7F27BA"/>
    <w:rsid w:val="2BE62BB6"/>
    <w:rsid w:val="2C0868BC"/>
    <w:rsid w:val="2C262A09"/>
    <w:rsid w:val="2C456543"/>
    <w:rsid w:val="2C56698C"/>
    <w:rsid w:val="2C6829BD"/>
    <w:rsid w:val="2C726404"/>
    <w:rsid w:val="2C7E565A"/>
    <w:rsid w:val="2C8269FB"/>
    <w:rsid w:val="2C9E2610"/>
    <w:rsid w:val="2C9F5258"/>
    <w:rsid w:val="2CC43FE4"/>
    <w:rsid w:val="2CE403B9"/>
    <w:rsid w:val="2CE77D75"/>
    <w:rsid w:val="2D5F7A17"/>
    <w:rsid w:val="2DEF169F"/>
    <w:rsid w:val="2E2A4CEC"/>
    <w:rsid w:val="2E395AB2"/>
    <w:rsid w:val="2E3E712E"/>
    <w:rsid w:val="2E6F0902"/>
    <w:rsid w:val="2ED12513"/>
    <w:rsid w:val="2ED93BF6"/>
    <w:rsid w:val="2EE53513"/>
    <w:rsid w:val="2EF717D0"/>
    <w:rsid w:val="2F0571F8"/>
    <w:rsid w:val="2F6837FE"/>
    <w:rsid w:val="2F826250"/>
    <w:rsid w:val="2F9C50A0"/>
    <w:rsid w:val="2FFA35F8"/>
    <w:rsid w:val="2FFB3813"/>
    <w:rsid w:val="30044B54"/>
    <w:rsid w:val="30125478"/>
    <w:rsid w:val="302D040C"/>
    <w:rsid w:val="30363CB0"/>
    <w:rsid w:val="30405A42"/>
    <w:rsid w:val="30CE650E"/>
    <w:rsid w:val="30D2554F"/>
    <w:rsid w:val="30EC1D1E"/>
    <w:rsid w:val="3178425C"/>
    <w:rsid w:val="31884A79"/>
    <w:rsid w:val="318F6DFD"/>
    <w:rsid w:val="31D23233"/>
    <w:rsid w:val="31F223D9"/>
    <w:rsid w:val="31FA1651"/>
    <w:rsid w:val="32400809"/>
    <w:rsid w:val="3275503C"/>
    <w:rsid w:val="32941411"/>
    <w:rsid w:val="32D34144"/>
    <w:rsid w:val="33180FDF"/>
    <w:rsid w:val="33AF50A4"/>
    <w:rsid w:val="33BF5A1C"/>
    <w:rsid w:val="34347CA8"/>
    <w:rsid w:val="346D1487"/>
    <w:rsid w:val="347C3BC1"/>
    <w:rsid w:val="347D7659"/>
    <w:rsid w:val="34B75DE4"/>
    <w:rsid w:val="34EC234E"/>
    <w:rsid w:val="35070FE1"/>
    <w:rsid w:val="35413925"/>
    <w:rsid w:val="358D598C"/>
    <w:rsid w:val="35B4718D"/>
    <w:rsid w:val="362000D5"/>
    <w:rsid w:val="362E53CF"/>
    <w:rsid w:val="36322589"/>
    <w:rsid w:val="36505C55"/>
    <w:rsid w:val="36877AF6"/>
    <w:rsid w:val="36AC602F"/>
    <w:rsid w:val="36B408B4"/>
    <w:rsid w:val="36C57B63"/>
    <w:rsid w:val="36D60EC8"/>
    <w:rsid w:val="36EB7A56"/>
    <w:rsid w:val="37072D43"/>
    <w:rsid w:val="37133F7E"/>
    <w:rsid w:val="375B12BA"/>
    <w:rsid w:val="37996DF9"/>
    <w:rsid w:val="37997EBF"/>
    <w:rsid w:val="379B2080"/>
    <w:rsid w:val="37CD6097"/>
    <w:rsid w:val="37FF408D"/>
    <w:rsid w:val="3864253B"/>
    <w:rsid w:val="388A196F"/>
    <w:rsid w:val="38BF7DBB"/>
    <w:rsid w:val="38D25888"/>
    <w:rsid w:val="38E23412"/>
    <w:rsid w:val="393E1416"/>
    <w:rsid w:val="39627EA4"/>
    <w:rsid w:val="399D7E16"/>
    <w:rsid w:val="39F952C4"/>
    <w:rsid w:val="3A537A73"/>
    <w:rsid w:val="3A566958"/>
    <w:rsid w:val="3A591E05"/>
    <w:rsid w:val="3A8C587F"/>
    <w:rsid w:val="3A9841D9"/>
    <w:rsid w:val="3AC022D7"/>
    <w:rsid w:val="3AD0720B"/>
    <w:rsid w:val="3AD87EC3"/>
    <w:rsid w:val="3AE2704C"/>
    <w:rsid w:val="3B0E09AE"/>
    <w:rsid w:val="3B133333"/>
    <w:rsid w:val="3B433201"/>
    <w:rsid w:val="3B5553B4"/>
    <w:rsid w:val="3B5D5685"/>
    <w:rsid w:val="3B663B9B"/>
    <w:rsid w:val="3B837F15"/>
    <w:rsid w:val="3BAD0F9A"/>
    <w:rsid w:val="3C2459F9"/>
    <w:rsid w:val="3C5763B9"/>
    <w:rsid w:val="3C9F7525"/>
    <w:rsid w:val="3CA31FAB"/>
    <w:rsid w:val="3CAD14EB"/>
    <w:rsid w:val="3CE10D53"/>
    <w:rsid w:val="3D7E788D"/>
    <w:rsid w:val="3D8D2389"/>
    <w:rsid w:val="3DE5239C"/>
    <w:rsid w:val="3DF73841"/>
    <w:rsid w:val="3DFF6B24"/>
    <w:rsid w:val="3E337D9D"/>
    <w:rsid w:val="3E4A3184"/>
    <w:rsid w:val="3EA15BEA"/>
    <w:rsid w:val="3EEC3285"/>
    <w:rsid w:val="3F7517C8"/>
    <w:rsid w:val="3FAE1258"/>
    <w:rsid w:val="401D6094"/>
    <w:rsid w:val="40300C0E"/>
    <w:rsid w:val="40534228"/>
    <w:rsid w:val="4063108E"/>
    <w:rsid w:val="408D251C"/>
    <w:rsid w:val="40C07780"/>
    <w:rsid w:val="40F0594A"/>
    <w:rsid w:val="410A15F9"/>
    <w:rsid w:val="412A1254"/>
    <w:rsid w:val="41656000"/>
    <w:rsid w:val="4187179A"/>
    <w:rsid w:val="41AE00B6"/>
    <w:rsid w:val="41E95F9F"/>
    <w:rsid w:val="42154310"/>
    <w:rsid w:val="42495010"/>
    <w:rsid w:val="425C545A"/>
    <w:rsid w:val="42636FB6"/>
    <w:rsid w:val="42811BC4"/>
    <w:rsid w:val="42B60B92"/>
    <w:rsid w:val="42D650B2"/>
    <w:rsid w:val="42DD34D6"/>
    <w:rsid w:val="43137D99"/>
    <w:rsid w:val="43475BB2"/>
    <w:rsid w:val="44090B96"/>
    <w:rsid w:val="44906B29"/>
    <w:rsid w:val="44B452A6"/>
    <w:rsid w:val="45560CD4"/>
    <w:rsid w:val="459509CB"/>
    <w:rsid w:val="45F4689A"/>
    <w:rsid w:val="45FB4649"/>
    <w:rsid w:val="46074EE8"/>
    <w:rsid w:val="4637542D"/>
    <w:rsid w:val="46731EEB"/>
    <w:rsid w:val="46875D06"/>
    <w:rsid w:val="46BD4700"/>
    <w:rsid w:val="46CD28E5"/>
    <w:rsid w:val="46D34985"/>
    <w:rsid w:val="46EC74BD"/>
    <w:rsid w:val="47770CCA"/>
    <w:rsid w:val="477A2AB4"/>
    <w:rsid w:val="48094AE2"/>
    <w:rsid w:val="483E4E75"/>
    <w:rsid w:val="4852492F"/>
    <w:rsid w:val="486B3CAF"/>
    <w:rsid w:val="48772769"/>
    <w:rsid w:val="49207E0A"/>
    <w:rsid w:val="492F572C"/>
    <w:rsid w:val="49421FCC"/>
    <w:rsid w:val="49AE5B8A"/>
    <w:rsid w:val="49D85ADD"/>
    <w:rsid w:val="49ED6C82"/>
    <w:rsid w:val="4A06494E"/>
    <w:rsid w:val="4A0C0182"/>
    <w:rsid w:val="4A4A7C46"/>
    <w:rsid w:val="4A523CD5"/>
    <w:rsid w:val="4A786FAB"/>
    <w:rsid w:val="4A84008B"/>
    <w:rsid w:val="4A873A47"/>
    <w:rsid w:val="4ACB5C6C"/>
    <w:rsid w:val="4ADC2291"/>
    <w:rsid w:val="4AFE168C"/>
    <w:rsid w:val="4B4C6658"/>
    <w:rsid w:val="4B6926B5"/>
    <w:rsid w:val="4B7A69E2"/>
    <w:rsid w:val="4B9C252E"/>
    <w:rsid w:val="4BBE5D06"/>
    <w:rsid w:val="4BCA09FA"/>
    <w:rsid w:val="4BE907F8"/>
    <w:rsid w:val="4BEB54D0"/>
    <w:rsid w:val="4C435437"/>
    <w:rsid w:val="4C570DA7"/>
    <w:rsid w:val="4C925D72"/>
    <w:rsid w:val="4CD5653B"/>
    <w:rsid w:val="4CD81862"/>
    <w:rsid w:val="4D28470C"/>
    <w:rsid w:val="4D341ABA"/>
    <w:rsid w:val="4DA559B9"/>
    <w:rsid w:val="4DE352BC"/>
    <w:rsid w:val="4DE6145A"/>
    <w:rsid w:val="4E182958"/>
    <w:rsid w:val="4E6D7648"/>
    <w:rsid w:val="4E7B14D6"/>
    <w:rsid w:val="4F011EB4"/>
    <w:rsid w:val="4F270107"/>
    <w:rsid w:val="4F5E0589"/>
    <w:rsid w:val="4F82145C"/>
    <w:rsid w:val="4FB627BF"/>
    <w:rsid w:val="504B7277"/>
    <w:rsid w:val="50765CB0"/>
    <w:rsid w:val="50801331"/>
    <w:rsid w:val="50924CFB"/>
    <w:rsid w:val="50DC614F"/>
    <w:rsid w:val="50E0282D"/>
    <w:rsid w:val="51050BFE"/>
    <w:rsid w:val="51395CD6"/>
    <w:rsid w:val="5166767E"/>
    <w:rsid w:val="51710636"/>
    <w:rsid w:val="51E16B86"/>
    <w:rsid w:val="51F040FB"/>
    <w:rsid w:val="51F71E1A"/>
    <w:rsid w:val="522E33FF"/>
    <w:rsid w:val="523F3B40"/>
    <w:rsid w:val="529507CD"/>
    <w:rsid w:val="53A019A2"/>
    <w:rsid w:val="53A14529"/>
    <w:rsid w:val="53AB55C1"/>
    <w:rsid w:val="53D92945"/>
    <w:rsid w:val="53E62601"/>
    <w:rsid w:val="53E874BC"/>
    <w:rsid w:val="542A1ACD"/>
    <w:rsid w:val="546259DF"/>
    <w:rsid w:val="546327C9"/>
    <w:rsid w:val="54893C4E"/>
    <w:rsid w:val="55006EC7"/>
    <w:rsid w:val="55130FD8"/>
    <w:rsid w:val="552E03CD"/>
    <w:rsid w:val="55662F4C"/>
    <w:rsid w:val="556D0E36"/>
    <w:rsid w:val="55A91AFC"/>
    <w:rsid w:val="55EC20ED"/>
    <w:rsid w:val="55F00D78"/>
    <w:rsid w:val="56061562"/>
    <w:rsid w:val="565E2A78"/>
    <w:rsid w:val="56A566E4"/>
    <w:rsid w:val="56F54CB6"/>
    <w:rsid w:val="571A40C7"/>
    <w:rsid w:val="57307786"/>
    <w:rsid w:val="57316DA0"/>
    <w:rsid w:val="57327ADA"/>
    <w:rsid w:val="5737262D"/>
    <w:rsid w:val="575B54D9"/>
    <w:rsid w:val="57B154DA"/>
    <w:rsid w:val="57E735A9"/>
    <w:rsid w:val="57ED3CD1"/>
    <w:rsid w:val="58974137"/>
    <w:rsid w:val="589F2BD8"/>
    <w:rsid w:val="58A423E4"/>
    <w:rsid w:val="58D76DB3"/>
    <w:rsid w:val="58D96039"/>
    <w:rsid w:val="58E04384"/>
    <w:rsid w:val="59692B59"/>
    <w:rsid w:val="596B7825"/>
    <w:rsid w:val="5976418F"/>
    <w:rsid w:val="59932391"/>
    <w:rsid w:val="599F5692"/>
    <w:rsid w:val="59DF7EAD"/>
    <w:rsid w:val="59F62891"/>
    <w:rsid w:val="5A0200DD"/>
    <w:rsid w:val="5A4F037D"/>
    <w:rsid w:val="5A5D1252"/>
    <w:rsid w:val="5A99745E"/>
    <w:rsid w:val="5AA43A05"/>
    <w:rsid w:val="5AC201A5"/>
    <w:rsid w:val="5B012E17"/>
    <w:rsid w:val="5B0954B3"/>
    <w:rsid w:val="5B0E49D4"/>
    <w:rsid w:val="5B69023F"/>
    <w:rsid w:val="5B747982"/>
    <w:rsid w:val="5B9C44F9"/>
    <w:rsid w:val="5BC11F53"/>
    <w:rsid w:val="5C0438FC"/>
    <w:rsid w:val="5C1C4987"/>
    <w:rsid w:val="5C526A06"/>
    <w:rsid w:val="5C6D4FF3"/>
    <w:rsid w:val="5C8C12C8"/>
    <w:rsid w:val="5CA67BCF"/>
    <w:rsid w:val="5CAD3352"/>
    <w:rsid w:val="5CEF421A"/>
    <w:rsid w:val="5D6E287B"/>
    <w:rsid w:val="5DD62F1B"/>
    <w:rsid w:val="5E0651AA"/>
    <w:rsid w:val="5E294F9F"/>
    <w:rsid w:val="5E566896"/>
    <w:rsid w:val="5E604B3E"/>
    <w:rsid w:val="5E64737F"/>
    <w:rsid w:val="5E77526B"/>
    <w:rsid w:val="5E921426"/>
    <w:rsid w:val="5EA77AD3"/>
    <w:rsid w:val="5EB95DD2"/>
    <w:rsid w:val="5EFD71C0"/>
    <w:rsid w:val="5F5C2EFA"/>
    <w:rsid w:val="5F7255C6"/>
    <w:rsid w:val="5F785834"/>
    <w:rsid w:val="5FB13C1C"/>
    <w:rsid w:val="5FC75282"/>
    <w:rsid w:val="5FE1567A"/>
    <w:rsid w:val="5FEC1BF5"/>
    <w:rsid w:val="60C2709E"/>
    <w:rsid w:val="60F91D87"/>
    <w:rsid w:val="6106329C"/>
    <w:rsid w:val="610E451F"/>
    <w:rsid w:val="618333EA"/>
    <w:rsid w:val="61885C5D"/>
    <w:rsid w:val="61A265C7"/>
    <w:rsid w:val="61BE18D9"/>
    <w:rsid w:val="61F91876"/>
    <w:rsid w:val="61FA4E25"/>
    <w:rsid w:val="62322474"/>
    <w:rsid w:val="626012F3"/>
    <w:rsid w:val="626E260B"/>
    <w:rsid w:val="62C84DC4"/>
    <w:rsid w:val="62D62068"/>
    <w:rsid w:val="630C0C9E"/>
    <w:rsid w:val="6341785E"/>
    <w:rsid w:val="63A96A13"/>
    <w:rsid w:val="63FF2724"/>
    <w:rsid w:val="644448CA"/>
    <w:rsid w:val="6453457F"/>
    <w:rsid w:val="64556116"/>
    <w:rsid w:val="648B5500"/>
    <w:rsid w:val="649655B1"/>
    <w:rsid w:val="64BC2C9B"/>
    <w:rsid w:val="64E67EDA"/>
    <w:rsid w:val="64FA183E"/>
    <w:rsid w:val="65245D70"/>
    <w:rsid w:val="65264B42"/>
    <w:rsid w:val="65295BAB"/>
    <w:rsid w:val="655E7CF1"/>
    <w:rsid w:val="6571153A"/>
    <w:rsid w:val="65724749"/>
    <w:rsid w:val="65871379"/>
    <w:rsid w:val="65B457A2"/>
    <w:rsid w:val="65CF48B7"/>
    <w:rsid w:val="65E3052E"/>
    <w:rsid w:val="65EF238E"/>
    <w:rsid w:val="65FD30D1"/>
    <w:rsid w:val="660A4448"/>
    <w:rsid w:val="661B3704"/>
    <w:rsid w:val="66704573"/>
    <w:rsid w:val="66797ED2"/>
    <w:rsid w:val="66A05DC1"/>
    <w:rsid w:val="66B16DB5"/>
    <w:rsid w:val="66D91364"/>
    <w:rsid w:val="66EC4861"/>
    <w:rsid w:val="670A555D"/>
    <w:rsid w:val="675A74FA"/>
    <w:rsid w:val="67DE101C"/>
    <w:rsid w:val="67FC099D"/>
    <w:rsid w:val="683A42B9"/>
    <w:rsid w:val="68413617"/>
    <w:rsid w:val="68FA5E7F"/>
    <w:rsid w:val="69206FE6"/>
    <w:rsid w:val="69275944"/>
    <w:rsid w:val="69A56796"/>
    <w:rsid w:val="69A67CDD"/>
    <w:rsid w:val="69AA25B9"/>
    <w:rsid w:val="6A5C2965"/>
    <w:rsid w:val="6ABE3F1A"/>
    <w:rsid w:val="6AEF5784"/>
    <w:rsid w:val="6AEF6426"/>
    <w:rsid w:val="6B256BBD"/>
    <w:rsid w:val="6C17358A"/>
    <w:rsid w:val="6C192DF4"/>
    <w:rsid w:val="6C2E3BAB"/>
    <w:rsid w:val="6CFD38B4"/>
    <w:rsid w:val="6D24124D"/>
    <w:rsid w:val="6D383C65"/>
    <w:rsid w:val="6D7831C7"/>
    <w:rsid w:val="6DA43D14"/>
    <w:rsid w:val="6DE93268"/>
    <w:rsid w:val="6DFC0A08"/>
    <w:rsid w:val="6E03556E"/>
    <w:rsid w:val="6E4C1DDD"/>
    <w:rsid w:val="6E4F4E79"/>
    <w:rsid w:val="6EBA7CE7"/>
    <w:rsid w:val="6EE530B0"/>
    <w:rsid w:val="6F0526A1"/>
    <w:rsid w:val="6F683104"/>
    <w:rsid w:val="6FBA6E91"/>
    <w:rsid w:val="7015310E"/>
    <w:rsid w:val="70525A28"/>
    <w:rsid w:val="705A7660"/>
    <w:rsid w:val="70631405"/>
    <w:rsid w:val="707D4D66"/>
    <w:rsid w:val="707E15F9"/>
    <w:rsid w:val="70A231E6"/>
    <w:rsid w:val="70F463B4"/>
    <w:rsid w:val="70FB6077"/>
    <w:rsid w:val="712D20D3"/>
    <w:rsid w:val="7131157C"/>
    <w:rsid w:val="7148180A"/>
    <w:rsid w:val="718370CE"/>
    <w:rsid w:val="71944CFF"/>
    <w:rsid w:val="71CC0D50"/>
    <w:rsid w:val="71F85BCF"/>
    <w:rsid w:val="71FC0F7A"/>
    <w:rsid w:val="720B57D9"/>
    <w:rsid w:val="721C18CD"/>
    <w:rsid w:val="72907369"/>
    <w:rsid w:val="72974BB0"/>
    <w:rsid w:val="730A62BA"/>
    <w:rsid w:val="731E4809"/>
    <w:rsid w:val="73394FCE"/>
    <w:rsid w:val="733952EA"/>
    <w:rsid w:val="735D00D3"/>
    <w:rsid w:val="73B07BE6"/>
    <w:rsid w:val="73B155E8"/>
    <w:rsid w:val="74135E06"/>
    <w:rsid w:val="741C4825"/>
    <w:rsid w:val="74280C84"/>
    <w:rsid w:val="742A2BFF"/>
    <w:rsid w:val="745921C5"/>
    <w:rsid w:val="74693BC7"/>
    <w:rsid w:val="74977010"/>
    <w:rsid w:val="74CA64C0"/>
    <w:rsid w:val="75101280"/>
    <w:rsid w:val="751D0B78"/>
    <w:rsid w:val="754D2856"/>
    <w:rsid w:val="756151CD"/>
    <w:rsid w:val="757D2EEC"/>
    <w:rsid w:val="75B1662A"/>
    <w:rsid w:val="75D8533D"/>
    <w:rsid w:val="75E032AB"/>
    <w:rsid w:val="75EE49A7"/>
    <w:rsid w:val="760A1510"/>
    <w:rsid w:val="76121E15"/>
    <w:rsid w:val="7615266F"/>
    <w:rsid w:val="762F2831"/>
    <w:rsid w:val="766816D6"/>
    <w:rsid w:val="766B5547"/>
    <w:rsid w:val="76715DDC"/>
    <w:rsid w:val="76BA0BE1"/>
    <w:rsid w:val="76D53204"/>
    <w:rsid w:val="772F3D11"/>
    <w:rsid w:val="77446D81"/>
    <w:rsid w:val="77656ADB"/>
    <w:rsid w:val="777964B3"/>
    <w:rsid w:val="77912D9C"/>
    <w:rsid w:val="77937F90"/>
    <w:rsid w:val="77A23D29"/>
    <w:rsid w:val="77A6570F"/>
    <w:rsid w:val="77AE356C"/>
    <w:rsid w:val="77AE3EE9"/>
    <w:rsid w:val="77B45BFA"/>
    <w:rsid w:val="77B76141"/>
    <w:rsid w:val="77C43553"/>
    <w:rsid w:val="77D71CE3"/>
    <w:rsid w:val="78361828"/>
    <w:rsid w:val="78557445"/>
    <w:rsid w:val="788E1D2B"/>
    <w:rsid w:val="78AC5FDC"/>
    <w:rsid w:val="79223282"/>
    <w:rsid w:val="79FC224E"/>
    <w:rsid w:val="7A01796E"/>
    <w:rsid w:val="7A056E77"/>
    <w:rsid w:val="7A5173A9"/>
    <w:rsid w:val="7A5A076F"/>
    <w:rsid w:val="7B3C7DB9"/>
    <w:rsid w:val="7BC22FF4"/>
    <w:rsid w:val="7BFD4C52"/>
    <w:rsid w:val="7C622CA0"/>
    <w:rsid w:val="7C731091"/>
    <w:rsid w:val="7CA440B9"/>
    <w:rsid w:val="7E5768E9"/>
    <w:rsid w:val="7EBF1A58"/>
    <w:rsid w:val="7EC3202A"/>
    <w:rsid w:val="7ED02DDB"/>
    <w:rsid w:val="7F380CA6"/>
    <w:rsid w:val="7F626766"/>
    <w:rsid w:val="7F6A686B"/>
    <w:rsid w:val="7F73305A"/>
    <w:rsid w:val="7FB57E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40" w:firstLineChars="200"/>
      <w:jc w:val="left"/>
    </w:pPr>
    <w:rPr>
      <w:rFonts w:eastAsia="仿宋" w:asciiTheme="minorAscii" w:hAnsiTheme="minorAscii" w:cstheme="minorBidi"/>
      <w:kern w:val="2"/>
      <w:sz w:val="32"/>
      <w:szCs w:val="24"/>
      <w:lang w:val="en-US" w:eastAsia="zh-CN" w:bidi="ar-SA"/>
    </w:rPr>
  </w:style>
  <w:style w:type="paragraph" w:styleId="2">
    <w:name w:val="heading 1"/>
    <w:basedOn w:val="1"/>
    <w:next w:val="1"/>
    <w:qFormat/>
    <w:uiPriority w:val="0"/>
    <w:pPr>
      <w:keepNext/>
      <w:keepLines/>
      <w:spacing w:before="1300" w:beforeLines="1300" w:beforeAutospacing="0" w:afterLines="0" w:afterAutospacing="0" w:line="360" w:lineRule="auto"/>
      <w:jc w:val="center"/>
      <w:outlineLvl w:val="0"/>
    </w:pPr>
    <w:rPr>
      <w:rFonts w:eastAsia="宋体"/>
      <w:b/>
      <w:kern w:val="44"/>
      <w:sz w:val="52"/>
    </w:rPr>
  </w:style>
  <w:style w:type="paragraph" w:styleId="3">
    <w:name w:val="heading 2"/>
    <w:basedOn w:val="1"/>
    <w:next w:val="1"/>
    <w:link w:val="20"/>
    <w:qFormat/>
    <w:uiPriority w:val="0"/>
    <w:pPr>
      <w:keepNext/>
      <w:keepLines/>
      <w:numPr>
        <w:ilvl w:val="1"/>
        <w:numId w:val="1"/>
      </w:numPr>
      <w:tabs>
        <w:tab w:val="left" w:pos="1080"/>
      </w:tabs>
      <w:spacing w:before="120" w:after="120" w:line="460" w:lineRule="exact"/>
      <w:outlineLvl w:val="1"/>
    </w:pPr>
    <w:rPr>
      <w:rFonts w:ascii="Arial" w:hAnsi="Arial" w:eastAsia="黑体" w:cs="Arial"/>
      <w:b/>
      <w:bCs/>
      <w:sz w:val="30"/>
      <w:szCs w:val="30"/>
    </w:rPr>
  </w:style>
  <w:style w:type="paragraph" w:styleId="4">
    <w:name w:val="heading 3"/>
    <w:basedOn w:val="1"/>
    <w:next w:val="1"/>
    <w:link w:val="23"/>
    <w:unhideWhenUsed/>
    <w:qFormat/>
    <w:uiPriority w:val="0"/>
    <w:pPr>
      <w:keepNext/>
      <w:keepLines/>
      <w:spacing w:beforeLines="0" w:beforeAutospacing="0" w:afterLines="0" w:afterAutospacing="0" w:line="360" w:lineRule="auto"/>
      <w:outlineLvl w:val="2"/>
    </w:pPr>
    <w:rPr>
      <w:b/>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Body Text"/>
    <w:basedOn w:val="1"/>
    <w:next w:val="1"/>
    <w:unhideWhenUsed/>
    <w:qFormat/>
    <w:uiPriority w:val="99"/>
    <w:pPr>
      <w:spacing w:after="120"/>
    </w:pPr>
    <w:rPr>
      <w:rFonts w:ascii="Calibri" w:hAnsi="Calibri" w:eastAsia="宋体" w:cs="Times New Roman"/>
    </w:rPr>
  </w:style>
  <w:style w:type="paragraph" w:styleId="7">
    <w:name w:val="Plain Text"/>
    <w:basedOn w:val="1"/>
    <w:qFormat/>
    <w:uiPriority w:val="0"/>
    <w:rPr>
      <w:rFonts w:ascii="宋体" w:hAnsi="Courier New"/>
    </w:rPr>
  </w:style>
  <w:style w:type="paragraph" w:styleId="8">
    <w:name w:val="Date"/>
    <w:basedOn w:val="1"/>
    <w:next w:val="1"/>
    <w:link w:val="21"/>
    <w:qFormat/>
    <w:uiPriority w:val="0"/>
    <w:pPr>
      <w:ind w:left="100" w:leftChars="2500"/>
    </w:pPr>
  </w:style>
  <w:style w:type="paragraph" w:styleId="9">
    <w:name w:val="footer"/>
    <w:basedOn w:val="1"/>
    <w:qFormat/>
    <w:uiPriority w:val="99"/>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3">
    <w:name w:val="page number"/>
    <w:basedOn w:val="12"/>
    <w:qFormat/>
    <w:uiPriority w:val="0"/>
  </w:style>
  <w:style w:type="paragraph" w:customStyle="1" w:styleId="14">
    <w:name w:val="Quote1"/>
    <w:basedOn w:val="1"/>
    <w:next w:val="1"/>
    <w:qFormat/>
    <w:uiPriority w:val="0"/>
    <w:rPr>
      <w:i/>
      <w:iCs/>
      <w:color w:val="000000"/>
    </w:rPr>
  </w:style>
  <w:style w:type="character" w:customStyle="1" w:styleId="15">
    <w:name w:val="NormalCharacter"/>
    <w:semiHidden/>
    <w:qFormat/>
    <w:uiPriority w:val="0"/>
  </w:style>
  <w:style w:type="paragraph" w:styleId="16">
    <w:name w:val="List Paragraph"/>
    <w:basedOn w:val="1"/>
    <w:qFormat/>
    <w:uiPriority w:val="34"/>
    <w:pPr>
      <w:ind w:firstLine="420" w:firstLineChars="200"/>
    </w:pPr>
  </w:style>
  <w:style w:type="paragraph" w:customStyle="1" w:styleId="17">
    <w:name w:val="95-正文"/>
    <w:qFormat/>
    <w:uiPriority w:val="0"/>
    <w:pPr>
      <w:ind w:firstLine="880" w:firstLineChars="200"/>
    </w:pPr>
    <w:rPr>
      <w:rFonts w:ascii="Calibri" w:hAnsi="Calibri" w:eastAsia="仿宋_GB2312" w:cs="Times New Roman"/>
      <w:sz w:val="32"/>
      <w:lang w:val="en-US" w:eastAsia="zh-CN" w:bidi="ar-SA"/>
    </w:rPr>
  </w:style>
  <w:style w:type="paragraph" w:customStyle="1" w:styleId="18">
    <w:name w:val="引用1"/>
    <w:basedOn w:val="1"/>
    <w:next w:val="1"/>
    <w:qFormat/>
    <w:uiPriority w:val="29"/>
    <w:rPr>
      <w:i/>
      <w:iCs/>
      <w:color w:val="000000"/>
    </w:rPr>
  </w:style>
  <w:style w:type="paragraph" w:customStyle="1" w:styleId="19">
    <w:name w:val="Default"/>
    <w:unhideWhenUsed/>
    <w:qFormat/>
    <w:uiPriority w:val="99"/>
    <w:pPr>
      <w:widowControl w:val="0"/>
      <w:autoSpaceDE w:val="0"/>
      <w:autoSpaceDN w:val="0"/>
      <w:adjustRightInd w:val="0"/>
    </w:pPr>
    <w:rPr>
      <w:rFonts w:hint="eastAsia" w:ascii="汉仪中宋简á.." w:hAnsi="汉仪中宋简á.." w:eastAsia="汉仪中宋简á.." w:cs="Times New Roman"/>
      <w:color w:val="000000"/>
      <w:sz w:val="24"/>
      <w:lang w:val="en-US" w:eastAsia="zh-CN" w:bidi="ar-SA"/>
    </w:rPr>
  </w:style>
  <w:style w:type="character" w:customStyle="1" w:styleId="20">
    <w:name w:val="标题 2 Char"/>
    <w:basedOn w:val="12"/>
    <w:link w:val="3"/>
    <w:qFormat/>
    <w:uiPriority w:val="0"/>
    <w:rPr>
      <w:rFonts w:ascii="Arial" w:hAnsi="Arial" w:eastAsia="黑体" w:cs="Arial"/>
      <w:b/>
      <w:bCs/>
      <w:kern w:val="2"/>
      <w:sz w:val="30"/>
      <w:szCs w:val="30"/>
    </w:rPr>
  </w:style>
  <w:style w:type="character" w:customStyle="1" w:styleId="21">
    <w:name w:val="日期 Char"/>
    <w:basedOn w:val="12"/>
    <w:link w:val="8"/>
    <w:qFormat/>
    <w:uiPriority w:val="0"/>
    <w:rPr>
      <w:rFonts w:asciiTheme="minorHAnsi" w:hAnsiTheme="minorHAnsi" w:eastAsiaTheme="minorEastAsia" w:cstheme="minorBidi"/>
      <w:kern w:val="2"/>
      <w:sz w:val="21"/>
      <w:szCs w:val="24"/>
    </w:rPr>
  </w:style>
  <w:style w:type="paragraph" w:customStyle="1" w:styleId="22">
    <w:name w:val="引用11"/>
    <w:basedOn w:val="1"/>
    <w:next w:val="1"/>
    <w:qFormat/>
    <w:uiPriority w:val="29"/>
    <w:rPr>
      <w:rFonts w:ascii="Calibri" w:hAnsi="Calibri" w:eastAsia="宋体" w:cs="Times New Roman"/>
      <w:i/>
      <w:iCs/>
      <w:color w:val="000000"/>
    </w:rPr>
  </w:style>
  <w:style w:type="character" w:customStyle="1" w:styleId="23">
    <w:name w:val="标题 3 Char"/>
    <w:link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370</Words>
  <Characters>385</Characters>
  <Lines>1</Lines>
  <Paragraphs>1</Paragraphs>
  <TotalTime>87</TotalTime>
  <ScaleCrop>false</ScaleCrop>
  <LinksUpToDate>false</LinksUpToDate>
  <CharactersWithSpaces>391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2024-05-21T02:47:00Z</dcterms:created>
  <dc:creator>admin</dc:creator>
  <cp:lastModifiedBy>碧云天</cp:lastModifiedBy>
  <cp:lastPrinted>2024-11-15T04:16:00Z</cp:lastPrinted>
  <dcterms:modified xsi:type="dcterms:W3CDTF">2025-05-14T02:42:41Z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eyJoZGlkIjoiNzI2ZGI0OGUzMDAzMzk0YmE1OTYyMDVlZGMwMmYyODYiLCJ1c2VySWQiOiIzNjIzMDEzMzQifQ==</vt:lpwstr>
  </property>
  <property fmtid="{D5CDD505-2E9C-101B-9397-08002B2CF9AE}" pid="4" name="ICV">
    <vt:lpwstr>7E577DAD65C84AEC8C1211FA775A5439_12</vt:lpwstr>
  </property>
</Properties>
</file>