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A149F">
      <w:pPr>
        <w:spacing w:line="600" w:lineRule="exact"/>
        <w:jc w:val="left"/>
        <w:outlineLvl w:val="9"/>
        <w:rPr>
          <w:rFonts w:ascii="方正小标宋简体" w:hAnsi="宋体" w:eastAsia="方正小标宋简体"/>
          <w:szCs w:val="21"/>
        </w:rPr>
      </w:pPr>
      <w:bookmarkStart w:id="0" w:name="_Toc15306267"/>
    </w:p>
    <w:p w14:paraId="65F45C9F">
      <w:pPr>
        <w:pStyle w:val="5"/>
        <w:spacing w:before="93"/>
      </w:pPr>
    </w:p>
    <w:p w14:paraId="297E8551">
      <w:pPr>
        <w:spacing w:line="600" w:lineRule="exact"/>
        <w:jc w:val="center"/>
        <w:outlineLvl w:val="9"/>
        <w:rPr>
          <w:rFonts w:ascii="方正小标宋简体" w:hAnsi="宋体" w:eastAsia="方正小标宋简体"/>
          <w:sz w:val="72"/>
          <w:szCs w:val="72"/>
        </w:rPr>
      </w:pPr>
    </w:p>
    <w:p w14:paraId="0FDC85BA">
      <w:pPr>
        <w:spacing w:line="600" w:lineRule="exact"/>
        <w:jc w:val="center"/>
        <w:outlineLvl w:val="9"/>
        <w:rPr>
          <w:rFonts w:ascii="方正小标宋简体" w:hAnsi="宋体" w:eastAsia="方正小标宋简体"/>
          <w:sz w:val="72"/>
          <w:szCs w:val="72"/>
        </w:rPr>
      </w:pPr>
    </w:p>
    <w:p w14:paraId="60FC830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898"/>
      <w:bookmarkStart w:id="3" w:name="_Toc15396475"/>
      <w:bookmarkStart w:id="4" w:name="_Toc15378441"/>
      <w:bookmarkStart w:id="5" w:name="_Toc15377425"/>
      <w:bookmarkStart w:id="6" w:name="_Toc15377193"/>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p>
    <w:bookmarkEnd w:id="0"/>
    <w:p w14:paraId="209A151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06268"/>
      <w:bookmarkStart w:id="8" w:name="_Toc21623"/>
      <w:bookmarkStart w:id="9" w:name="_Toc15377194"/>
      <w:bookmarkStart w:id="10" w:name="_Toc15396476"/>
      <w:bookmarkStart w:id="11" w:name="_Toc15377426"/>
      <w:bookmarkStart w:id="12" w:name="_Toc15378442"/>
      <w:bookmarkStart w:id="13" w:name="_Toc15396598"/>
      <w:r>
        <w:rPr>
          <w:rFonts w:hint="eastAsia" w:ascii="方正小标宋简体" w:hAnsi="方正小标宋简体" w:eastAsia="方正小标宋简体" w:cs="方正小标宋简体"/>
          <w:sz w:val="72"/>
          <w:szCs w:val="72"/>
        </w:rPr>
        <w:t>峨边彝族自治县卫生健康局单位决算</w:t>
      </w:r>
      <w:bookmarkEnd w:id="7"/>
      <w:bookmarkEnd w:id="8"/>
      <w:bookmarkEnd w:id="9"/>
      <w:bookmarkEnd w:id="10"/>
      <w:bookmarkEnd w:id="11"/>
      <w:bookmarkEnd w:id="12"/>
      <w:bookmarkEnd w:id="13"/>
    </w:p>
    <w:p w14:paraId="5CDAC6EC">
      <w:pPr>
        <w:adjustRightInd w:val="0"/>
        <w:snapToGrid w:val="0"/>
        <w:spacing w:line="360" w:lineRule="auto"/>
        <w:jc w:val="center"/>
        <w:outlineLvl w:val="9"/>
        <w:rPr>
          <w:rFonts w:ascii="方正小标宋简体" w:hAnsi="宋体" w:eastAsia="方正小标宋简体"/>
          <w:sz w:val="52"/>
          <w:szCs w:val="52"/>
        </w:rPr>
      </w:pPr>
    </w:p>
    <w:p w14:paraId="4A3467DA">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11EDACAF">
      <w:pPr>
        <w:widowControl/>
        <w:jc w:val="center"/>
        <w:rPr>
          <w:rFonts w:ascii="黑体" w:hAnsi="黑体" w:eastAsia="黑体" w:cstheme="minorBidi"/>
          <w:sz w:val="28"/>
          <w:szCs w:val="28"/>
        </w:rPr>
      </w:pPr>
    </w:p>
    <w:p w14:paraId="043DF08B">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w:t>
      </w:r>
    </w:p>
    <w:p w14:paraId="61C4C92D"/>
    <w:sdt>
      <w:sdtPr>
        <w:rPr>
          <w:rFonts w:ascii="宋体" w:hAnsi="宋体" w:eastAsia="宋体" w:cs="Times New Roman"/>
          <w:kern w:val="2"/>
          <w:sz w:val="21"/>
          <w:szCs w:val="24"/>
          <w:lang w:val="en-US" w:eastAsia="zh-CN" w:bidi="ar-SA"/>
        </w:rPr>
        <w:id w:val="147479289"/>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369DE0FE">
          <w:pPr>
            <w:spacing w:before="0" w:beforeLines="0" w:after="0" w:afterLines="0" w:line="240" w:lineRule="auto"/>
            <w:ind w:left="0" w:leftChars="0" w:right="0" w:rightChars="0" w:firstLine="0" w:firstLineChars="0"/>
            <w:jc w:val="center"/>
            <w:rPr>
              <w:b/>
            </w:rPr>
          </w:pPr>
          <w:r>
            <w:fldChar w:fldCharType="begin"/>
          </w:r>
          <w:r>
            <w:instrText xml:space="preserve">TOC \o "1-2" \h \u </w:instrText>
          </w:r>
          <w:r>
            <w:fldChar w:fldCharType="separate"/>
          </w:r>
        </w:p>
        <w:p w14:paraId="40AC4001">
          <w:pPr>
            <w:pStyle w:val="33"/>
            <w:tabs>
              <w:tab w:val="right" w:leader="dot" w:pos="8306"/>
            </w:tabs>
            <w:rPr>
              <w:b/>
            </w:rPr>
          </w:pPr>
          <w:r>
            <w:rPr>
              <w:b/>
            </w:rPr>
            <w:fldChar w:fldCharType="begin"/>
          </w:r>
          <w:r>
            <w:rPr>
              <w:b/>
            </w:rPr>
            <w:instrText xml:space="preserve"> HYPERLINK \l _Toc16675 </w:instrText>
          </w:r>
          <w:r>
            <w:rPr>
              <w:b/>
            </w:rPr>
            <w:fldChar w:fldCharType="separate"/>
          </w:r>
          <w:r>
            <w:rPr>
              <w:rFonts w:hint="eastAsia" w:ascii="黑体" w:hAnsi="黑体" w:eastAsia="黑体"/>
              <w:b/>
            </w:rPr>
            <w:t>第一部分 单位</w:t>
          </w:r>
          <w:r>
            <w:rPr>
              <w:rFonts w:hint="eastAsia" w:ascii="黑体" w:hAnsi="黑体" w:eastAsia="黑体"/>
              <w:b/>
              <w:bCs w:val="0"/>
            </w:rPr>
            <w:t>概况</w:t>
          </w:r>
          <w:r>
            <w:rPr>
              <w:b/>
            </w:rPr>
            <w:tab/>
          </w:r>
          <w:r>
            <w:rPr>
              <w:b/>
            </w:rPr>
            <w:fldChar w:fldCharType="begin"/>
          </w:r>
          <w:r>
            <w:rPr>
              <w:b/>
            </w:rPr>
            <w:instrText xml:space="preserve"> PAGEREF _Toc16675 \h </w:instrText>
          </w:r>
          <w:r>
            <w:rPr>
              <w:b/>
            </w:rPr>
            <w:fldChar w:fldCharType="separate"/>
          </w:r>
          <w:r>
            <w:rPr>
              <w:b/>
            </w:rPr>
            <w:t>3</w:t>
          </w:r>
          <w:r>
            <w:rPr>
              <w:b/>
            </w:rPr>
            <w:fldChar w:fldCharType="end"/>
          </w:r>
          <w:r>
            <w:rPr>
              <w:b/>
            </w:rPr>
            <w:fldChar w:fldCharType="end"/>
          </w:r>
        </w:p>
        <w:p w14:paraId="1F43AEB2">
          <w:pPr>
            <w:pStyle w:val="34"/>
            <w:tabs>
              <w:tab w:val="right" w:leader="dot" w:pos="8306"/>
            </w:tabs>
          </w:pPr>
          <w:r>
            <w:fldChar w:fldCharType="begin"/>
          </w:r>
          <w:r>
            <w:instrText xml:space="preserve"> HYPERLINK \l _Toc26313 </w:instrText>
          </w:r>
          <w:r>
            <w:fldChar w:fldCharType="separate"/>
          </w:r>
          <w:r>
            <w:rPr>
              <w:rFonts w:hint="eastAsia" w:ascii="黑体" w:hAnsi="黑体" w:eastAsia="黑体"/>
              <w:bCs w:val="0"/>
            </w:rPr>
            <w:t>一、 主要职责</w:t>
          </w:r>
          <w:r>
            <w:tab/>
          </w:r>
          <w:r>
            <w:fldChar w:fldCharType="begin"/>
          </w:r>
          <w:r>
            <w:instrText xml:space="preserve"> PAGEREF _Toc26313 \h </w:instrText>
          </w:r>
          <w:r>
            <w:fldChar w:fldCharType="separate"/>
          </w:r>
          <w:r>
            <w:t>3</w:t>
          </w:r>
          <w:r>
            <w:fldChar w:fldCharType="end"/>
          </w:r>
          <w:r>
            <w:fldChar w:fldCharType="end"/>
          </w:r>
        </w:p>
        <w:p w14:paraId="49E95898">
          <w:pPr>
            <w:pStyle w:val="34"/>
            <w:tabs>
              <w:tab w:val="right" w:leader="dot" w:pos="8306"/>
            </w:tabs>
          </w:pPr>
          <w:r>
            <w:fldChar w:fldCharType="begin"/>
          </w:r>
          <w:r>
            <w:instrText xml:space="preserve"> HYPERLINK \l _Toc520 </w:instrText>
          </w:r>
          <w:r>
            <w:fldChar w:fldCharType="separate"/>
          </w:r>
          <w:r>
            <w:rPr>
              <w:rFonts w:hint="eastAsia" w:ascii="黑体" w:hAnsi="黑体" w:eastAsia="黑体"/>
            </w:rPr>
            <w:t>二、机构设置</w:t>
          </w:r>
          <w:r>
            <w:tab/>
          </w:r>
          <w:r>
            <w:fldChar w:fldCharType="begin"/>
          </w:r>
          <w:r>
            <w:instrText xml:space="preserve"> PAGEREF _Toc520 \h </w:instrText>
          </w:r>
          <w:r>
            <w:fldChar w:fldCharType="separate"/>
          </w:r>
          <w:r>
            <w:t>3</w:t>
          </w:r>
          <w:r>
            <w:fldChar w:fldCharType="end"/>
          </w:r>
          <w:r>
            <w:fldChar w:fldCharType="end"/>
          </w:r>
        </w:p>
        <w:p w14:paraId="52335145">
          <w:pPr>
            <w:pStyle w:val="33"/>
            <w:tabs>
              <w:tab w:val="right" w:leader="dot" w:pos="8306"/>
            </w:tabs>
            <w:rPr>
              <w:b/>
            </w:rPr>
          </w:pPr>
          <w:r>
            <w:rPr>
              <w:b/>
            </w:rPr>
            <w:fldChar w:fldCharType="begin"/>
          </w:r>
          <w:r>
            <w:rPr>
              <w:b/>
            </w:rPr>
            <w:instrText xml:space="preserve"> HYPERLINK \l _Toc24102 </w:instrText>
          </w:r>
          <w:r>
            <w:rPr>
              <w:b/>
            </w:rPr>
            <w:fldChar w:fldCharType="separate"/>
          </w:r>
          <w:r>
            <w:rPr>
              <w:rFonts w:hint="eastAsia" w:ascii="黑体" w:hAnsi="黑体" w:eastAsia="黑体"/>
              <w:b/>
            </w:rPr>
            <w:t>第二部分 2023年度</w:t>
          </w:r>
          <w:r>
            <w:rPr>
              <w:rFonts w:hint="eastAsia" w:ascii="黑体" w:hAnsi="黑体" w:eastAsia="黑体"/>
              <w:b/>
              <w:bCs/>
            </w:rPr>
            <w:t>单位决算情况说明</w:t>
          </w:r>
          <w:r>
            <w:rPr>
              <w:b/>
            </w:rPr>
            <w:tab/>
          </w:r>
          <w:r>
            <w:rPr>
              <w:b/>
            </w:rPr>
            <w:fldChar w:fldCharType="begin"/>
          </w:r>
          <w:r>
            <w:rPr>
              <w:b/>
            </w:rPr>
            <w:instrText xml:space="preserve"> PAGEREF _Toc24102 \h </w:instrText>
          </w:r>
          <w:r>
            <w:rPr>
              <w:b/>
            </w:rPr>
            <w:fldChar w:fldCharType="separate"/>
          </w:r>
          <w:r>
            <w:rPr>
              <w:b/>
            </w:rPr>
            <w:t>4</w:t>
          </w:r>
          <w:r>
            <w:rPr>
              <w:b/>
            </w:rPr>
            <w:fldChar w:fldCharType="end"/>
          </w:r>
          <w:r>
            <w:rPr>
              <w:b/>
            </w:rPr>
            <w:fldChar w:fldCharType="end"/>
          </w:r>
        </w:p>
        <w:p w14:paraId="370FBB6F">
          <w:pPr>
            <w:pStyle w:val="34"/>
            <w:tabs>
              <w:tab w:val="right" w:leader="dot" w:pos="8306"/>
            </w:tabs>
          </w:pPr>
          <w:r>
            <w:fldChar w:fldCharType="begin"/>
          </w:r>
          <w:r>
            <w:instrText xml:space="preserve"> HYPERLINK \l _Toc2286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_Toc2286 \h </w:instrText>
          </w:r>
          <w:r>
            <w:fldChar w:fldCharType="separate"/>
          </w:r>
          <w:r>
            <w:t>4</w:t>
          </w:r>
          <w:r>
            <w:fldChar w:fldCharType="end"/>
          </w:r>
          <w:r>
            <w:fldChar w:fldCharType="end"/>
          </w:r>
        </w:p>
        <w:p w14:paraId="370F2FE4">
          <w:pPr>
            <w:pStyle w:val="34"/>
            <w:tabs>
              <w:tab w:val="right" w:leader="dot" w:pos="8306"/>
            </w:tabs>
          </w:pPr>
          <w:r>
            <w:fldChar w:fldCharType="begin"/>
          </w:r>
          <w:r>
            <w:instrText xml:space="preserve"> HYPERLINK \l _Toc12579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_Toc12579 \h </w:instrText>
          </w:r>
          <w:r>
            <w:fldChar w:fldCharType="separate"/>
          </w:r>
          <w:r>
            <w:t>4</w:t>
          </w:r>
          <w:r>
            <w:fldChar w:fldCharType="end"/>
          </w:r>
          <w:r>
            <w:fldChar w:fldCharType="end"/>
          </w:r>
        </w:p>
        <w:p w14:paraId="54BB66F4">
          <w:pPr>
            <w:pStyle w:val="34"/>
            <w:tabs>
              <w:tab w:val="right" w:leader="dot" w:pos="8306"/>
            </w:tabs>
          </w:pPr>
          <w:r>
            <w:fldChar w:fldCharType="begin"/>
          </w:r>
          <w:r>
            <w:instrText xml:space="preserve"> HYPERLINK \l _Toc20783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_Toc20783 \h </w:instrText>
          </w:r>
          <w:r>
            <w:fldChar w:fldCharType="separate"/>
          </w:r>
          <w:r>
            <w:t>5</w:t>
          </w:r>
          <w:r>
            <w:fldChar w:fldCharType="end"/>
          </w:r>
          <w:r>
            <w:fldChar w:fldCharType="end"/>
          </w:r>
        </w:p>
        <w:p w14:paraId="019FEED1">
          <w:pPr>
            <w:pStyle w:val="34"/>
            <w:tabs>
              <w:tab w:val="right" w:leader="dot" w:pos="8306"/>
            </w:tabs>
          </w:pPr>
          <w:r>
            <w:fldChar w:fldCharType="begin"/>
          </w:r>
          <w:r>
            <w:instrText xml:space="preserve"> HYPERLINK \l _Toc21101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_Toc21101 \h </w:instrText>
          </w:r>
          <w:r>
            <w:fldChar w:fldCharType="separate"/>
          </w:r>
          <w:r>
            <w:t>6</w:t>
          </w:r>
          <w:r>
            <w:fldChar w:fldCharType="end"/>
          </w:r>
          <w:r>
            <w:fldChar w:fldCharType="end"/>
          </w:r>
        </w:p>
        <w:p w14:paraId="53FE9C26">
          <w:pPr>
            <w:pStyle w:val="34"/>
            <w:tabs>
              <w:tab w:val="right" w:leader="dot" w:pos="8306"/>
            </w:tabs>
          </w:pPr>
          <w:r>
            <w:fldChar w:fldCharType="begin"/>
          </w:r>
          <w:r>
            <w:instrText xml:space="preserve"> HYPERLINK \l _Toc1304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_Toc1304 \h </w:instrText>
          </w:r>
          <w:r>
            <w:fldChar w:fldCharType="separate"/>
          </w:r>
          <w:r>
            <w:t>6</w:t>
          </w:r>
          <w:r>
            <w:fldChar w:fldCharType="end"/>
          </w:r>
          <w:r>
            <w:fldChar w:fldCharType="end"/>
          </w:r>
        </w:p>
        <w:p w14:paraId="02B22F00">
          <w:pPr>
            <w:pStyle w:val="34"/>
            <w:tabs>
              <w:tab w:val="right" w:leader="dot" w:pos="8306"/>
            </w:tabs>
          </w:pPr>
          <w:r>
            <w:fldChar w:fldCharType="begin"/>
          </w:r>
          <w:r>
            <w:instrText xml:space="preserve"> HYPERLINK \l _Toc29623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_Toc29623 \h </w:instrText>
          </w:r>
          <w:r>
            <w:fldChar w:fldCharType="separate"/>
          </w:r>
          <w:r>
            <w:t>10</w:t>
          </w:r>
          <w:r>
            <w:fldChar w:fldCharType="end"/>
          </w:r>
          <w:r>
            <w:fldChar w:fldCharType="end"/>
          </w:r>
        </w:p>
        <w:p w14:paraId="65069794">
          <w:pPr>
            <w:pStyle w:val="34"/>
            <w:tabs>
              <w:tab w:val="right" w:leader="dot" w:pos="8306"/>
            </w:tabs>
          </w:pPr>
          <w:r>
            <w:fldChar w:fldCharType="begin"/>
          </w:r>
          <w:r>
            <w:instrText xml:space="preserve"> HYPERLINK \l _Toc25774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_Toc25774 \h </w:instrText>
          </w:r>
          <w:r>
            <w:fldChar w:fldCharType="separate"/>
          </w:r>
          <w:r>
            <w:t>11</w:t>
          </w:r>
          <w:r>
            <w:fldChar w:fldCharType="end"/>
          </w:r>
          <w:r>
            <w:fldChar w:fldCharType="end"/>
          </w:r>
        </w:p>
        <w:p w14:paraId="5546EDCB">
          <w:pPr>
            <w:pStyle w:val="34"/>
            <w:tabs>
              <w:tab w:val="right" w:leader="dot" w:pos="8306"/>
            </w:tabs>
          </w:pPr>
          <w:r>
            <w:fldChar w:fldCharType="begin"/>
          </w:r>
          <w:r>
            <w:instrText xml:space="preserve"> HYPERLINK \l _Toc302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_Toc302 \h </w:instrText>
          </w:r>
          <w:r>
            <w:fldChar w:fldCharType="separate"/>
          </w:r>
          <w:r>
            <w:t>13</w:t>
          </w:r>
          <w:r>
            <w:fldChar w:fldCharType="end"/>
          </w:r>
          <w:r>
            <w:fldChar w:fldCharType="end"/>
          </w:r>
        </w:p>
        <w:p w14:paraId="166BEDF1">
          <w:pPr>
            <w:pStyle w:val="34"/>
            <w:tabs>
              <w:tab w:val="right" w:leader="dot" w:pos="8306"/>
            </w:tabs>
          </w:pPr>
          <w:r>
            <w:fldChar w:fldCharType="begin"/>
          </w:r>
          <w:r>
            <w:instrText xml:space="preserve"> HYPERLINK \l _Toc18676 </w:instrText>
          </w:r>
          <w:r>
            <w:fldChar w:fldCharType="separate"/>
          </w:r>
          <w:r>
            <w:rPr>
              <w:rFonts w:hint="eastAsia" w:ascii="黑体" w:hAnsi="黑体" w:eastAsia="黑体"/>
            </w:rPr>
            <w:t>九、 国有资本经营预算支出决算情况说明</w:t>
          </w:r>
          <w:r>
            <w:tab/>
          </w:r>
          <w:r>
            <w:fldChar w:fldCharType="begin"/>
          </w:r>
          <w:r>
            <w:instrText xml:space="preserve"> PAGEREF _Toc18676 \h </w:instrText>
          </w:r>
          <w:r>
            <w:fldChar w:fldCharType="separate"/>
          </w:r>
          <w:r>
            <w:t>13</w:t>
          </w:r>
          <w:r>
            <w:fldChar w:fldCharType="end"/>
          </w:r>
          <w:r>
            <w:fldChar w:fldCharType="end"/>
          </w:r>
        </w:p>
        <w:p w14:paraId="3DDD5008">
          <w:pPr>
            <w:pStyle w:val="34"/>
            <w:tabs>
              <w:tab w:val="right" w:leader="dot" w:pos="8306"/>
            </w:tabs>
          </w:pPr>
          <w:r>
            <w:fldChar w:fldCharType="begin"/>
          </w:r>
          <w:r>
            <w:instrText xml:space="preserve"> HYPERLINK \l _Toc6023 </w:instrText>
          </w:r>
          <w:r>
            <w:fldChar w:fldCharType="separate"/>
          </w:r>
          <w:r>
            <w:rPr>
              <w:rFonts w:hint="eastAsia" w:ascii="黑体" w:hAnsi="黑体" w:eastAsia="黑体"/>
            </w:rPr>
            <w:t>十、 其他重要事项的情况说明</w:t>
          </w:r>
          <w:r>
            <w:tab/>
          </w:r>
          <w:r>
            <w:fldChar w:fldCharType="begin"/>
          </w:r>
          <w:r>
            <w:instrText xml:space="preserve"> PAGEREF _Toc6023 \h </w:instrText>
          </w:r>
          <w:r>
            <w:fldChar w:fldCharType="separate"/>
          </w:r>
          <w:r>
            <w:t>13</w:t>
          </w:r>
          <w:r>
            <w:fldChar w:fldCharType="end"/>
          </w:r>
          <w:r>
            <w:fldChar w:fldCharType="end"/>
          </w:r>
        </w:p>
        <w:p w14:paraId="0BE8077A">
          <w:pPr>
            <w:pStyle w:val="33"/>
            <w:tabs>
              <w:tab w:val="right" w:leader="dot" w:pos="8306"/>
            </w:tabs>
          </w:pPr>
          <w:r>
            <w:rPr>
              <w:b/>
            </w:rPr>
            <w:fldChar w:fldCharType="begin"/>
          </w:r>
          <w:r>
            <w:rPr>
              <w:b/>
            </w:rPr>
            <w:instrText xml:space="preserve"> HYPERLINK \l _Toc270 </w:instrText>
          </w:r>
          <w:r>
            <w:rPr>
              <w:b/>
            </w:rPr>
            <w:fldChar w:fldCharType="separate"/>
          </w:r>
          <w:r>
            <w:rPr>
              <w:rFonts w:hint="eastAsia" w:ascii="黑体" w:hAnsi="黑体" w:eastAsia="黑体" w:cs="黑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_Toc270 \h </w:instrText>
          </w:r>
          <w:r>
            <w:rPr>
              <w:b/>
            </w:rPr>
            <w:fldChar w:fldCharType="separate"/>
          </w:r>
          <w:r>
            <w:rPr>
              <w:b/>
            </w:rPr>
            <w:t>15</w:t>
          </w:r>
          <w:r>
            <w:rPr>
              <w:b/>
            </w:rPr>
            <w:fldChar w:fldCharType="end"/>
          </w:r>
          <w:r>
            <w:rPr>
              <w:b/>
            </w:rPr>
            <w:fldChar w:fldCharType="end"/>
          </w:r>
        </w:p>
        <w:p w14:paraId="13742DC0">
          <w:pPr>
            <w:pStyle w:val="33"/>
            <w:tabs>
              <w:tab w:val="right" w:leader="dot" w:pos="8306"/>
            </w:tabs>
          </w:pPr>
          <w:r>
            <w:rPr>
              <w:b/>
            </w:rPr>
            <w:fldChar w:fldCharType="begin"/>
          </w:r>
          <w:r>
            <w:rPr>
              <w:b/>
            </w:rPr>
            <w:instrText xml:space="preserve"> HYPERLINK \l _Toc24455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_Toc24455 \h </w:instrText>
          </w:r>
          <w:r>
            <w:rPr>
              <w:b/>
            </w:rPr>
            <w:fldChar w:fldCharType="separate"/>
          </w:r>
          <w:r>
            <w:rPr>
              <w:b/>
            </w:rPr>
            <w:t>20</w:t>
          </w:r>
          <w:r>
            <w:rPr>
              <w:b/>
            </w:rPr>
            <w:fldChar w:fldCharType="end"/>
          </w:r>
          <w:r>
            <w:rPr>
              <w:b/>
            </w:rPr>
            <w:fldChar w:fldCharType="end"/>
          </w:r>
        </w:p>
        <w:p w14:paraId="1C45A966">
          <w:pPr>
            <w:pStyle w:val="33"/>
            <w:tabs>
              <w:tab w:val="right" w:leader="dot" w:pos="8306"/>
            </w:tabs>
            <w:rPr>
              <w:b/>
            </w:rPr>
          </w:pPr>
          <w:r>
            <w:rPr>
              <w:b/>
            </w:rPr>
            <w:fldChar w:fldCharType="begin"/>
          </w:r>
          <w:r>
            <w:rPr>
              <w:b/>
            </w:rPr>
            <w:instrText xml:space="preserve"> HYPERLINK \l _Toc7736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_Toc7736 \h </w:instrText>
          </w:r>
          <w:r>
            <w:rPr>
              <w:b/>
            </w:rPr>
            <w:fldChar w:fldCharType="separate"/>
          </w:r>
          <w:r>
            <w:rPr>
              <w:b/>
            </w:rPr>
            <w:t>28</w:t>
          </w:r>
          <w:r>
            <w:rPr>
              <w:b/>
            </w:rPr>
            <w:fldChar w:fldCharType="end"/>
          </w:r>
          <w:r>
            <w:rPr>
              <w:b/>
            </w:rPr>
            <w:fldChar w:fldCharType="end"/>
          </w:r>
        </w:p>
        <w:p w14:paraId="134E2AE2">
          <w:pPr>
            <w:pStyle w:val="34"/>
            <w:tabs>
              <w:tab w:val="right" w:leader="dot" w:pos="8306"/>
            </w:tabs>
          </w:pPr>
          <w:r>
            <w:fldChar w:fldCharType="begin"/>
          </w:r>
          <w:r>
            <w:instrText xml:space="preserve"> HYPERLINK \l _Toc3148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_Toc3148 \h </w:instrText>
          </w:r>
          <w:r>
            <w:fldChar w:fldCharType="separate"/>
          </w:r>
          <w:r>
            <w:t>28</w:t>
          </w:r>
          <w:r>
            <w:fldChar w:fldCharType="end"/>
          </w:r>
          <w:r>
            <w:fldChar w:fldCharType="end"/>
          </w:r>
        </w:p>
        <w:p w14:paraId="57061925">
          <w:pPr>
            <w:pStyle w:val="34"/>
            <w:tabs>
              <w:tab w:val="right" w:leader="dot" w:pos="8306"/>
            </w:tabs>
          </w:pPr>
          <w:r>
            <w:fldChar w:fldCharType="begin"/>
          </w:r>
          <w:r>
            <w:instrText xml:space="preserve"> HYPERLINK \l _Toc20715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_Toc20715 \h </w:instrText>
          </w:r>
          <w:r>
            <w:fldChar w:fldCharType="separate"/>
          </w:r>
          <w:r>
            <w:t>28</w:t>
          </w:r>
          <w:r>
            <w:fldChar w:fldCharType="end"/>
          </w:r>
          <w:r>
            <w:fldChar w:fldCharType="end"/>
          </w:r>
        </w:p>
        <w:p w14:paraId="47D35EAE">
          <w:pPr>
            <w:pStyle w:val="34"/>
            <w:tabs>
              <w:tab w:val="right" w:leader="dot" w:pos="8306"/>
            </w:tabs>
          </w:pPr>
          <w:r>
            <w:fldChar w:fldCharType="begin"/>
          </w:r>
          <w:r>
            <w:instrText xml:space="preserve"> HYPERLINK \l _Toc4650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_Toc4650 \h </w:instrText>
          </w:r>
          <w:r>
            <w:fldChar w:fldCharType="separate"/>
          </w:r>
          <w:r>
            <w:t>28</w:t>
          </w:r>
          <w:r>
            <w:fldChar w:fldCharType="end"/>
          </w:r>
          <w:r>
            <w:fldChar w:fldCharType="end"/>
          </w:r>
        </w:p>
        <w:p w14:paraId="0BE4831D">
          <w:pPr>
            <w:pStyle w:val="34"/>
            <w:tabs>
              <w:tab w:val="right" w:leader="dot" w:pos="8306"/>
            </w:tabs>
          </w:pPr>
          <w:r>
            <w:fldChar w:fldCharType="begin"/>
          </w:r>
          <w:r>
            <w:instrText xml:space="preserve"> HYPERLINK \l _Toc11778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_Toc11778 \h </w:instrText>
          </w:r>
          <w:r>
            <w:fldChar w:fldCharType="separate"/>
          </w:r>
          <w:r>
            <w:t>28</w:t>
          </w:r>
          <w:r>
            <w:fldChar w:fldCharType="end"/>
          </w:r>
          <w:r>
            <w:fldChar w:fldCharType="end"/>
          </w:r>
        </w:p>
        <w:p w14:paraId="26FBC7B7">
          <w:pPr>
            <w:pStyle w:val="34"/>
            <w:tabs>
              <w:tab w:val="right" w:leader="dot" w:pos="8306"/>
            </w:tabs>
          </w:pPr>
          <w:r>
            <w:fldChar w:fldCharType="begin"/>
          </w:r>
          <w:r>
            <w:instrText xml:space="preserve"> HYPERLINK \l _Toc21741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_Toc21741 \h </w:instrText>
          </w:r>
          <w:r>
            <w:fldChar w:fldCharType="separate"/>
          </w:r>
          <w:r>
            <w:t>28</w:t>
          </w:r>
          <w:r>
            <w:fldChar w:fldCharType="end"/>
          </w:r>
          <w:r>
            <w:fldChar w:fldCharType="end"/>
          </w:r>
        </w:p>
        <w:p w14:paraId="1B33C509">
          <w:pPr>
            <w:pStyle w:val="34"/>
            <w:tabs>
              <w:tab w:val="right" w:leader="dot" w:pos="8306"/>
            </w:tabs>
          </w:pPr>
          <w:r>
            <w:fldChar w:fldCharType="begin"/>
          </w:r>
          <w:r>
            <w:instrText xml:space="preserve"> HYPERLINK \l _Toc25926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_Toc25926 \h </w:instrText>
          </w:r>
          <w:r>
            <w:fldChar w:fldCharType="separate"/>
          </w:r>
          <w:r>
            <w:t>28</w:t>
          </w:r>
          <w:r>
            <w:fldChar w:fldCharType="end"/>
          </w:r>
          <w:r>
            <w:fldChar w:fldCharType="end"/>
          </w:r>
        </w:p>
        <w:p w14:paraId="52D5B53B">
          <w:pPr>
            <w:pStyle w:val="34"/>
            <w:tabs>
              <w:tab w:val="right" w:leader="dot" w:pos="8306"/>
            </w:tabs>
          </w:pPr>
          <w:r>
            <w:fldChar w:fldCharType="begin"/>
          </w:r>
          <w:r>
            <w:instrText xml:space="preserve"> HYPERLINK \l _Toc1953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_Toc1953 \h </w:instrText>
          </w:r>
          <w:r>
            <w:fldChar w:fldCharType="separate"/>
          </w:r>
          <w:r>
            <w:t>28</w:t>
          </w:r>
          <w:r>
            <w:fldChar w:fldCharType="end"/>
          </w:r>
          <w:r>
            <w:fldChar w:fldCharType="end"/>
          </w:r>
        </w:p>
        <w:p w14:paraId="0795434F">
          <w:pPr>
            <w:pStyle w:val="34"/>
            <w:tabs>
              <w:tab w:val="right" w:leader="dot" w:pos="8306"/>
            </w:tabs>
          </w:pPr>
          <w:r>
            <w:fldChar w:fldCharType="begin"/>
          </w:r>
          <w:r>
            <w:instrText xml:space="preserve"> HYPERLINK \l _Toc15952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_Toc15952 \h </w:instrText>
          </w:r>
          <w:r>
            <w:fldChar w:fldCharType="separate"/>
          </w:r>
          <w:r>
            <w:t>28</w:t>
          </w:r>
          <w:r>
            <w:fldChar w:fldCharType="end"/>
          </w:r>
          <w:r>
            <w:fldChar w:fldCharType="end"/>
          </w:r>
        </w:p>
        <w:p w14:paraId="6D7029AF">
          <w:pPr>
            <w:pStyle w:val="34"/>
            <w:tabs>
              <w:tab w:val="right" w:leader="dot" w:pos="8306"/>
            </w:tabs>
          </w:pPr>
          <w:r>
            <w:fldChar w:fldCharType="begin"/>
          </w:r>
          <w:r>
            <w:instrText xml:space="preserve"> HYPERLINK \l _Toc14641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_Toc14641 \h </w:instrText>
          </w:r>
          <w:r>
            <w:fldChar w:fldCharType="separate"/>
          </w:r>
          <w:r>
            <w:t>28</w:t>
          </w:r>
          <w:r>
            <w:fldChar w:fldCharType="end"/>
          </w:r>
          <w:r>
            <w:fldChar w:fldCharType="end"/>
          </w:r>
        </w:p>
        <w:p w14:paraId="7DF55047">
          <w:pPr>
            <w:pStyle w:val="34"/>
            <w:tabs>
              <w:tab w:val="right" w:leader="dot" w:pos="8306"/>
            </w:tabs>
          </w:pPr>
          <w:r>
            <w:fldChar w:fldCharType="begin"/>
          </w:r>
          <w:r>
            <w:instrText xml:space="preserve"> HYPERLINK \l _Toc17201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_Toc17201 \h </w:instrText>
          </w:r>
          <w:r>
            <w:fldChar w:fldCharType="separate"/>
          </w:r>
          <w:r>
            <w:t>28</w:t>
          </w:r>
          <w:r>
            <w:fldChar w:fldCharType="end"/>
          </w:r>
          <w:r>
            <w:fldChar w:fldCharType="end"/>
          </w:r>
        </w:p>
        <w:p w14:paraId="1CD57391">
          <w:pPr>
            <w:pStyle w:val="34"/>
            <w:tabs>
              <w:tab w:val="right" w:leader="dot" w:pos="8306"/>
            </w:tabs>
          </w:pPr>
          <w:r>
            <w:fldChar w:fldCharType="begin"/>
          </w:r>
          <w:r>
            <w:instrText xml:space="preserve"> HYPERLINK \l _Toc28410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_Toc28410 \h </w:instrText>
          </w:r>
          <w:r>
            <w:fldChar w:fldCharType="separate"/>
          </w:r>
          <w:r>
            <w:t>28</w:t>
          </w:r>
          <w:r>
            <w:fldChar w:fldCharType="end"/>
          </w:r>
          <w:r>
            <w:fldChar w:fldCharType="end"/>
          </w:r>
        </w:p>
        <w:p w14:paraId="5E5E27E8">
          <w:pPr>
            <w:pStyle w:val="34"/>
            <w:tabs>
              <w:tab w:val="right" w:leader="dot" w:pos="8306"/>
            </w:tabs>
          </w:pPr>
          <w:r>
            <w:fldChar w:fldCharType="begin"/>
          </w:r>
          <w:r>
            <w:instrText xml:space="preserve"> HYPERLINK \l _Toc8501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_Toc8501 \h </w:instrText>
          </w:r>
          <w:r>
            <w:fldChar w:fldCharType="separate"/>
          </w:r>
          <w:r>
            <w:t>28</w:t>
          </w:r>
          <w:r>
            <w:fldChar w:fldCharType="end"/>
          </w:r>
          <w:r>
            <w:fldChar w:fldCharType="end"/>
          </w:r>
        </w:p>
        <w:p w14:paraId="548D1935">
          <w:pPr>
            <w:pStyle w:val="34"/>
            <w:tabs>
              <w:tab w:val="right" w:leader="dot" w:pos="8306"/>
            </w:tabs>
          </w:pPr>
          <w:r>
            <w:fldChar w:fldCharType="begin"/>
          </w:r>
          <w:r>
            <w:instrText xml:space="preserve"> HYPERLINK \l _Toc28907 </w:instrText>
          </w:r>
          <w:r>
            <w:fldChar w:fldCharType="separate"/>
          </w:r>
          <w:r>
            <w:rPr>
              <w:rFonts w:hint="eastAsia" w:ascii="仿宋" w:hAnsi="仿宋" w:eastAsia="仿宋"/>
              <w:bCs w:val="0"/>
            </w:rPr>
            <w:t>十三、财政拨款“三公”经费支出决算表</w:t>
          </w:r>
          <w:r>
            <w:tab/>
          </w:r>
          <w:r>
            <w:fldChar w:fldCharType="begin"/>
          </w:r>
          <w:r>
            <w:instrText xml:space="preserve"> PAGEREF _Toc28907 \h </w:instrText>
          </w:r>
          <w:r>
            <w:fldChar w:fldCharType="separate"/>
          </w:r>
          <w:r>
            <w:t>28</w:t>
          </w:r>
          <w:r>
            <w:fldChar w:fldCharType="end"/>
          </w:r>
          <w:r>
            <w:fldChar w:fldCharType="end"/>
          </w:r>
        </w:p>
        <w:p w14:paraId="64A79C93">
          <w:pPr>
            <w:rPr>
              <w:b/>
            </w:rPr>
          </w:pPr>
          <w:r>
            <w:rPr>
              <w:b/>
            </w:rPr>
            <w:fldChar w:fldCharType="end"/>
          </w:r>
        </w:p>
      </w:sdtContent>
    </w:sdt>
    <w:p w14:paraId="5BAE34BD">
      <w:pPr>
        <w:rPr>
          <w:b/>
        </w:rPr>
      </w:pPr>
    </w:p>
    <w:p w14:paraId="13D04F83">
      <w:pPr>
        <w:widowControl/>
        <w:adjustRightInd w:val="0"/>
        <w:snapToGrid w:val="0"/>
        <w:spacing w:line="440" w:lineRule="exact"/>
        <w:jc w:val="left"/>
        <w:rPr>
          <w:rFonts w:ascii="仿宋" w:hAnsi="仿宋" w:eastAsia="仿宋"/>
          <w:sz w:val="24"/>
        </w:rPr>
      </w:pPr>
    </w:p>
    <w:p w14:paraId="5A83CC43">
      <w:pPr>
        <w:widowControl/>
        <w:spacing w:line="440" w:lineRule="exact"/>
        <w:jc w:val="left"/>
        <w:rPr>
          <w:rFonts w:ascii="仿宋" w:hAnsi="仿宋" w:eastAsia="仿宋"/>
          <w:bCs/>
          <w:kern w:val="44"/>
          <w:sz w:val="24"/>
        </w:rPr>
      </w:pPr>
      <w:bookmarkStart w:id="14" w:name="_Toc15396599"/>
      <w:bookmarkStart w:id="15" w:name="_Toc15377196"/>
      <w:r>
        <w:rPr>
          <w:rFonts w:ascii="仿宋" w:hAnsi="仿宋" w:eastAsia="仿宋"/>
          <w:b/>
          <w:sz w:val="24"/>
        </w:rPr>
        <w:br w:type="page"/>
      </w:r>
    </w:p>
    <w:p w14:paraId="268D7CB9">
      <w:pPr>
        <w:pStyle w:val="2"/>
        <w:jc w:val="center"/>
        <w:rPr>
          <w:rStyle w:val="27"/>
          <w:rFonts w:ascii="黑体" w:hAnsi="黑体" w:eastAsia="黑体"/>
          <w:b/>
          <w:bCs w:val="0"/>
        </w:rPr>
      </w:pPr>
      <w:bookmarkStart w:id="16" w:name="_Toc16675"/>
      <w:r>
        <w:rPr>
          <w:rFonts w:hint="eastAsia" w:ascii="黑体" w:hAnsi="黑体" w:eastAsia="黑体"/>
          <w:b w:val="0"/>
        </w:rPr>
        <w:t>第一部分 单位</w:t>
      </w:r>
      <w:r>
        <w:rPr>
          <w:rStyle w:val="27"/>
          <w:rFonts w:hint="eastAsia" w:ascii="黑体" w:hAnsi="黑体" w:eastAsia="黑体"/>
          <w:b w:val="0"/>
          <w:bCs w:val="0"/>
        </w:rPr>
        <w:t>概况</w:t>
      </w:r>
      <w:bookmarkEnd w:id="14"/>
      <w:bookmarkEnd w:id="15"/>
      <w:bookmarkEnd w:id="16"/>
    </w:p>
    <w:p w14:paraId="7C1F2F8B">
      <w:pPr>
        <w:widowControl/>
        <w:jc w:val="left"/>
        <w:rPr>
          <w:rFonts w:ascii="黑体" w:eastAsia="黑体"/>
          <w:sz w:val="32"/>
          <w:szCs w:val="32"/>
        </w:rPr>
      </w:pPr>
    </w:p>
    <w:p w14:paraId="1C09433E">
      <w:pPr>
        <w:pStyle w:val="3"/>
        <w:keepNext/>
        <w:keepLines/>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Style w:val="28"/>
          <w:rFonts w:ascii="黑体" w:hAnsi="黑体" w:eastAsia="黑体"/>
          <w:b w:val="0"/>
          <w:bCs w:val="0"/>
        </w:rPr>
      </w:pPr>
      <w:bookmarkStart w:id="17" w:name="_Toc26313"/>
      <w:bookmarkStart w:id="18" w:name="_Toc15377197"/>
      <w:bookmarkStart w:id="19" w:name="_Toc15396600"/>
      <w:r>
        <w:rPr>
          <w:rStyle w:val="28"/>
          <w:rFonts w:hint="eastAsia" w:ascii="黑体" w:hAnsi="黑体" w:eastAsia="黑体"/>
          <w:b w:val="0"/>
          <w:bCs w:val="0"/>
        </w:rPr>
        <w:t>主要职责</w:t>
      </w:r>
      <w:bookmarkEnd w:id="17"/>
    </w:p>
    <w:p w14:paraId="20B26A1B">
      <w:pPr>
        <w:ind w:left="0" w:leftChars="0" w:firstLine="640" w:firstLineChars="200"/>
        <w:rPr>
          <w:rFonts w:hint="eastAsia" w:ascii="仿宋" w:hAnsi="仿宋" w:eastAsia="仿宋" w:cs="仿宋"/>
          <w:sz w:val="32"/>
          <w:szCs w:val="32"/>
        </w:rPr>
      </w:pPr>
      <w:bookmarkStart w:id="20" w:name="_Toc16736"/>
      <w:r>
        <w:rPr>
          <w:rFonts w:hint="eastAsia" w:ascii="仿宋_GB2312" w:hAnsi="仿宋_GB2312" w:eastAsia="仿宋_GB2312" w:cs="Times New Roman"/>
          <w:color w:val="000000"/>
          <w:kern w:val="2"/>
          <w:sz w:val="32"/>
          <w:szCs w:val="24"/>
          <w:lang w:val="zh-CN"/>
        </w:rPr>
        <w:t>峨边彝族自治县卫生健康局是峨边彝族自治县人民政府工作部门。其主要职责：职能简介：贯彻执行国家和省、市、县有关卫生和计划生育、中医药等方面的</w:t>
      </w:r>
      <w:bookmarkStart w:id="105" w:name="_GoBack"/>
      <w:bookmarkEnd w:id="105"/>
      <w:r>
        <w:rPr>
          <w:rFonts w:hint="eastAsia" w:ascii="仿宋_GB2312" w:hAnsi="仿宋_GB2312" w:eastAsia="仿宋_GB2312" w:cs="Times New Roman"/>
          <w:color w:val="000000"/>
          <w:kern w:val="2"/>
          <w:sz w:val="32"/>
          <w:szCs w:val="24"/>
          <w:lang w:val="zh-CN"/>
        </w:rPr>
        <w:t>法律法规和方针政策。拟订卫生和计划生育及促进中医药事业发展的规划及政策措施。深化医药卫生体制改革，坚持保基本、强基层、建机制，协调推进医疗保障、医疗服务、公共卫生、计划生育管理、药品供应和监管体制综合改革，巩固完善基本药物制度和基层运行新机制。负责协调推进医药卫生体制改革和医疗保障，统筹规划卫生和计划生育服务资源配置，负责全县做好卫生和计划生育规划的编制和实施。</w:t>
      </w:r>
      <w:bookmarkEnd w:id="20"/>
    </w:p>
    <w:p w14:paraId="602505DE">
      <w:pPr>
        <w:pStyle w:val="3"/>
        <w:keepNext/>
        <w:keepLines/>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b w:val="0"/>
        </w:rPr>
      </w:pPr>
      <w:bookmarkStart w:id="21" w:name="_Toc520"/>
      <w:r>
        <w:rPr>
          <w:rFonts w:hint="eastAsia" w:ascii="黑体" w:hAnsi="黑体" w:eastAsia="黑体"/>
          <w:b w:val="0"/>
        </w:rPr>
        <w:t>二、机构设置</w:t>
      </w:r>
      <w:bookmarkEnd w:id="21"/>
    </w:p>
    <w:bookmarkEnd w:id="18"/>
    <w:bookmarkEnd w:id="19"/>
    <w:p w14:paraId="6D56F170">
      <w:pPr>
        <w:widowControl/>
        <w:ind w:left="0" w:leftChars="0" w:firstLine="640" w:firstLineChars="200"/>
        <w:jc w:val="left"/>
        <w:rPr>
          <w:rFonts w:ascii="仿宋" w:hAnsi="仿宋" w:eastAsia="仿宋"/>
          <w:kern w:val="0"/>
          <w:sz w:val="32"/>
          <w:szCs w:val="32"/>
        </w:rPr>
      </w:pPr>
      <w:r>
        <w:rPr>
          <w:rFonts w:hint="eastAsia" w:ascii="仿宋" w:hAnsi="仿宋" w:eastAsia="仿宋"/>
          <w:sz w:val="32"/>
          <w:szCs w:val="32"/>
        </w:rPr>
        <w:t>峨边彝族自治县卫生健康局属行政单位，内设机构：综合股、政策法规股、医政医管股、县爱国卫生和公共卫生管理股、健康服务与保健股、计生协会、爱卫办、县老龄办、县健康教育培训中心、财务监管中心、医改办（扶贫办）。</w:t>
      </w:r>
      <w:r>
        <w:rPr>
          <w:rFonts w:ascii="仿宋" w:hAnsi="仿宋" w:eastAsia="仿宋"/>
          <w:sz w:val="32"/>
          <w:szCs w:val="32"/>
        </w:rPr>
        <w:br w:type="page"/>
      </w:r>
    </w:p>
    <w:p w14:paraId="7D922A39">
      <w:pPr>
        <w:pStyle w:val="2"/>
        <w:ind w:right="440"/>
        <w:jc w:val="center"/>
        <w:rPr>
          <w:rStyle w:val="27"/>
          <w:rFonts w:ascii="黑体" w:hAnsi="黑体" w:eastAsia="黑体"/>
          <w:b w:val="0"/>
          <w:bCs/>
        </w:rPr>
      </w:pPr>
      <w:bookmarkStart w:id="22" w:name="_Toc24102"/>
      <w:bookmarkStart w:id="23" w:name="_Toc15377204"/>
      <w:bookmarkStart w:id="24" w:name="_Toc15396602"/>
      <w:r>
        <w:rPr>
          <w:rFonts w:hint="eastAsia" w:ascii="黑体" w:hAnsi="黑体" w:eastAsia="黑体"/>
          <w:b w:val="0"/>
        </w:rPr>
        <w:t>第二部分 2023年度</w:t>
      </w:r>
      <w:r>
        <w:rPr>
          <w:rStyle w:val="27"/>
          <w:rFonts w:hint="eastAsia" w:ascii="黑体" w:hAnsi="黑体" w:eastAsia="黑体"/>
          <w:b w:val="0"/>
          <w:bCs/>
        </w:rPr>
        <w:t>单位决算情况说明</w:t>
      </w:r>
      <w:bookmarkEnd w:id="22"/>
      <w:bookmarkEnd w:id="23"/>
      <w:bookmarkEnd w:id="24"/>
    </w:p>
    <w:p w14:paraId="1E05E98E"/>
    <w:p w14:paraId="5E2D7F73">
      <w:pPr>
        <w:pStyle w:val="26"/>
        <w:numPr>
          <w:ilvl w:val="0"/>
          <w:numId w:val="2"/>
        </w:numPr>
        <w:spacing w:line="600" w:lineRule="exact"/>
        <w:ind w:firstLineChars="0"/>
        <w:outlineLvl w:val="1"/>
        <w:rPr>
          <w:rStyle w:val="28"/>
          <w:rFonts w:ascii="黑体" w:hAnsi="黑体" w:eastAsia="黑体"/>
          <w:b w:val="0"/>
        </w:rPr>
      </w:pPr>
      <w:bookmarkStart w:id="25" w:name="_Toc15396603"/>
      <w:bookmarkStart w:id="26" w:name="_Toc2286"/>
      <w:bookmarkStart w:id="27" w:name="_Toc15377205"/>
      <w:r>
        <w:rPr>
          <w:rFonts w:hint="eastAsia" w:ascii="黑体" w:hAnsi="黑体" w:eastAsia="黑体"/>
          <w:sz w:val="32"/>
          <w:szCs w:val="32"/>
        </w:rPr>
        <w:t>收</w:t>
      </w:r>
      <w:r>
        <w:rPr>
          <w:rStyle w:val="28"/>
          <w:rFonts w:hint="eastAsia" w:ascii="黑体" w:hAnsi="黑体" w:eastAsia="黑体"/>
          <w:b w:val="0"/>
        </w:rPr>
        <w:t>入支出决算总体情况说明</w:t>
      </w:r>
      <w:bookmarkEnd w:id="25"/>
      <w:bookmarkEnd w:id="26"/>
      <w:bookmarkEnd w:id="27"/>
    </w:p>
    <w:p w14:paraId="56027894">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2776.28</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69.14</w:t>
      </w:r>
      <w:r>
        <w:rPr>
          <w:rFonts w:hint="eastAsia" w:ascii="仿宋" w:hAnsi="仿宋" w:eastAsia="仿宋"/>
          <w:sz w:val="32"/>
          <w:szCs w:val="32"/>
        </w:rPr>
        <w:t>万元，增长</w:t>
      </w:r>
      <w:r>
        <w:rPr>
          <w:rFonts w:hint="eastAsia" w:ascii="仿宋" w:hAnsi="仿宋" w:eastAsia="仿宋"/>
          <w:sz w:val="32"/>
          <w:szCs w:val="32"/>
          <w:lang w:val="en-US" w:eastAsia="zh-CN"/>
        </w:rPr>
        <w:t>2.55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2023年项目经费预算增加</w:t>
      </w:r>
      <w:r>
        <w:rPr>
          <w:rFonts w:hint="eastAsia" w:ascii="仿宋" w:hAnsi="仿宋" w:eastAsia="仿宋"/>
          <w:sz w:val="32"/>
          <w:szCs w:val="32"/>
        </w:rPr>
        <w:t>。</w:t>
      </w:r>
    </w:p>
    <w:p w14:paraId="5C2F1C49">
      <w:pPr>
        <w:pStyle w:val="18"/>
        <w:jc w:val="center"/>
        <w:outlineLvl w:val="9"/>
      </w:pPr>
      <w:r>
        <w:drawing>
          <wp:inline distT="0" distB="0" distL="114300" distR="114300">
            <wp:extent cx="4562475" cy="29051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2475" cy="2905125"/>
                    </a:xfrm>
                    <a:prstGeom prst="rect">
                      <a:avLst/>
                    </a:prstGeom>
                    <a:noFill/>
                    <a:ln>
                      <a:noFill/>
                    </a:ln>
                  </pic:spPr>
                </pic:pic>
              </a:graphicData>
            </a:graphic>
          </wp:inline>
        </w:drawing>
      </w:r>
    </w:p>
    <w:p w14:paraId="545B88F2">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680E1738">
      <w:pPr>
        <w:spacing w:line="600" w:lineRule="exact"/>
        <w:ind w:firstLine="640" w:firstLineChars="200"/>
        <w:jc w:val="left"/>
        <w:rPr>
          <w:rFonts w:ascii="仿宋_GB2312" w:eastAsia="仿宋_GB2312"/>
          <w:sz w:val="32"/>
          <w:szCs w:val="32"/>
        </w:rPr>
      </w:pPr>
    </w:p>
    <w:p w14:paraId="00CAC013">
      <w:pPr>
        <w:pStyle w:val="26"/>
        <w:numPr>
          <w:ilvl w:val="0"/>
          <w:numId w:val="2"/>
        </w:numPr>
        <w:spacing w:line="600" w:lineRule="exact"/>
        <w:ind w:firstLineChars="0"/>
        <w:outlineLvl w:val="1"/>
        <w:rPr>
          <w:rStyle w:val="28"/>
          <w:rFonts w:ascii="黑体" w:hAnsi="黑体" w:eastAsia="黑体"/>
          <w:b w:val="0"/>
        </w:rPr>
      </w:pPr>
      <w:bookmarkStart w:id="28" w:name="_Toc15396604"/>
      <w:bookmarkStart w:id="29" w:name="_Toc12579"/>
      <w:bookmarkStart w:id="30" w:name="_Toc15377206"/>
      <w:r>
        <w:rPr>
          <w:rFonts w:hint="eastAsia" w:ascii="黑体" w:hAnsi="黑体" w:eastAsia="黑体"/>
          <w:sz w:val="32"/>
          <w:szCs w:val="32"/>
        </w:rPr>
        <w:t>收</w:t>
      </w:r>
      <w:r>
        <w:rPr>
          <w:rStyle w:val="28"/>
          <w:rFonts w:hint="eastAsia" w:ascii="黑体" w:hAnsi="黑体" w:eastAsia="黑体"/>
          <w:b w:val="0"/>
        </w:rPr>
        <w:t>入决算情况说明</w:t>
      </w:r>
      <w:bookmarkEnd w:id="28"/>
      <w:bookmarkEnd w:id="29"/>
      <w:bookmarkEnd w:id="30"/>
    </w:p>
    <w:p w14:paraId="03F20B46">
      <w:pPr>
        <w:spacing w:line="600" w:lineRule="exact"/>
        <w:ind w:firstLine="640" w:firstLineChars="200"/>
        <w:outlineLvl w:val="1"/>
        <w:rPr>
          <w:rFonts w:hint="eastAsia" w:ascii="仿宋" w:hAnsi="仿宋" w:eastAsia="仿宋"/>
          <w:sz w:val="32"/>
          <w:szCs w:val="32"/>
          <w:lang w:eastAsia="zh-CN"/>
        </w:rPr>
      </w:pPr>
      <w:bookmarkStart w:id="31" w:name="_Toc19723"/>
      <w:r>
        <w:rPr>
          <w:rFonts w:hint="eastAsia" w:ascii="仿宋" w:hAnsi="仿宋" w:eastAsia="仿宋"/>
          <w:sz w:val="32"/>
          <w:szCs w:val="32"/>
        </w:rPr>
        <w:t>2023年度本年收入合计</w:t>
      </w:r>
      <w:r>
        <w:rPr>
          <w:rFonts w:ascii="仿宋" w:hAnsi="仿宋" w:eastAsia="仿宋"/>
          <w:b/>
          <w:sz w:val="32"/>
          <w:szCs w:val="32"/>
        </w:rPr>
        <w:t>2776.28</w:t>
      </w:r>
      <w:r>
        <w:rPr>
          <w:rFonts w:hint="eastAsia" w:ascii="仿宋" w:hAnsi="仿宋" w:eastAsia="仿宋"/>
          <w:sz w:val="32"/>
          <w:szCs w:val="32"/>
        </w:rPr>
        <w:t>万元，其中：一般公共预算财政拨款收入</w:t>
      </w:r>
      <w:r>
        <w:rPr>
          <w:rFonts w:ascii="仿宋" w:hAnsi="仿宋" w:eastAsia="仿宋"/>
          <w:b/>
          <w:sz w:val="32"/>
          <w:szCs w:val="32"/>
        </w:rPr>
        <w:t>2668.82</w:t>
      </w:r>
      <w:r>
        <w:rPr>
          <w:rFonts w:hint="eastAsia" w:ascii="仿宋" w:hAnsi="仿宋" w:eastAsia="仿宋"/>
          <w:sz w:val="32"/>
          <w:szCs w:val="32"/>
        </w:rPr>
        <w:t>万元，占</w:t>
      </w:r>
      <w:r>
        <w:rPr>
          <w:rFonts w:ascii="仿宋" w:hAnsi="仿宋" w:eastAsia="仿宋"/>
          <w:b/>
          <w:sz w:val="32"/>
          <w:szCs w:val="32"/>
        </w:rPr>
        <w:t>96.12%</w:t>
      </w:r>
      <w:r>
        <w:rPr>
          <w:rFonts w:hint="eastAsia" w:ascii="仿宋" w:hAnsi="仿宋" w:eastAsia="仿宋"/>
          <w:sz w:val="32"/>
          <w:szCs w:val="32"/>
        </w:rPr>
        <w:t>；政府性基金预算财政拨款收入</w:t>
      </w:r>
      <w:r>
        <w:rPr>
          <w:rFonts w:ascii="仿宋" w:hAnsi="仿宋" w:eastAsia="仿宋"/>
          <w:b/>
          <w:sz w:val="32"/>
          <w:szCs w:val="32"/>
        </w:rPr>
        <w:t>107.46</w:t>
      </w:r>
      <w:r>
        <w:rPr>
          <w:rFonts w:hint="eastAsia" w:ascii="仿宋" w:hAnsi="仿宋" w:eastAsia="仿宋"/>
          <w:sz w:val="32"/>
          <w:szCs w:val="32"/>
        </w:rPr>
        <w:t>万元，占</w:t>
      </w:r>
      <w:r>
        <w:rPr>
          <w:rFonts w:ascii="仿宋" w:hAnsi="仿宋" w:eastAsia="仿宋"/>
          <w:b/>
          <w:sz w:val="32"/>
          <w:szCs w:val="32"/>
        </w:rPr>
        <w:t>3.87</w:t>
      </w:r>
      <w:r>
        <w:rPr>
          <w:rFonts w:ascii="仿宋" w:hAnsi="仿宋" w:eastAsia="仿宋"/>
          <w:sz w:val="32"/>
          <w:szCs w:val="32"/>
        </w:rPr>
        <w:t>%</w:t>
      </w:r>
      <w:r>
        <w:rPr>
          <w:rFonts w:hint="eastAsia" w:ascii="仿宋" w:hAnsi="仿宋" w:eastAsia="仿宋"/>
          <w:sz w:val="32"/>
          <w:szCs w:val="32"/>
          <w:lang w:eastAsia="zh-CN"/>
        </w:rPr>
        <w:t>。</w:t>
      </w:r>
      <w:bookmarkEnd w:id="31"/>
    </w:p>
    <w:p w14:paraId="70442430">
      <w:pPr>
        <w:spacing w:line="240" w:lineRule="auto"/>
        <w:ind w:firstLine="0" w:firstLineChars="0"/>
        <w:jc w:val="center"/>
        <w:outlineLvl w:val="9"/>
        <w:rPr>
          <w:rFonts w:ascii="仿宋" w:hAnsi="仿宋" w:eastAsia="仿宋"/>
          <w:sz w:val="32"/>
          <w:szCs w:val="32"/>
        </w:rPr>
      </w:pPr>
      <w:r>
        <w:drawing>
          <wp:inline distT="0" distB="0" distL="114300" distR="114300">
            <wp:extent cx="4562475" cy="29146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4562475" cy="2914650"/>
                    </a:xfrm>
                    <a:prstGeom prst="rect">
                      <a:avLst/>
                    </a:prstGeom>
                    <a:noFill/>
                    <a:ln>
                      <a:noFill/>
                    </a:ln>
                  </pic:spPr>
                </pic:pic>
              </a:graphicData>
            </a:graphic>
          </wp:inline>
        </w:drawing>
      </w:r>
    </w:p>
    <w:p w14:paraId="71C1BB6E">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6E036DC1">
      <w:pPr>
        <w:spacing w:line="600" w:lineRule="exact"/>
        <w:ind w:firstLine="640" w:firstLineChars="200"/>
        <w:rPr>
          <w:rFonts w:ascii="仿宋_GB2312" w:eastAsia="仿宋_GB2312"/>
          <w:sz w:val="32"/>
          <w:szCs w:val="32"/>
        </w:rPr>
      </w:pPr>
    </w:p>
    <w:p w14:paraId="760558BA">
      <w:pPr>
        <w:pStyle w:val="26"/>
        <w:numPr>
          <w:ilvl w:val="0"/>
          <w:numId w:val="2"/>
        </w:numPr>
        <w:spacing w:line="600" w:lineRule="exact"/>
        <w:ind w:firstLineChars="0"/>
        <w:outlineLvl w:val="1"/>
        <w:rPr>
          <w:rStyle w:val="28"/>
          <w:rFonts w:ascii="黑体" w:hAnsi="黑体" w:eastAsia="黑体"/>
          <w:b w:val="0"/>
        </w:rPr>
      </w:pPr>
      <w:bookmarkStart w:id="32" w:name="_Toc15396605"/>
      <w:bookmarkStart w:id="33" w:name="_Toc20783"/>
      <w:bookmarkStart w:id="34" w:name="_Toc15377207"/>
      <w:r>
        <w:rPr>
          <w:rFonts w:hint="eastAsia" w:ascii="黑体" w:hAnsi="黑体" w:eastAsia="黑体"/>
          <w:sz w:val="32"/>
          <w:szCs w:val="32"/>
        </w:rPr>
        <w:t>支</w:t>
      </w:r>
      <w:r>
        <w:rPr>
          <w:rStyle w:val="28"/>
          <w:rFonts w:hint="eastAsia" w:ascii="黑体" w:hAnsi="黑体" w:eastAsia="黑体"/>
          <w:b w:val="0"/>
        </w:rPr>
        <w:t>出决算情况说明</w:t>
      </w:r>
      <w:bookmarkEnd w:id="32"/>
      <w:bookmarkEnd w:id="33"/>
      <w:bookmarkEnd w:id="34"/>
    </w:p>
    <w:p w14:paraId="6D199393">
      <w:pPr>
        <w:spacing w:line="600" w:lineRule="exact"/>
        <w:ind w:firstLine="640" w:firstLineChars="200"/>
        <w:outlineLvl w:val="1"/>
        <w:rPr>
          <w:rFonts w:ascii="仿宋" w:hAnsi="仿宋" w:eastAsia="仿宋"/>
          <w:sz w:val="32"/>
          <w:szCs w:val="32"/>
        </w:rPr>
      </w:pPr>
      <w:bookmarkStart w:id="35" w:name="_Toc15582"/>
      <w:r>
        <w:rPr>
          <w:rFonts w:hint="eastAsia" w:ascii="仿宋" w:hAnsi="仿宋" w:eastAsia="仿宋"/>
          <w:sz w:val="32"/>
          <w:szCs w:val="32"/>
        </w:rPr>
        <w:t>2023年度本年支出合计</w:t>
      </w:r>
      <w:r>
        <w:rPr>
          <w:rFonts w:ascii="仿宋" w:hAnsi="仿宋" w:eastAsia="仿宋"/>
          <w:b/>
          <w:sz w:val="32"/>
          <w:szCs w:val="32"/>
        </w:rPr>
        <w:t>2776.28</w:t>
      </w:r>
      <w:r>
        <w:rPr>
          <w:rFonts w:hint="eastAsia" w:ascii="仿宋" w:hAnsi="仿宋" w:eastAsia="仿宋"/>
          <w:sz w:val="32"/>
          <w:szCs w:val="32"/>
        </w:rPr>
        <w:t>万元，其中：基本支出</w:t>
      </w:r>
      <w:r>
        <w:rPr>
          <w:rFonts w:ascii="仿宋" w:hAnsi="仿宋" w:eastAsia="仿宋"/>
          <w:b/>
          <w:sz w:val="32"/>
          <w:szCs w:val="32"/>
        </w:rPr>
        <w:t>774.24</w:t>
      </w:r>
      <w:r>
        <w:rPr>
          <w:rFonts w:hint="eastAsia" w:ascii="仿宋" w:hAnsi="仿宋" w:eastAsia="仿宋"/>
          <w:sz w:val="32"/>
          <w:szCs w:val="32"/>
        </w:rPr>
        <w:t>万元，占</w:t>
      </w:r>
      <w:r>
        <w:rPr>
          <w:rFonts w:ascii="仿宋" w:hAnsi="仿宋" w:eastAsia="仿宋"/>
          <w:b/>
          <w:sz w:val="32"/>
          <w:szCs w:val="32"/>
        </w:rPr>
        <w:t>27.8</w:t>
      </w:r>
      <w:r>
        <w:rPr>
          <w:rFonts w:hint="eastAsia" w:ascii="仿宋" w:hAnsi="仿宋" w:eastAsia="仿宋"/>
          <w:b/>
          <w:sz w:val="32"/>
          <w:szCs w:val="32"/>
          <w:lang w:val="en-US" w:eastAsia="zh-CN"/>
        </w:rPr>
        <w:t>9</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2002.04</w:t>
      </w:r>
      <w:r>
        <w:rPr>
          <w:rFonts w:hint="eastAsia" w:ascii="仿宋" w:hAnsi="仿宋" w:eastAsia="仿宋"/>
          <w:sz w:val="32"/>
          <w:szCs w:val="32"/>
        </w:rPr>
        <w:t>万元，占</w:t>
      </w:r>
      <w:r>
        <w:rPr>
          <w:rFonts w:ascii="仿宋" w:hAnsi="仿宋" w:eastAsia="仿宋"/>
          <w:b/>
          <w:sz w:val="32"/>
          <w:szCs w:val="32"/>
        </w:rPr>
        <w:t>72.11</w:t>
      </w:r>
      <w:r>
        <w:rPr>
          <w:rFonts w:ascii="仿宋" w:hAnsi="仿宋" w:eastAsia="仿宋"/>
          <w:sz w:val="32"/>
          <w:szCs w:val="32"/>
        </w:rPr>
        <w:t>%</w:t>
      </w:r>
      <w:r>
        <w:rPr>
          <w:rFonts w:hint="eastAsia" w:ascii="仿宋" w:hAnsi="仿宋" w:eastAsia="仿宋"/>
          <w:sz w:val="32"/>
          <w:szCs w:val="32"/>
        </w:rPr>
        <w:t>。</w:t>
      </w:r>
      <w:bookmarkEnd w:id="35"/>
    </w:p>
    <w:p w14:paraId="18CC52DE">
      <w:pPr>
        <w:spacing w:line="240" w:lineRule="auto"/>
        <w:ind w:firstLine="0"/>
        <w:jc w:val="center"/>
        <w:rPr>
          <w:rFonts w:ascii="仿宋" w:hAnsi="仿宋" w:eastAsia="仿宋"/>
          <w:sz w:val="32"/>
          <w:szCs w:val="32"/>
          <w:shd w:val="pct10" w:color="auto" w:fill="FFFFFF"/>
        </w:rPr>
      </w:pPr>
      <w:r>
        <w:drawing>
          <wp:inline distT="0" distB="0" distL="114300" distR="114300">
            <wp:extent cx="4562475" cy="29051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4562475" cy="2905125"/>
                    </a:xfrm>
                    <a:prstGeom prst="rect">
                      <a:avLst/>
                    </a:prstGeom>
                    <a:noFill/>
                    <a:ln>
                      <a:noFill/>
                    </a:ln>
                  </pic:spPr>
                </pic:pic>
              </a:graphicData>
            </a:graphic>
          </wp:inline>
        </w:drawing>
      </w:r>
    </w:p>
    <w:p w14:paraId="6B37F866">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234064F0">
      <w:pPr>
        <w:spacing w:line="600" w:lineRule="exact"/>
        <w:ind w:firstLine="640" w:firstLineChars="200"/>
        <w:rPr>
          <w:rFonts w:ascii="仿宋_GB2312" w:eastAsia="仿宋_GB2312"/>
          <w:sz w:val="32"/>
          <w:szCs w:val="32"/>
        </w:rPr>
      </w:pPr>
    </w:p>
    <w:p w14:paraId="3E1B30D9">
      <w:pPr>
        <w:spacing w:line="600" w:lineRule="exact"/>
        <w:ind w:firstLine="640" w:firstLineChars="200"/>
        <w:outlineLvl w:val="1"/>
        <w:rPr>
          <w:rStyle w:val="28"/>
          <w:rFonts w:ascii="黑体" w:hAnsi="黑体" w:eastAsia="黑体"/>
          <w:b w:val="0"/>
        </w:rPr>
      </w:pPr>
      <w:bookmarkStart w:id="36" w:name="_Toc21101"/>
      <w:bookmarkStart w:id="37" w:name="_Toc15377208"/>
      <w:bookmarkStart w:id="38" w:name="_Toc15396606"/>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6"/>
      <w:bookmarkEnd w:id="37"/>
      <w:bookmarkEnd w:id="38"/>
    </w:p>
    <w:p w14:paraId="443FF1B7">
      <w:pPr>
        <w:spacing w:line="600" w:lineRule="exact"/>
        <w:ind w:firstLine="640"/>
        <w:rPr>
          <w:rFonts w:hint="eastAsia" w:ascii="仿宋" w:hAnsi="仿宋" w:eastAsia="仿宋"/>
          <w:sz w:val="32"/>
          <w:szCs w:val="32"/>
          <w:lang w:val="en-US" w:eastAsia="zh-CN"/>
        </w:rPr>
      </w:pPr>
      <w:r>
        <w:rPr>
          <w:rFonts w:hint="eastAsia" w:ascii="仿宋" w:hAnsi="仿宋" w:eastAsia="仿宋"/>
          <w:sz w:val="32"/>
          <w:szCs w:val="32"/>
        </w:rPr>
        <w:t>2023年度财政拨款收、支总计均为</w:t>
      </w:r>
      <w:r>
        <w:rPr>
          <w:rFonts w:ascii="仿宋" w:hAnsi="仿宋" w:eastAsia="仿宋"/>
          <w:b/>
          <w:sz w:val="32"/>
          <w:szCs w:val="32"/>
        </w:rPr>
        <w:t>2776.28</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69.14</w:t>
      </w:r>
      <w:r>
        <w:rPr>
          <w:rFonts w:hint="eastAsia" w:ascii="仿宋" w:hAnsi="仿宋" w:eastAsia="仿宋"/>
          <w:sz w:val="32"/>
          <w:szCs w:val="32"/>
        </w:rPr>
        <w:t>万元，增长</w:t>
      </w:r>
      <w:r>
        <w:rPr>
          <w:rFonts w:hint="eastAsia" w:ascii="仿宋" w:hAnsi="仿宋" w:eastAsia="仿宋"/>
          <w:sz w:val="32"/>
          <w:szCs w:val="32"/>
          <w:lang w:val="en-US" w:eastAsia="zh-CN"/>
        </w:rPr>
        <w:t>2.55</w:t>
      </w:r>
      <w:r>
        <w:rPr>
          <w:rFonts w:ascii="仿宋" w:hAnsi="仿宋" w:eastAsia="仿宋"/>
          <w:sz w:val="32"/>
          <w:szCs w:val="32"/>
        </w:rPr>
        <w:t>%</w:t>
      </w:r>
      <w:r>
        <w:rPr>
          <w:rFonts w:hint="eastAsia" w:ascii="仿宋" w:hAnsi="仿宋" w:eastAsia="仿宋"/>
          <w:sz w:val="32"/>
          <w:szCs w:val="32"/>
        </w:rPr>
        <w:t>。2023年项目经费预算增加</w:t>
      </w:r>
      <w:r>
        <w:rPr>
          <w:rFonts w:hint="eastAsia" w:ascii="仿宋" w:hAnsi="仿宋" w:eastAsia="仿宋"/>
          <w:sz w:val="32"/>
          <w:szCs w:val="32"/>
          <w:lang w:eastAsia="zh-CN"/>
        </w:rPr>
        <w:t>。</w:t>
      </w:r>
    </w:p>
    <w:p w14:paraId="3850B4BC">
      <w:pPr>
        <w:spacing w:line="240" w:lineRule="auto"/>
        <w:jc w:val="center"/>
        <w:rPr>
          <w:rFonts w:ascii="仿宋" w:hAnsi="仿宋" w:eastAsia="仿宋"/>
          <w:sz w:val="32"/>
          <w:szCs w:val="32"/>
        </w:rPr>
      </w:pPr>
      <w:r>
        <w:drawing>
          <wp:inline distT="0" distB="0" distL="114300" distR="114300">
            <wp:extent cx="4562475" cy="29051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4562475" cy="2905125"/>
                    </a:xfrm>
                    <a:prstGeom prst="rect">
                      <a:avLst/>
                    </a:prstGeom>
                    <a:noFill/>
                    <a:ln>
                      <a:noFill/>
                    </a:ln>
                  </pic:spPr>
                </pic:pic>
              </a:graphicData>
            </a:graphic>
          </wp:inline>
        </w:drawing>
      </w:r>
    </w:p>
    <w:p w14:paraId="182D834E">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798D57CD">
      <w:pPr>
        <w:spacing w:line="600" w:lineRule="exact"/>
        <w:ind w:firstLine="640"/>
        <w:rPr>
          <w:rFonts w:ascii="仿宋" w:hAnsi="仿宋" w:eastAsia="仿宋"/>
          <w:b/>
          <w:sz w:val="32"/>
          <w:szCs w:val="32"/>
        </w:rPr>
      </w:pPr>
    </w:p>
    <w:p w14:paraId="2E61008F">
      <w:pPr>
        <w:spacing w:line="600" w:lineRule="exact"/>
        <w:ind w:firstLine="640" w:firstLineChars="200"/>
        <w:outlineLvl w:val="1"/>
        <w:rPr>
          <w:rStyle w:val="28"/>
          <w:rFonts w:ascii="黑体" w:hAnsi="黑体" w:eastAsia="黑体"/>
          <w:b w:val="0"/>
        </w:rPr>
      </w:pPr>
      <w:bookmarkStart w:id="39" w:name="_Toc1304"/>
      <w:bookmarkStart w:id="40" w:name="_Toc15377209"/>
      <w:bookmarkStart w:id="41"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9"/>
      <w:bookmarkEnd w:id="40"/>
      <w:bookmarkEnd w:id="41"/>
    </w:p>
    <w:p w14:paraId="18AFCC08">
      <w:pPr>
        <w:spacing w:line="600" w:lineRule="exact"/>
        <w:ind w:firstLine="643" w:firstLineChars="200"/>
        <w:outlineLvl w:val="2"/>
        <w:rPr>
          <w:rFonts w:ascii="仿宋" w:hAnsi="仿宋" w:eastAsia="仿宋"/>
          <w:b/>
          <w:sz w:val="32"/>
          <w:szCs w:val="32"/>
        </w:rPr>
      </w:pPr>
      <w:bookmarkStart w:id="42" w:name="_Toc15377210"/>
      <w:r>
        <w:rPr>
          <w:rFonts w:hint="eastAsia" w:ascii="仿宋" w:hAnsi="仿宋" w:eastAsia="仿宋"/>
          <w:b/>
          <w:sz w:val="32"/>
          <w:szCs w:val="32"/>
        </w:rPr>
        <w:t>（一）一般公共预算财政拨款支出决算总体情况</w:t>
      </w:r>
      <w:bookmarkEnd w:id="42"/>
    </w:p>
    <w:p w14:paraId="1B69DC6B">
      <w:pPr>
        <w:spacing w:line="60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2023年度一般公共预算财政拨款支出</w:t>
      </w:r>
      <w:r>
        <w:rPr>
          <w:rFonts w:ascii="仿宋" w:hAnsi="仿宋" w:eastAsia="仿宋"/>
          <w:b/>
          <w:sz w:val="32"/>
          <w:szCs w:val="32"/>
        </w:rPr>
        <w:t>2668.82</w:t>
      </w:r>
      <w:r>
        <w:rPr>
          <w:rFonts w:hint="eastAsia" w:ascii="仿宋" w:hAnsi="仿宋" w:eastAsia="仿宋"/>
          <w:sz w:val="32"/>
          <w:szCs w:val="32"/>
        </w:rPr>
        <w:t>万元，占本年支出合计的</w:t>
      </w:r>
      <w:r>
        <w:rPr>
          <w:rFonts w:ascii="仿宋" w:hAnsi="仿宋" w:eastAsia="仿宋"/>
          <w:b/>
          <w:sz w:val="32"/>
          <w:szCs w:val="32"/>
        </w:rPr>
        <w:t>96.12</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159.70</w:t>
      </w:r>
      <w:r>
        <w:rPr>
          <w:rFonts w:hint="eastAsia" w:ascii="仿宋" w:hAnsi="仿宋" w:eastAsia="仿宋"/>
          <w:sz w:val="32"/>
          <w:szCs w:val="32"/>
        </w:rPr>
        <w:t>万元，增长</w:t>
      </w:r>
      <w:r>
        <w:rPr>
          <w:rFonts w:hint="eastAsia" w:ascii="仿宋" w:hAnsi="仿宋" w:eastAsia="仿宋"/>
          <w:sz w:val="32"/>
          <w:szCs w:val="32"/>
          <w:lang w:val="en-US" w:eastAsia="zh-CN"/>
        </w:rPr>
        <w:t>6.36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2023年项目经费增加。</w:t>
      </w:r>
    </w:p>
    <w:p w14:paraId="0B70233F">
      <w:pPr>
        <w:spacing w:line="240" w:lineRule="auto"/>
        <w:ind w:firstLine="0" w:firstLineChars="0"/>
        <w:jc w:val="center"/>
        <w:rPr>
          <w:rFonts w:ascii="仿宋" w:hAnsi="仿宋" w:eastAsia="仿宋"/>
          <w:sz w:val="32"/>
          <w:szCs w:val="32"/>
        </w:rPr>
      </w:pPr>
      <w:r>
        <w:drawing>
          <wp:inline distT="0" distB="0" distL="114300" distR="114300">
            <wp:extent cx="4562475" cy="29051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4562475" cy="2905125"/>
                    </a:xfrm>
                    <a:prstGeom prst="rect">
                      <a:avLst/>
                    </a:prstGeom>
                    <a:noFill/>
                    <a:ln>
                      <a:noFill/>
                    </a:ln>
                  </pic:spPr>
                </pic:pic>
              </a:graphicData>
            </a:graphic>
          </wp:inline>
        </w:drawing>
      </w:r>
    </w:p>
    <w:p w14:paraId="7E23850C">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2E0782B5">
      <w:pPr>
        <w:spacing w:line="600" w:lineRule="exact"/>
        <w:ind w:firstLine="640" w:firstLineChars="200"/>
        <w:rPr>
          <w:rFonts w:ascii="仿宋" w:hAnsi="仿宋" w:eastAsia="仿宋"/>
          <w:sz w:val="32"/>
          <w:szCs w:val="32"/>
        </w:rPr>
      </w:pPr>
    </w:p>
    <w:p w14:paraId="757F89E0">
      <w:pPr>
        <w:spacing w:line="600" w:lineRule="exact"/>
        <w:ind w:firstLine="643" w:firstLineChars="200"/>
        <w:outlineLvl w:val="2"/>
        <w:rPr>
          <w:rFonts w:ascii="仿宋" w:hAnsi="仿宋" w:eastAsia="仿宋"/>
          <w:b/>
          <w:sz w:val="32"/>
          <w:szCs w:val="32"/>
        </w:rPr>
      </w:pPr>
      <w:bookmarkStart w:id="43" w:name="_Toc15377211"/>
      <w:r>
        <w:rPr>
          <w:rFonts w:hint="eastAsia" w:ascii="仿宋" w:hAnsi="仿宋" w:eastAsia="仿宋"/>
          <w:b/>
          <w:sz w:val="32"/>
          <w:szCs w:val="32"/>
        </w:rPr>
        <w:t>（二）一般公共预算财政拨款支出决算结构情况</w:t>
      </w:r>
      <w:bookmarkEnd w:id="43"/>
    </w:p>
    <w:p w14:paraId="3378F9A0">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2668.82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lang w:eastAsia="zh-CN"/>
        </w:rPr>
        <w:t>社</w:t>
      </w:r>
      <w:r>
        <w:rPr>
          <w:rFonts w:hint="eastAsia" w:ascii="仿宋" w:hAnsi="仿宋" w:eastAsia="仿宋"/>
          <w:b/>
          <w:sz w:val="32"/>
          <w:szCs w:val="32"/>
        </w:rPr>
        <w:t>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122.92</w:t>
      </w:r>
      <w:r>
        <w:rPr>
          <w:rFonts w:hint="eastAsia" w:ascii="仿宋" w:hAnsi="仿宋" w:eastAsia="仿宋"/>
          <w:sz w:val="32"/>
          <w:szCs w:val="32"/>
        </w:rPr>
        <w:t>万元，占</w:t>
      </w:r>
      <w:r>
        <w:rPr>
          <w:rFonts w:hint="eastAsia" w:ascii="仿宋" w:hAnsi="仿宋" w:eastAsia="仿宋"/>
          <w:sz w:val="32"/>
          <w:szCs w:val="32"/>
          <w:lang w:val="en-US" w:eastAsia="zh-CN"/>
        </w:rPr>
        <w:t>4.61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1918.68</w:t>
      </w:r>
      <w:r>
        <w:rPr>
          <w:rFonts w:hint="eastAsia" w:ascii="仿宋" w:hAnsi="仿宋" w:eastAsia="仿宋"/>
          <w:sz w:val="32"/>
          <w:szCs w:val="32"/>
        </w:rPr>
        <w:t>万元，占</w:t>
      </w:r>
      <w:r>
        <w:rPr>
          <w:rFonts w:hint="eastAsia" w:ascii="仿宋" w:hAnsi="仿宋" w:eastAsia="仿宋"/>
          <w:sz w:val="32"/>
          <w:szCs w:val="32"/>
          <w:lang w:val="en-US" w:eastAsia="zh-CN"/>
        </w:rPr>
        <w:t>71.89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s="Times New Roman"/>
          <w:b/>
          <w:bCs/>
          <w:sz w:val="32"/>
          <w:szCs w:val="32"/>
        </w:rPr>
        <w:t>农林水支出</w:t>
      </w:r>
      <w:r>
        <w:rPr>
          <w:rFonts w:hint="eastAsia" w:ascii="仿宋" w:hAnsi="仿宋" w:eastAsia="仿宋"/>
          <w:sz w:val="32"/>
          <w:szCs w:val="32"/>
          <w:lang w:val="en-US" w:eastAsia="zh-CN"/>
        </w:rPr>
        <w:t>587.23</w:t>
      </w:r>
      <w:r>
        <w:rPr>
          <w:rFonts w:hint="eastAsia" w:ascii="仿宋" w:hAnsi="仿宋" w:eastAsia="仿宋"/>
          <w:sz w:val="32"/>
          <w:szCs w:val="32"/>
        </w:rPr>
        <w:t>万元，占</w:t>
      </w:r>
      <w:r>
        <w:rPr>
          <w:rFonts w:hint="eastAsia" w:ascii="仿宋" w:hAnsi="仿宋" w:eastAsia="仿宋"/>
          <w:sz w:val="32"/>
          <w:szCs w:val="32"/>
          <w:lang w:val="en-US" w:eastAsia="zh-CN"/>
        </w:rPr>
        <w:t>22.00</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39.99</w:t>
      </w:r>
      <w:r>
        <w:rPr>
          <w:rFonts w:hint="eastAsia" w:ascii="仿宋" w:hAnsi="仿宋" w:eastAsia="仿宋"/>
          <w:sz w:val="32"/>
          <w:szCs w:val="32"/>
        </w:rPr>
        <w:t>万元，占</w:t>
      </w:r>
      <w:r>
        <w:rPr>
          <w:rFonts w:hint="eastAsia" w:ascii="仿宋" w:hAnsi="仿宋" w:eastAsia="仿宋"/>
          <w:sz w:val="32"/>
          <w:szCs w:val="32"/>
          <w:lang w:val="en-US" w:eastAsia="zh-CN"/>
        </w:rPr>
        <w:t>1.50</w:t>
      </w:r>
      <w:r>
        <w:rPr>
          <w:rFonts w:ascii="仿宋" w:hAnsi="仿宋" w:eastAsia="仿宋"/>
          <w:sz w:val="32"/>
          <w:szCs w:val="32"/>
        </w:rPr>
        <w:t>%</w:t>
      </w:r>
      <w:r>
        <w:rPr>
          <w:rFonts w:hint="eastAsia" w:ascii="仿宋" w:hAnsi="仿宋" w:eastAsia="仿宋"/>
          <w:sz w:val="32"/>
          <w:szCs w:val="32"/>
        </w:rPr>
        <w:t>。</w:t>
      </w:r>
    </w:p>
    <w:p w14:paraId="48C2C119">
      <w:pPr>
        <w:spacing w:line="240" w:lineRule="auto"/>
        <w:ind w:firstLine="0"/>
        <w:jc w:val="center"/>
        <w:rPr>
          <w:rFonts w:ascii="仿宋" w:hAnsi="仿宋" w:eastAsia="仿宋"/>
          <w:sz w:val="32"/>
          <w:szCs w:val="32"/>
        </w:rPr>
      </w:pPr>
      <w:r>
        <w:drawing>
          <wp:inline distT="0" distB="0" distL="114300" distR="114300">
            <wp:extent cx="4552950" cy="2914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4552950" cy="2914650"/>
                    </a:xfrm>
                    <a:prstGeom prst="rect">
                      <a:avLst/>
                    </a:prstGeom>
                    <a:noFill/>
                    <a:ln>
                      <a:noFill/>
                    </a:ln>
                  </pic:spPr>
                </pic:pic>
              </a:graphicData>
            </a:graphic>
          </wp:inline>
        </w:drawing>
      </w:r>
    </w:p>
    <w:p w14:paraId="738B0889">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70AC3764">
      <w:pPr>
        <w:spacing w:line="600" w:lineRule="exact"/>
        <w:ind w:firstLine="640" w:firstLineChars="200"/>
        <w:rPr>
          <w:rFonts w:ascii="仿宋" w:hAnsi="仿宋" w:eastAsia="仿宋"/>
          <w:sz w:val="32"/>
          <w:szCs w:val="32"/>
        </w:rPr>
      </w:pPr>
    </w:p>
    <w:p w14:paraId="4104AF4F">
      <w:pPr>
        <w:spacing w:line="600" w:lineRule="exact"/>
        <w:ind w:firstLine="643" w:firstLineChars="200"/>
        <w:outlineLvl w:val="2"/>
        <w:rPr>
          <w:rFonts w:ascii="仿宋" w:hAnsi="仿宋" w:eastAsia="仿宋"/>
          <w:b/>
          <w:sz w:val="32"/>
          <w:szCs w:val="32"/>
        </w:rPr>
      </w:pPr>
      <w:bookmarkStart w:id="44" w:name="_Toc15377212"/>
      <w:r>
        <w:rPr>
          <w:rFonts w:hint="eastAsia" w:ascii="仿宋" w:hAnsi="仿宋" w:eastAsia="仿宋"/>
          <w:b/>
          <w:sz w:val="32"/>
          <w:szCs w:val="32"/>
        </w:rPr>
        <w:t>（三）一般公共预算财政拨款支出决算具体情况</w:t>
      </w:r>
      <w:bookmarkEnd w:id="44"/>
    </w:p>
    <w:p w14:paraId="1AA138AB">
      <w:pPr>
        <w:spacing w:line="600" w:lineRule="exact"/>
        <w:ind w:firstLine="643" w:firstLineChars="200"/>
        <w:outlineLvl w:val="1"/>
        <w:rPr>
          <w:rFonts w:ascii="仿宋" w:hAnsi="仿宋" w:eastAsia="仿宋"/>
          <w:sz w:val="32"/>
          <w:szCs w:val="32"/>
        </w:rPr>
      </w:pPr>
      <w:bookmarkStart w:id="45" w:name="_Toc15377444"/>
      <w:bookmarkStart w:id="46" w:name="_Toc15378460"/>
      <w:bookmarkStart w:id="47" w:name="_Toc23425"/>
      <w:bookmarkStart w:id="48" w:name="_Toc15377213"/>
      <w:r>
        <w:rPr>
          <w:rFonts w:hint="eastAsia" w:ascii="仿宋" w:hAnsi="仿宋" w:eastAsia="仿宋"/>
          <w:b/>
          <w:sz w:val="32"/>
          <w:szCs w:val="32"/>
        </w:rPr>
        <w:t>2023年度一般公共预算支出决算数为</w:t>
      </w:r>
      <w:r>
        <w:rPr>
          <w:rFonts w:ascii="仿宋" w:hAnsi="仿宋" w:eastAsia="仿宋"/>
          <w:b/>
          <w:sz w:val="32"/>
          <w:szCs w:val="32"/>
        </w:rPr>
        <w:t>2668.82</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45"/>
      <w:bookmarkEnd w:id="46"/>
      <w:bookmarkEnd w:id="47"/>
      <w:bookmarkEnd w:id="48"/>
    </w:p>
    <w:p w14:paraId="350B6C60">
      <w:pPr>
        <w:spacing w:line="576" w:lineRule="exact"/>
        <w:ind w:firstLine="643"/>
        <w:jc w:val="both"/>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1.社会保障和就业支出（类）行政事业单位养老支出（款）行政单位离退休（项）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支出决算为</w:t>
      </w:r>
      <w:r>
        <w:rPr>
          <w:rFonts w:hint="eastAsia" w:ascii="仿宋" w:hAnsi="仿宋" w:eastAsia="仿宋" w:cs="仿宋"/>
          <w:kern w:val="2"/>
          <w:sz w:val="32"/>
          <w:szCs w:val="32"/>
          <w:lang w:val="en-US" w:eastAsia="zh-CN"/>
        </w:rPr>
        <w:t>1.30</w:t>
      </w:r>
      <w:r>
        <w:rPr>
          <w:rFonts w:hint="eastAsia" w:ascii="仿宋" w:hAnsi="仿宋" w:eastAsia="仿宋" w:cs="仿宋"/>
          <w:kern w:val="2"/>
          <w:sz w:val="32"/>
          <w:szCs w:val="32"/>
        </w:rPr>
        <w:t>万元，完成预算100%，决算数与预算数持平。</w:t>
      </w:r>
    </w:p>
    <w:p w14:paraId="0D098A88">
      <w:pPr>
        <w:spacing w:line="576" w:lineRule="exact"/>
        <w:ind w:firstLine="643"/>
        <w:jc w:val="both"/>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2.社会保障和就业支出（类）行政事业单位养老支出（款）机关事业单位基本养老保险缴费支出（项）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支出决算为</w:t>
      </w:r>
      <w:r>
        <w:rPr>
          <w:rFonts w:hint="eastAsia" w:ascii="仿宋" w:hAnsi="仿宋" w:eastAsia="仿宋" w:cs="仿宋"/>
          <w:kern w:val="2"/>
          <w:sz w:val="32"/>
          <w:szCs w:val="32"/>
          <w:lang w:val="en-US" w:eastAsia="zh-CN"/>
        </w:rPr>
        <w:t>54.73</w:t>
      </w:r>
      <w:r>
        <w:rPr>
          <w:rFonts w:hint="eastAsia" w:ascii="仿宋" w:hAnsi="仿宋" w:eastAsia="仿宋" w:cs="仿宋"/>
          <w:kern w:val="2"/>
          <w:sz w:val="32"/>
          <w:szCs w:val="32"/>
        </w:rPr>
        <w:t>万元，完成预算100%，决算数与预算数持平。</w:t>
      </w:r>
    </w:p>
    <w:p w14:paraId="76C3BC06">
      <w:pPr>
        <w:spacing w:line="576" w:lineRule="exact"/>
        <w:ind w:firstLine="643"/>
        <w:jc w:val="both"/>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3.社会保障和就业支出（类）行政事业单位养老支出（款）机关事业单位职业年金缴费支出（项）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支出决算为</w:t>
      </w:r>
      <w:r>
        <w:rPr>
          <w:rFonts w:hint="eastAsia" w:ascii="仿宋" w:hAnsi="仿宋" w:eastAsia="仿宋" w:cs="仿宋"/>
          <w:kern w:val="2"/>
          <w:sz w:val="32"/>
          <w:szCs w:val="32"/>
          <w:lang w:val="en-US" w:eastAsia="zh-CN"/>
        </w:rPr>
        <w:t>27.36</w:t>
      </w:r>
      <w:r>
        <w:rPr>
          <w:rFonts w:hint="eastAsia" w:ascii="仿宋" w:hAnsi="仿宋" w:eastAsia="仿宋" w:cs="仿宋"/>
          <w:kern w:val="2"/>
          <w:sz w:val="32"/>
          <w:szCs w:val="32"/>
        </w:rPr>
        <w:t>万元，完成预算100%，决算数与预算数持平。</w:t>
      </w:r>
    </w:p>
    <w:p w14:paraId="6EAE9BD9">
      <w:pPr>
        <w:spacing w:line="576" w:lineRule="exact"/>
        <w:ind w:firstLine="643"/>
        <w:jc w:val="both"/>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4.社会保障和就业支出（类）抚恤（款）死亡抚恤（项）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支出决算为</w:t>
      </w:r>
      <w:r>
        <w:rPr>
          <w:rFonts w:hint="eastAsia" w:ascii="仿宋" w:hAnsi="仿宋" w:eastAsia="仿宋" w:cs="仿宋"/>
          <w:kern w:val="2"/>
          <w:sz w:val="32"/>
          <w:szCs w:val="32"/>
          <w:lang w:val="en-US" w:eastAsia="zh-CN"/>
        </w:rPr>
        <w:t>33.02</w:t>
      </w:r>
      <w:r>
        <w:rPr>
          <w:rFonts w:hint="eastAsia" w:ascii="仿宋" w:hAnsi="仿宋" w:eastAsia="仿宋" w:cs="仿宋"/>
          <w:kern w:val="2"/>
          <w:sz w:val="32"/>
          <w:szCs w:val="32"/>
        </w:rPr>
        <w:t>万元，完成预算100%，决算数与预算数持平。</w:t>
      </w:r>
    </w:p>
    <w:p w14:paraId="05F485A5">
      <w:pPr>
        <w:spacing w:line="576" w:lineRule="exact"/>
        <w:ind w:firstLine="643"/>
        <w:jc w:val="both"/>
        <w:rPr>
          <w:rFonts w:hint="eastAsia" w:ascii="仿宋_GB2312" w:hAnsi="仿宋_GB2312" w:eastAsia="仿宋_GB2312" w:cs="仿宋_GB2312"/>
          <w:b/>
          <w:color w:val="000000"/>
          <w:kern w:val="2"/>
          <w:sz w:val="32"/>
          <w:szCs w:val="32"/>
        </w:rPr>
      </w:pPr>
      <w:r>
        <w:rPr>
          <w:rFonts w:hint="eastAsia" w:ascii="仿宋_GB2312" w:hAnsi="仿宋_GB2312" w:eastAsia="仿宋_GB2312" w:cs="仿宋_GB2312"/>
          <w:b/>
          <w:color w:val="000000"/>
          <w:kern w:val="2"/>
          <w:sz w:val="32"/>
          <w:szCs w:val="32"/>
        </w:rPr>
        <w:t>5.社会保障和就业支出（类）其他社会保障和就业支出（款）其他社会保障和就业支出（项）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出决算为</w:t>
      </w:r>
      <w:r>
        <w:rPr>
          <w:rFonts w:hint="eastAsia" w:ascii="仿宋" w:hAnsi="仿宋" w:eastAsia="仿宋" w:cs="仿宋"/>
          <w:kern w:val="2"/>
          <w:sz w:val="32"/>
          <w:szCs w:val="32"/>
          <w:lang w:val="en-US" w:eastAsia="zh-CN"/>
        </w:rPr>
        <w:t>6.51</w:t>
      </w:r>
      <w:r>
        <w:rPr>
          <w:rFonts w:hint="eastAsia" w:ascii="仿宋" w:hAnsi="仿宋" w:eastAsia="仿宋" w:cs="仿宋"/>
          <w:kern w:val="2"/>
          <w:sz w:val="32"/>
          <w:szCs w:val="32"/>
        </w:rPr>
        <w:t>万元，完成预算100%，决算数与预算数持平。</w:t>
      </w:r>
    </w:p>
    <w:p w14:paraId="290EFBCA">
      <w:pPr>
        <w:spacing w:line="576" w:lineRule="exact"/>
        <w:ind w:firstLine="643"/>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rPr>
        <w:t>6.卫生健康支出（类）卫生健康管理事务（款）行政运行（项）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出决算为</w:t>
      </w:r>
      <w:r>
        <w:rPr>
          <w:rFonts w:hint="eastAsia" w:ascii="仿宋" w:hAnsi="仿宋" w:eastAsia="仿宋" w:cs="仿宋"/>
          <w:kern w:val="2"/>
          <w:sz w:val="32"/>
          <w:szCs w:val="32"/>
          <w:lang w:val="en-US" w:eastAsia="zh-CN"/>
        </w:rPr>
        <w:t>364.95</w:t>
      </w:r>
      <w:r>
        <w:rPr>
          <w:rFonts w:hint="eastAsia" w:ascii="仿宋" w:hAnsi="仿宋" w:eastAsia="仿宋" w:cs="仿宋"/>
          <w:kern w:val="2"/>
          <w:sz w:val="32"/>
          <w:szCs w:val="32"/>
        </w:rPr>
        <w:t>万元，完成预算100%，决算数与预算数持平。</w:t>
      </w:r>
    </w:p>
    <w:p w14:paraId="35AF8A18">
      <w:pPr>
        <w:spacing w:line="576" w:lineRule="exact"/>
        <w:ind w:firstLine="643"/>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rPr>
        <w:t>7.卫生健康支出（类）卫生健康管理事务（款）其他卫生健康管理事务支出（项）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出决算为</w:t>
      </w:r>
      <w:r>
        <w:rPr>
          <w:rFonts w:hint="eastAsia" w:ascii="仿宋" w:hAnsi="仿宋" w:eastAsia="仿宋" w:cs="仿宋"/>
          <w:kern w:val="2"/>
          <w:sz w:val="32"/>
          <w:szCs w:val="32"/>
          <w:lang w:val="en-US" w:eastAsia="zh-CN"/>
        </w:rPr>
        <w:t>308.33</w:t>
      </w:r>
      <w:r>
        <w:rPr>
          <w:rFonts w:hint="eastAsia" w:ascii="仿宋" w:hAnsi="仿宋" w:eastAsia="仿宋" w:cs="仿宋"/>
          <w:kern w:val="2"/>
          <w:sz w:val="32"/>
          <w:szCs w:val="32"/>
        </w:rPr>
        <w:t>万元，完成预算100%，决算数与预算数持平。</w:t>
      </w:r>
    </w:p>
    <w:p w14:paraId="49E24A67">
      <w:pPr>
        <w:spacing w:line="576" w:lineRule="exact"/>
        <w:ind w:firstLine="643"/>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lang w:val="en-US" w:eastAsia="zh-CN"/>
        </w:rPr>
        <w:t>8</w:t>
      </w:r>
      <w:r>
        <w:rPr>
          <w:rFonts w:hint="eastAsia" w:ascii="仿宋_GB2312" w:hAnsi="仿宋_GB2312" w:eastAsia="仿宋_GB2312" w:cs="仿宋_GB2312"/>
          <w:b/>
          <w:color w:val="000000"/>
          <w:kern w:val="2"/>
          <w:sz w:val="32"/>
          <w:szCs w:val="32"/>
        </w:rPr>
        <w:t>.卫生健康支出（类）基层医疗卫生机构（款）其他基层医疗卫生机构支出（项）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出决算为</w:t>
      </w:r>
      <w:r>
        <w:rPr>
          <w:rFonts w:hint="eastAsia" w:ascii="仿宋" w:hAnsi="仿宋" w:eastAsia="仿宋" w:cs="仿宋"/>
          <w:kern w:val="2"/>
          <w:sz w:val="32"/>
          <w:szCs w:val="32"/>
          <w:lang w:val="en-US" w:eastAsia="zh-CN"/>
        </w:rPr>
        <w:t>202.03</w:t>
      </w:r>
      <w:r>
        <w:rPr>
          <w:rFonts w:hint="eastAsia" w:ascii="仿宋" w:hAnsi="仿宋" w:eastAsia="仿宋" w:cs="仿宋"/>
          <w:kern w:val="2"/>
          <w:sz w:val="32"/>
          <w:szCs w:val="32"/>
        </w:rPr>
        <w:t>万元，完成预算100%，决算数与预算数持平。</w:t>
      </w:r>
    </w:p>
    <w:p w14:paraId="68310A54">
      <w:pPr>
        <w:spacing w:line="576" w:lineRule="exact"/>
        <w:ind w:firstLine="643"/>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lang w:val="en-US" w:eastAsia="zh-CN"/>
        </w:rPr>
        <w:t>9</w:t>
      </w:r>
      <w:r>
        <w:rPr>
          <w:rFonts w:hint="eastAsia" w:ascii="仿宋_GB2312" w:hAnsi="仿宋_GB2312" w:eastAsia="仿宋_GB2312" w:cs="仿宋_GB2312"/>
          <w:b/>
          <w:color w:val="000000"/>
          <w:kern w:val="2"/>
          <w:sz w:val="32"/>
          <w:szCs w:val="32"/>
        </w:rPr>
        <w:t>.卫生健康支出（类）公共卫生（款）基本公共卫生服务（项）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出决算为</w:t>
      </w:r>
      <w:r>
        <w:rPr>
          <w:rFonts w:hint="eastAsia" w:ascii="仿宋" w:hAnsi="仿宋" w:eastAsia="仿宋" w:cs="仿宋"/>
          <w:kern w:val="2"/>
          <w:sz w:val="32"/>
          <w:szCs w:val="32"/>
          <w:lang w:val="en-US" w:eastAsia="zh-CN"/>
        </w:rPr>
        <w:t>1.75</w:t>
      </w:r>
      <w:r>
        <w:rPr>
          <w:rFonts w:hint="eastAsia" w:ascii="仿宋" w:hAnsi="仿宋" w:eastAsia="仿宋" w:cs="仿宋"/>
          <w:kern w:val="2"/>
          <w:sz w:val="32"/>
          <w:szCs w:val="32"/>
        </w:rPr>
        <w:t>万元，完成预算100%，决算数与预算数持平。</w:t>
      </w:r>
    </w:p>
    <w:p w14:paraId="7C697745">
      <w:pPr>
        <w:spacing w:line="576" w:lineRule="exact"/>
        <w:ind w:firstLine="643"/>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lang w:val="en-US" w:eastAsia="zh-CN"/>
        </w:rPr>
        <w:t>10</w:t>
      </w:r>
      <w:r>
        <w:rPr>
          <w:rFonts w:hint="eastAsia" w:ascii="仿宋_GB2312" w:hAnsi="仿宋_GB2312" w:eastAsia="仿宋_GB2312" w:cs="仿宋_GB2312"/>
          <w:b/>
          <w:color w:val="000000"/>
          <w:kern w:val="2"/>
          <w:sz w:val="32"/>
          <w:szCs w:val="32"/>
        </w:rPr>
        <w:t>.卫生健康支出（类）公共卫生（款）重大公共卫生服务（项）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出决算为</w:t>
      </w:r>
      <w:r>
        <w:rPr>
          <w:rFonts w:hint="eastAsia" w:ascii="仿宋" w:hAnsi="仿宋" w:eastAsia="仿宋" w:cs="仿宋"/>
          <w:kern w:val="2"/>
          <w:sz w:val="32"/>
          <w:szCs w:val="32"/>
          <w:lang w:val="en-US" w:eastAsia="zh-CN"/>
        </w:rPr>
        <w:t>30.60</w:t>
      </w:r>
      <w:r>
        <w:rPr>
          <w:rFonts w:hint="eastAsia" w:ascii="仿宋" w:hAnsi="仿宋" w:eastAsia="仿宋" w:cs="仿宋"/>
          <w:kern w:val="2"/>
          <w:sz w:val="32"/>
          <w:szCs w:val="32"/>
        </w:rPr>
        <w:t>万元，完成预算100%，决算数与预算数持平。</w:t>
      </w:r>
    </w:p>
    <w:p w14:paraId="212109CD">
      <w:pPr>
        <w:spacing w:line="576" w:lineRule="exact"/>
        <w:ind w:firstLine="643"/>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rPr>
        <w:t>1</w:t>
      </w:r>
      <w:r>
        <w:rPr>
          <w:rFonts w:hint="eastAsia" w:ascii="仿宋_GB2312" w:hAnsi="仿宋_GB2312" w:eastAsia="仿宋_GB2312" w:cs="仿宋_GB2312"/>
          <w:b/>
          <w:color w:val="000000"/>
          <w:kern w:val="2"/>
          <w:sz w:val="32"/>
          <w:szCs w:val="32"/>
          <w:lang w:val="en-US" w:eastAsia="zh-CN"/>
        </w:rPr>
        <w:t>1</w:t>
      </w:r>
      <w:r>
        <w:rPr>
          <w:rFonts w:hint="eastAsia" w:ascii="仿宋_GB2312" w:hAnsi="仿宋_GB2312" w:eastAsia="仿宋_GB2312" w:cs="仿宋_GB2312"/>
          <w:b/>
          <w:color w:val="000000"/>
          <w:kern w:val="2"/>
          <w:sz w:val="32"/>
          <w:szCs w:val="32"/>
        </w:rPr>
        <w:t>.卫生健康支出（类）公共卫生（款）突发公共卫生事件应急处理（项）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出决算为</w:t>
      </w:r>
      <w:r>
        <w:rPr>
          <w:rFonts w:hint="eastAsia" w:ascii="仿宋" w:hAnsi="仿宋" w:eastAsia="仿宋" w:cs="仿宋"/>
          <w:kern w:val="2"/>
          <w:sz w:val="32"/>
          <w:szCs w:val="32"/>
          <w:lang w:val="en-US" w:eastAsia="zh-CN"/>
        </w:rPr>
        <w:t>469.30</w:t>
      </w:r>
      <w:r>
        <w:rPr>
          <w:rFonts w:hint="eastAsia" w:ascii="仿宋" w:hAnsi="仿宋" w:eastAsia="仿宋" w:cs="仿宋"/>
          <w:kern w:val="2"/>
          <w:sz w:val="32"/>
          <w:szCs w:val="32"/>
        </w:rPr>
        <w:t>万元，完成预算100%，决算数与预算数持平。</w:t>
      </w:r>
    </w:p>
    <w:p w14:paraId="50049376">
      <w:pPr>
        <w:spacing w:line="576" w:lineRule="exact"/>
        <w:ind w:firstLine="643"/>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rPr>
        <w:t>1</w:t>
      </w:r>
      <w:r>
        <w:rPr>
          <w:rFonts w:hint="eastAsia" w:ascii="仿宋_GB2312" w:hAnsi="仿宋_GB2312" w:eastAsia="仿宋_GB2312" w:cs="仿宋_GB2312"/>
          <w:b/>
          <w:color w:val="000000"/>
          <w:kern w:val="2"/>
          <w:sz w:val="32"/>
          <w:szCs w:val="32"/>
          <w:lang w:val="en-US" w:eastAsia="zh-CN"/>
        </w:rPr>
        <w:t>2</w:t>
      </w:r>
      <w:r>
        <w:rPr>
          <w:rFonts w:hint="eastAsia" w:ascii="仿宋_GB2312" w:hAnsi="仿宋_GB2312" w:eastAsia="仿宋_GB2312" w:cs="仿宋_GB2312"/>
          <w:b/>
          <w:color w:val="000000"/>
          <w:kern w:val="2"/>
          <w:sz w:val="32"/>
          <w:szCs w:val="32"/>
        </w:rPr>
        <w:t>.卫生健康支出（类）计划生育事务（款）计划生育服务（项）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支出决算为</w:t>
      </w:r>
      <w:r>
        <w:rPr>
          <w:rFonts w:hint="eastAsia" w:ascii="仿宋" w:hAnsi="仿宋" w:eastAsia="仿宋" w:cs="仿宋"/>
          <w:kern w:val="2"/>
          <w:sz w:val="32"/>
          <w:szCs w:val="32"/>
          <w:lang w:val="en-US" w:eastAsia="zh-CN"/>
        </w:rPr>
        <w:t>33.32</w:t>
      </w:r>
      <w:r>
        <w:rPr>
          <w:rFonts w:hint="eastAsia" w:ascii="仿宋" w:hAnsi="仿宋" w:eastAsia="仿宋" w:cs="仿宋"/>
          <w:kern w:val="2"/>
          <w:sz w:val="32"/>
          <w:szCs w:val="32"/>
        </w:rPr>
        <w:t>万元，完成预算100%，决算数与预算数持平。</w:t>
      </w:r>
    </w:p>
    <w:p w14:paraId="71D953F6">
      <w:pPr>
        <w:spacing w:line="576" w:lineRule="exact"/>
        <w:ind w:firstLine="643"/>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rPr>
        <w:t>1</w:t>
      </w:r>
      <w:r>
        <w:rPr>
          <w:rFonts w:hint="eastAsia" w:ascii="仿宋_GB2312" w:hAnsi="仿宋_GB2312" w:eastAsia="仿宋_GB2312" w:cs="仿宋_GB2312"/>
          <w:b/>
          <w:color w:val="000000"/>
          <w:kern w:val="2"/>
          <w:sz w:val="32"/>
          <w:szCs w:val="32"/>
          <w:lang w:val="en-US" w:eastAsia="zh-CN"/>
        </w:rPr>
        <w:t>3</w:t>
      </w:r>
      <w:r>
        <w:rPr>
          <w:rFonts w:hint="eastAsia" w:ascii="仿宋_GB2312" w:hAnsi="仿宋_GB2312" w:eastAsia="仿宋_GB2312" w:cs="仿宋_GB2312"/>
          <w:b/>
          <w:color w:val="000000"/>
          <w:kern w:val="2"/>
          <w:sz w:val="32"/>
          <w:szCs w:val="32"/>
        </w:rPr>
        <w:t>.卫生健康支出（类）计划生育事务（款）其他计划生育事务支出（项）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支出决算为</w:t>
      </w:r>
      <w:r>
        <w:rPr>
          <w:rFonts w:hint="eastAsia" w:ascii="仿宋" w:hAnsi="仿宋" w:eastAsia="仿宋" w:cs="仿宋"/>
          <w:kern w:val="2"/>
          <w:sz w:val="32"/>
          <w:szCs w:val="32"/>
          <w:lang w:val="en-US" w:eastAsia="zh-CN"/>
        </w:rPr>
        <w:t>173.47</w:t>
      </w:r>
      <w:r>
        <w:rPr>
          <w:rFonts w:hint="eastAsia" w:ascii="仿宋" w:hAnsi="仿宋" w:eastAsia="仿宋" w:cs="仿宋"/>
          <w:kern w:val="2"/>
          <w:sz w:val="32"/>
          <w:szCs w:val="32"/>
        </w:rPr>
        <w:t>万元，完成预算100%，决算数与预算数持平。</w:t>
      </w:r>
    </w:p>
    <w:p w14:paraId="6140EC87">
      <w:pPr>
        <w:spacing w:line="576" w:lineRule="exact"/>
        <w:ind w:firstLine="643"/>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rPr>
        <w:t>1</w:t>
      </w:r>
      <w:r>
        <w:rPr>
          <w:rFonts w:hint="eastAsia" w:ascii="仿宋_GB2312" w:hAnsi="仿宋_GB2312" w:eastAsia="仿宋_GB2312" w:cs="仿宋_GB2312"/>
          <w:b/>
          <w:color w:val="000000"/>
          <w:kern w:val="2"/>
          <w:sz w:val="32"/>
          <w:szCs w:val="32"/>
          <w:lang w:val="en-US" w:eastAsia="zh-CN"/>
        </w:rPr>
        <w:t>4</w:t>
      </w:r>
      <w:r>
        <w:rPr>
          <w:rFonts w:hint="eastAsia" w:ascii="仿宋_GB2312" w:hAnsi="仿宋_GB2312" w:eastAsia="仿宋_GB2312" w:cs="仿宋_GB2312"/>
          <w:b/>
          <w:color w:val="000000"/>
          <w:kern w:val="2"/>
          <w:sz w:val="32"/>
          <w:szCs w:val="32"/>
        </w:rPr>
        <w:t>.卫生健康支出（类）行政事业单位医疗（款）行政单位医疗（项）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支出决算为1</w:t>
      </w:r>
      <w:r>
        <w:rPr>
          <w:rFonts w:hint="eastAsia" w:ascii="仿宋" w:hAnsi="仿宋" w:eastAsia="仿宋" w:cs="仿宋"/>
          <w:kern w:val="2"/>
          <w:sz w:val="32"/>
          <w:szCs w:val="32"/>
          <w:lang w:val="en-US" w:eastAsia="zh-CN"/>
        </w:rPr>
        <w:t>8.41</w:t>
      </w:r>
      <w:r>
        <w:rPr>
          <w:rFonts w:hint="eastAsia" w:ascii="仿宋" w:hAnsi="仿宋" w:eastAsia="仿宋" w:cs="仿宋"/>
          <w:kern w:val="2"/>
          <w:sz w:val="32"/>
          <w:szCs w:val="32"/>
        </w:rPr>
        <w:t>万元，完成预算100%，决算数与预算数持平。</w:t>
      </w:r>
    </w:p>
    <w:p w14:paraId="4DBBB919">
      <w:pPr>
        <w:spacing w:line="576" w:lineRule="exact"/>
        <w:ind w:firstLine="643"/>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rPr>
        <w:t>1</w:t>
      </w:r>
      <w:r>
        <w:rPr>
          <w:rFonts w:hint="eastAsia" w:ascii="仿宋_GB2312" w:hAnsi="仿宋_GB2312" w:eastAsia="仿宋_GB2312" w:cs="仿宋_GB2312"/>
          <w:b/>
          <w:color w:val="000000"/>
          <w:kern w:val="2"/>
          <w:sz w:val="32"/>
          <w:szCs w:val="32"/>
          <w:lang w:val="en-US" w:eastAsia="zh-CN"/>
        </w:rPr>
        <w:t>5</w:t>
      </w:r>
      <w:r>
        <w:rPr>
          <w:rFonts w:hint="eastAsia" w:ascii="仿宋_GB2312" w:hAnsi="仿宋_GB2312" w:eastAsia="仿宋_GB2312" w:cs="仿宋_GB2312"/>
          <w:b/>
          <w:color w:val="000000"/>
          <w:kern w:val="2"/>
          <w:sz w:val="32"/>
          <w:szCs w:val="32"/>
        </w:rPr>
        <w:t>.卫生健康支出（类）行政事业单位医疗（款）公务员医疗补助（项）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支出决算为3.</w:t>
      </w:r>
      <w:r>
        <w:rPr>
          <w:rFonts w:hint="eastAsia" w:ascii="仿宋" w:hAnsi="仿宋" w:eastAsia="仿宋" w:cs="仿宋"/>
          <w:kern w:val="2"/>
          <w:sz w:val="32"/>
          <w:szCs w:val="32"/>
          <w:lang w:val="en-US" w:eastAsia="zh-CN"/>
        </w:rPr>
        <w:t>18</w:t>
      </w:r>
      <w:r>
        <w:rPr>
          <w:rFonts w:hint="eastAsia" w:ascii="仿宋" w:hAnsi="仿宋" w:eastAsia="仿宋" w:cs="仿宋"/>
          <w:kern w:val="2"/>
          <w:sz w:val="32"/>
          <w:szCs w:val="32"/>
        </w:rPr>
        <w:t>万元，完成预算100%，决算数与预算数持平。</w:t>
      </w:r>
    </w:p>
    <w:p w14:paraId="6E06190A">
      <w:pPr>
        <w:spacing w:line="576" w:lineRule="exact"/>
        <w:ind w:firstLine="643"/>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rPr>
        <w:t>1</w:t>
      </w:r>
      <w:r>
        <w:rPr>
          <w:rFonts w:hint="eastAsia" w:ascii="仿宋_GB2312" w:hAnsi="仿宋_GB2312" w:eastAsia="仿宋_GB2312" w:cs="仿宋_GB2312"/>
          <w:b/>
          <w:color w:val="000000"/>
          <w:kern w:val="2"/>
          <w:sz w:val="32"/>
          <w:szCs w:val="32"/>
          <w:lang w:val="en-US" w:eastAsia="zh-CN"/>
        </w:rPr>
        <w:t>6</w:t>
      </w:r>
      <w:r>
        <w:rPr>
          <w:rFonts w:hint="eastAsia" w:ascii="仿宋_GB2312" w:hAnsi="仿宋_GB2312" w:eastAsia="仿宋_GB2312" w:cs="仿宋_GB2312"/>
          <w:b/>
          <w:color w:val="000000"/>
          <w:kern w:val="2"/>
          <w:sz w:val="32"/>
          <w:szCs w:val="32"/>
        </w:rPr>
        <w:t>.卫生健康支出（类）其他卫生健康支出（款）其他卫生健康支出（项）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支出决算为</w:t>
      </w:r>
      <w:r>
        <w:rPr>
          <w:rFonts w:hint="eastAsia" w:ascii="仿宋" w:hAnsi="仿宋" w:eastAsia="仿宋" w:cs="仿宋"/>
          <w:kern w:val="2"/>
          <w:sz w:val="32"/>
          <w:szCs w:val="32"/>
          <w:lang w:val="en-US" w:eastAsia="zh-CN"/>
        </w:rPr>
        <w:t>313.34</w:t>
      </w:r>
      <w:r>
        <w:rPr>
          <w:rFonts w:hint="eastAsia" w:ascii="仿宋" w:hAnsi="仿宋" w:eastAsia="仿宋" w:cs="仿宋"/>
          <w:kern w:val="2"/>
          <w:sz w:val="32"/>
          <w:szCs w:val="32"/>
        </w:rPr>
        <w:t>万元，完成预算100%，决算数与预算数持平。</w:t>
      </w:r>
    </w:p>
    <w:p w14:paraId="6097D5F4">
      <w:pPr>
        <w:spacing w:line="576" w:lineRule="exact"/>
        <w:ind w:firstLine="643"/>
        <w:jc w:val="both"/>
        <w:rPr>
          <w:rFonts w:hint="eastAsia" w:ascii="仿宋" w:hAnsi="仿宋" w:eastAsia="仿宋" w:cs="仿宋"/>
          <w:kern w:val="2"/>
          <w:sz w:val="32"/>
          <w:szCs w:val="32"/>
        </w:rPr>
      </w:pPr>
      <w:r>
        <w:rPr>
          <w:rFonts w:hint="eastAsia" w:ascii="仿宋_GB2312" w:hAnsi="仿宋_GB2312" w:eastAsia="仿宋_GB2312" w:cs="仿宋_GB2312"/>
          <w:b/>
          <w:color w:val="000000"/>
          <w:kern w:val="2"/>
          <w:sz w:val="32"/>
          <w:szCs w:val="32"/>
        </w:rPr>
        <w:t>1</w:t>
      </w:r>
      <w:r>
        <w:rPr>
          <w:rFonts w:hint="eastAsia" w:ascii="仿宋_GB2312" w:hAnsi="仿宋_GB2312" w:eastAsia="仿宋_GB2312" w:cs="仿宋_GB2312"/>
          <w:b/>
          <w:color w:val="000000"/>
          <w:kern w:val="2"/>
          <w:sz w:val="32"/>
          <w:szCs w:val="32"/>
          <w:lang w:val="en-US" w:eastAsia="zh-CN"/>
        </w:rPr>
        <w:t>7</w:t>
      </w:r>
      <w:r>
        <w:rPr>
          <w:rFonts w:hint="eastAsia" w:ascii="仿宋_GB2312" w:hAnsi="仿宋_GB2312" w:eastAsia="仿宋_GB2312" w:cs="仿宋_GB2312"/>
          <w:b/>
          <w:color w:val="000000"/>
          <w:kern w:val="2"/>
          <w:sz w:val="32"/>
          <w:szCs w:val="32"/>
        </w:rPr>
        <w:t>.农林水支出（类）巩固脱贫衔接乡村振兴（款）其他巩固脱贫衔接乡村振兴支出（项）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支出决算为</w:t>
      </w:r>
      <w:r>
        <w:rPr>
          <w:rFonts w:hint="eastAsia" w:ascii="仿宋" w:hAnsi="仿宋" w:eastAsia="仿宋" w:cs="仿宋"/>
          <w:kern w:val="2"/>
          <w:sz w:val="32"/>
          <w:szCs w:val="32"/>
          <w:lang w:val="en-US" w:eastAsia="zh-CN"/>
        </w:rPr>
        <w:t>587.23</w:t>
      </w:r>
      <w:r>
        <w:rPr>
          <w:rFonts w:hint="eastAsia" w:ascii="仿宋" w:hAnsi="仿宋" w:eastAsia="仿宋" w:cs="仿宋"/>
          <w:kern w:val="2"/>
          <w:sz w:val="32"/>
          <w:szCs w:val="32"/>
        </w:rPr>
        <w:t>万元，完成预算100%，决算数与预算数持平。</w:t>
      </w:r>
    </w:p>
    <w:p w14:paraId="091F4863">
      <w:pPr>
        <w:spacing w:line="576" w:lineRule="exact"/>
        <w:ind w:firstLine="643"/>
        <w:jc w:val="both"/>
        <w:rPr>
          <w:rFonts w:ascii="仿宋" w:hAnsi="仿宋" w:eastAsia="仿宋"/>
          <w:sz w:val="32"/>
          <w:szCs w:val="32"/>
        </w:rPr>
      </w:pPr>
      <w:r>
        <w:rPr>
          <w:rFonts w:hint="eastAsia" w:ascii="仿宋_GB2312" w:hAnsi="仿宋_GB2312" w:eastAsia="仿宋_GB2312" w:cs="仿宋_GB2312"/>
          <w:b/>
          <w:color w:val="000000"/>
          <w:kern w:val="2"/>
          <w:sz w:val="32"/>
          <w:szCs w:val="32"/>
          <w:lang w:val="en-US" w:eastAsia="zh-CN"/>
        </w:rPr>
        <w:t>18</w:t>
      </w:r>
      <w:r>
        <w:rPr>
          <w:rFonts w:hint="eastAsia" w:ascii="仿宋_GB2312" w:hAnsi="仿宋_GB2312" w:eastAsia="仿宋_GB2312" w:cs="仿宋_GB2312"/>
          <w:b/>
          <w:color w:val="000000"/>
          <w:kern w:val="2"/>
          <w:sz w:val="32"/>
          <w:szCs w:val="32"/>
        </w:rPr>
        <w:t>.住房保障支出（类）住房改革支出（款）其住房公积金（项）</w:t>
      </w:r>
      <w:r>
        <w:rPr>
          <w:rFonts w:hint="eastAsia" w:ascii="仿宋_GB2312" w:hAnsi="仿宋_GB2312" w:eastAsia="仿宋_GB2312" w:cs="仿宋_GB2312"/>
          <w:b/>
          <w:color w:val="000000"/>
          <w:kern w:val="2"/>
          <w:sz w:val="32"/>
          <w:szCs w:val="32"/>
          <w:lang w:eastAsia="zh-CN"/>
        </w:rPr>
        <w:t>：</w:t>
      </w:r>
      <w:r>
        <w:rPr>
          <w:rFonts w:hint="eastAsia" w:ascii="仿宋" w:hAnsi="仿宋" w:eastAsia="仿宋" w:cs="仿宋"/>
          <w:kern w:val="2"/>
          <w:sz w:val="32"/>
          <w:szCs w:val="32"/>
        </w:rPr>
        <w:t>支出决算为</w:t>
      </w:r>
      <w:r>
        <w:rPr>
          <w:rFonts w:hint="eastAsia" w:ascii="仿宋" w:hAnsi="仿宋" w:eastAsia="仿宋" w:cs="仿宋"/>
          <w:kern w:val="2"/>
          <w:sz w:val="32"/>
          <w:szCs w:val="32"/>
          <w:lang w:val="en-US" w:eastAsia="zh-CN"/>
        </w:rPr>
        <w:t>39.99</w:t>
      </w:r>
      <w:r>
        <w:rPr>
          <w:rFonts w:hint="eastAsia" w:ascii="仿宋" w:hAnsi="仿宋" w:eastAsia="仿宋" w:cs="仿宋"/>
          <w:kern w:val="2"/>
          <w:sz w:val="32"/>
          <w:szCs w:val="32"/>
        </w:rPr>
        <w:t>万元，完成预算100%，决算数与预算数持平。</w:t>
      </w:r>
    </w:p>
    <w:p w14:paraId="7EF68078">
      <w:pPr>
        <w:spacing w:line="600" w:lineRule="exact"/>
        <w:ind w:firstLine="640"/>
        <w:rPr>
          <w:rFonts w:ascii="仿宋" w:hAnsi="仿宋" w:eastAsia="仿宋"/>
          <w:b/>
          <w:sz w:val="32"/>
          <w:szCs w:val="32"/>
        </w:rPr>
      </w:pPr>
    </w:p>
    <w:p w14:paraId="39484F93">
      <w:pPr>
        <w:tabs>
          <w:tab w:val="right" w:pos="8306"/>
        </w:tabs>
        <w:spacing w:line="600" w:lineRule="exact"/>
        <w:ind w:firstLine="640"/>
        <w:outlineLvl w:val="1"/>
        <w:rPr>
          <w:rStyle w:val="28"/>
        </w:rPr>
      </w:pPr>
      <w:bookmarkStart w:id="49" w:name="_Toc29623"/>
      <w:bookmarkStart w:id="50" w:name="_Toc15396608"/>
      <w:bookmarkStart w:id="5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9"/>
      <w:bookmarkEnd w:id="50"/>
      <w:bookmarkEnd w:id="51"/>
      <w:r>
        <w:rPr>
          <w:rStyle w:val="28"/>
          <w:rFonts w:ascii="黑体" w:hAnsi="黑体" w:eastAsia="黑体"/>
          <w:b w:val="0"/>
        </w:rPr>
        <w:tab/>
      </w:r>
    </w:p>
    <w:p w14:paraId="011AB8A2">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774.24</w:t>
      </w:r>
      <w:r>
        <w:rPr>
          <w:rFonts w:hint="eastAsia" w:ascii="仿宋" w:hAnsi="仿宋" w:eastAsia="仿宋"/>
          <w:sz w:val="32"/>
          <w:szCs w:val="32"/>
        </w:rPr>
        <w:t>万元，其中：</w:t>
      </w:r>
    </w:p>
    <w:p w14:paraId="485CDEE6">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ascii="仿宋" w:hAnsi="仿宋" w:eastAsia="仿宋"/>
          <w:b/>
          <w:sz w:val="32"/>
          <w:szCs w:val="32"/>
        </w:rPr>
        <w:t>675.18</w:t>
      </w:r>
      <w:r>
        <w:rPr>
          <w:rFonts w:hint="eastAsia" w:ascii="仿宋" w:hAnsi="仿宋" w:eastAsia="仿宋"/>
          <w:sz w:val="32"/>
          <w:szCs w:val="32"/>
        </w:rPr>
        <w:t>万元，主要包括：基本工资、津贴补贴、奖金、伙食补助费、绩效工资、机关事业单位基本养老保险缴费、职业年金缴费、职工基本医疗保险缴费、公务员医疗补助缴费、其他社会保障缴费、住房公积金、其他工资福利支出、离休费、抚恤金、生活补助、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99.06</w:t>
      </w:r>
      <w:r>
        <w:rPr>
          <w:rFonts w:hint="eastAsia" w:ascii="仿宋" w:hAnsi="仿宋" w:eastAsia="仿宋"/>
          <w:sz w:val="32"/>
          <w:szCs w:val="32"/>
        </w:rPr>
        <w:t>万元，主要包括：办公费、电费、邮电费、差旅费、培训费、公务接待费、工会经费、福利费、其他交通费、其他商品和服务支出等。</w:t>
      </w:r>
    </w:p>
    <w:p w14:paraId="3F1B3398">
      <w:pPr>
        <w:spacing w:line="600" w:lineRule="exact"/>
        <w:ind w:firstLine="640"/>
        <w:rPr>
          <w:rFonts w:ascii="仿宋" w:hAnsi="仿宋" w:eastAsia="仿宋"/>
          <w:b/>
          <w:sz w:val="32"/>
          <w:szCs w:val="32"/>
        </w:rPr>
      </w:pPr>
    </w:p>
    <w:p w14:paraId="65765EA1">
      <w:pPr>
        <w:spacing w:line="600" w:lineRule="exact"/>
        <w:ind w:firstLine="640"/>
        <w:outlineLvl w:val="1"/>
        <w:rPr>
          <w:rStyle w:val="28"/>
          <w:rFonts w:ascii="黑体" w:hAnsi="黑体" w:eastAsia="黑体"/>
          <w:b w:val="0"/>
        </w:rPr>
      </w:pPr>
      <w:bookmarkStart w:id="52" w:name="_Toc15396609"/>
      <w:bookmarkStart w:id="53" w:name="_Toc25774"/>
      <w:bookmarkStart w:id="54"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52"/>
      <w:bookmarkEnd w:id="53"/>
      <w:bookmarkEnd w:id="54"/>
    </w:p>
    <w:p w14:paraId="2200C1CE">
      <w:pPr>
        <w:spacing w:line="600" w:lineRule="exact"/>
        <w:ind w:firstLine="640"/>
        <w:outlineLvl w:val="2"/>
        <w:rPr>
          <w:rFonts w:ascii="仿宋" w:hAnsi="仿宋" w:eastAsia="仿宋"/>
          <w:b/>
          <w:sz w:val="32"/>
          <w:szCs w:val="32"/>
        </w:rPr>
      </w:pPr>
      <w:bookmarkStart w:id="55" w:name="_Toc15377216"/>
      <w:r>
        <w:rPr>
          <w:rFonts w:hint="eastAsia" w:ascii="仿宋" w:hAnsi="仿宋" w:eastAsia="仿宋"/>
          <w:b/>
          <w:sz w:val="32"/>
          <w:szCs w:val="32"/>
        </w:rPr>
        <w:t>（一）“三公”经费财政拨款支出决算总体情况说明</w:t>
      </w:r>
      <w:bookmarkEnd w:id="55"/>
    </w:p>
    <w:p w14:paraId="12F10129">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0.66</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4.65</w:t>
      </w:r>
      <w:r>
        <w:rPr>
          <w:rFonts w:hint="eastAsia" w:ascii="仿宋" w:hAnsi="仿宋" w:eastAsia="仿宋"/>
          <w:sz w:val="32"/>
          <w:szCs w:val="32"/>
        </w:rPr>
        <w:t>万元，下降</w:t>
      </w:r>
      <w:r>
        <w:rPr>
          <w:rFonts w:hint="eastAsia" w:ascii="仿宋" w:hAnsi="仿宋" w:eastAsia="仿宋"/>
          <w:sz w:val="32"/>
          <w:szCs w:val="32"/>
          <w:lang w:val="en-US" w:eastAsia="zh-CN"/>
        </w:rPr>
        <w:t>87.57</w:t>
      </w:r>
      <w:r>
        <w:rPr>
          <w:rFonts w:hint="eastAsia" w:ascii="仿宋" w:hAnsi="仿宋" w:eastAsia="仿宋"/>
          <w:sz w:val="32"/>
          <w:szCs w:val="32"/>
        </w:rPr>
        <w:t>%。决算数与预算数持平的主要原因是厉行节约，严格控制三公经费支出。</w:t>
      </w:r>
    </w:p>
    <w:p w14:paraId="211E75C8">
      <w:pPr>
        <w:spacing w:line="600" w:lineRule="exact"/>
        <w:ind w:firstLine="640"/>
        <w:outlineLvl w:val="2"/>
        <w:rPr>
          <w:rFonts w:ascii="仿宋" w:hAnsi="仿宋" w:eastAsia="仿宋"/>
          <w:b/>
          <w:sz w:val="32"/>
          <w:szCs w:val="32"/>
        </w:rPr>
      </w:pPr>
      <w:bookmarkStart w:id="56" w:name="_Toc15377217"/>
      <w:r>
        <w:rPr>
          <w:rFonts w:hint="eastAsia" w:ascii="仿宋" w:hAnsi="仿宋" w:eastAsia="仿宋"/>
          <w:b/>
          <w:sz w:val="32"/>
          <w:szCs w:val="32"/>
        </w:rPr>
        <w:t>（二）“三公”经费财政拨款支出决算具体情况说明</w:t>
      </w:r>
      <w:bookmarkEnd w:id="56"/>
    </w:p>
    <w:p w14:paraId="2D26C1AE">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0.66</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77E1008E">
      <w:pPr>
        <w:spacing w:line="240" w:lineRule="auto"/>
        <w:ind w:firstLine="0"/>
        <w:jc w:val="center"/>
        <w:rPr>
          <w:rFonts w:hint="eastAsia" w:ascii="仿宋" w:hAnsi="仿宋" w:eastAsia="仿宋"/>
          <w:sz w:val="32"/>
          <w:szCs w:val="32"/>
        </w:rPr>
      </w:pPr>
      <w:r>
        <w:drawing>
          <wp:inline distT="0" distB="0" distL="114300" distR="114300">
            <wp:extent cx="4552950" cy="29051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4552950" cy="2905125"/>
                    </a:xfrm>
                    <a:prstGeom prst="rect">
                      <a:avLst/>
                    </a:prstGeom>
                    <a:noFill/>
                    <a:ln>
                      <a:noFill/>
                    </a:ln>
                  </pic:spPr>
                </pic:pic>
              </a:graphicData>
            </a:graphic>
          </wp:inline>
        </w:drawing>
      </w:r>
    </w:p>
    <w:p w14:paraId="2EE1E380">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25EC776C">
      <w:pPr>
        <w:spacing w:line="600" w:lineRule="exact"/>
        <w:ind w:firstLine="640"/>
        <w:rPr>
          <w:rFonts w:ascii="仿宋_GB2312" w:eastAsia="仿宋_GB2312"/>
          <w:sz w:val="32"/>
          <w:szCs w:val="32"/>
        </w:rPr>
      </w:pPr>
      <w:bookmarkStart w:id="57" w:name="_Toc15377218"/>
      <w:bookmarkStart w:id="58"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人。因公出国（境）支出决算比2022年增加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026D2EE1">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15BE8851">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2AFFEAA1">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10ABCFDC">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0.66</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4.65</w:t>
      </w:r>
      <w:r>
        <w:rPr>
          <w:rFonts w:hint="eastAsia" w:ascii="仿宋_GB2312" w:eastAsia="仿宋_GB2312"/>
          <w:sz w:val="32"/>
          <w:szCs w:val="32"/>
        </w:rPr>
        <w:t>万元，下降</w:t>
      </w:r>
      <w:r>
        <w:rPr>
          <w:rFonts w:hint="eastAsia" w:ascii="仿宋_GB2312" w:eastAsia="仿宋_GB2312"/>
          <w:sz w:val="32"/>
          <w:szCs w:val="32"/>
          <w:lang w:val="en-US" w:eastAsia="zh-CN"/>
        </w:rPr>
        <w:t>87.57</w:t>
      </w:r>
      <w:r>
        <w:rPr>
          <w:rFonts w:ascii="仿宋_GB2312" w:eastAsia="仿宋_GB2312"/>
          <w:sz w:val="32"/>
          <w:szCs w:val="32"/>
        </w:rPr>
        <w:t>%</w:t>
      </w:r>
      <w:r>
        <w:rPr>
          <w:rFonts w:hint="eastAsia" w:ascii="仿宋_GB2312" w:eastAsia="仿宋_GB2312"/>
          <w:sz w:val="32"/>
          <w:szCs w:val="32"/>
        </w:rPr>
        <w:t>。主要原因是厉行节约，严格控制三公经费支出。其中：</w:t>
      </w:r>
    </w:p>
    <w:p w14:paraId="4B582379">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0.66</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5</w:t>
      </w:r>
      <w:r>
        <w:rPr>
          <w:rFonts w:hint="eastAsia" w:ascii="仿宋_GB2312" w:eastAsia="仿宋_GB2312"/>
          <w:sz w:val="32"/>
          <w:szCs w:val="32"/>
        </w:rPr>
        <w:t>批次，</w:t>
      </w:r>
      <w:r>
        <w:rPr>
          <w:rFonts w:hint="eastAsia" w:ascii="仿宋_GB2312" w:eastAsia="仿宋_GB2312"/>
          <w:sz w:val="32"/>
          <w:szCs w:val="32"/>
          <w:lang w:val="en-US" w:eastAsia="zh-CN"/>
        </w:rPr>
        <w:t>101</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0.66</w:t>
      </w:r>
      <w:r>
        <w:rPr>
          <w:rFonts w:hint="eastAsia" w:ascii="仿宋_GB2312" w:eastAsia="仿宋_GB2312"/>
          <w:sz w:val="32"/>
          <w:szCs w:val="32"/>
        </w:rPr>
        <w:t>万元。</w:t>
      </w:r>
    </w:p>
    <w:p w14:paraId="7080F534">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1D824DAF">
      <w:pPr>
        <w:spacing w:line="600" w:lineRule="exact"/>
        <w:ind w:firstLine="640"/>
        <w:outlineLvl w:val="9"/>
        <w:rPr>
          <w:rFonts w:ascii="黑体" w:eastAsia="黑体"/>
          <w:sz w:val="32"/>
          <w:szCs w:val="32"/>
        </w:rPr>
      </w:pPr>
    </w:p>
    <w:p w14:paraId="7621EBF7">
      <w:pPr>
        <w:spacing w:line="600" w:lineRule="exact"/>
        <w:ind w:firstLine="640"/>
        <w:outlineLvl w:val="1"/>
        <w:rPr>
          <w:rStyle w:val="28"/>
          <w:rFonts w:ascii="黑体" w:hAnsi="黑体" w:eastAsia="黑体"/>
        </w:rPr>
      </w:pPr>
      <w:bookmarkStart w:id="59" w:name="_Toc302"/>
      <w:r>
        <w:rPr>
          <w:rFonts w:hint="eastAsia" w:ascii="黑体" w:eastAsia="黑体"/>
          <w:sz w:val="32"/>
          <w:szCs w:val="32"/>
        </w:rPr>
        <w:t>八、</w:t>
      </w:r>
      <w:r>
        <w:rPr>
          <w:rStyle w:val="28"/>
          <w:rFonts w:hint="eastAsia" w:ascii="黑体" w:hAnsi="黑体" w:eastAsia="黑体"/>
          <w:b w:val="0"/>
        </w:rPr>
        <w:t>政府性基金预算支出决算情况说明</w:t>
      </w:r>
      <w:bookmarkEnd w:id="57"/>
      <w:bookmarkEnd w:id="58"/>
      <w:bookmarkEnd w:id="59"/>
    </w:p>
    <w:p w14:paraId="06E8E379">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107.46</w:t>
      </w:r>
      <w:r>
        <w:rPr>
          <w:rFonts w:hint="eastAsia" w:ascii="仿宋_GB2312" w:eastAsia="仿宋_GB2312"/>
          <w:sz w:val="32"/>
          <w:szCs w:val="32"/>
        </w:rPr>
        <w:t>万元。</w:t>
      </w:r>
    </w:p>
    <w:p w14:paraId="51EE440B">
      <w:pPr>
        <w:spacing w:line="600" w:lineRule="exact"/>
        <w:ind w:firstLine="640"/>
        <w:rPr>
          <w:rFonts w:ascii="仿宋_GB2312" w:eastAsia="仿宋_GB2312"/>
          <w:sz w:val="32"/>
          <w:szCs w:val="32"/>
        </w:rPr>
      </w:pPr>
    </w:p>
    <w:p w14:paraId="0359B2C4">
      <w:pPr>
        <w:numPr>
          <w:ilvl w:val="0"/>
          <w:numId w:val="3"/>
        </w:numPr>
        <w:spacing w:line="600" w:lineRule="exact"/>
        <w:ind w:firstLine="640"/>
        <w:outlineLvl w:val="1"/>
        <w:rPr>
          <w:rStyle w:val="28"/>
          <w:rFonts w:ascii="黑体" w:hAnsi="黑体" w:eastAsia="黑体"/>
          <w:b w:val="0"/>
        </w:rPr>
      </w:pPr>
      <w:bookmarkStart w:id="60" w:name="_Toc18676"/>
      <w:bookmarkStart w:id="61" w:name="_Toc15396611"/>
      <w:bookmarkStart w:id="62" w:name="_Toc15377219"/>
      <w:r>
        <w:rPr>
          <w:rStyle w:val="28"/>
          <w:rFonts w:hint="eastAsia" w:ascii="黑体" w:hAnsi="黑体" w:eastAsia="黑体"/>
          <w:b w:val="0"/>
        </w:rPr>
        <w:t>国有资本经营预算支出决算情况说明</w:t>
      </w:r>
      <w:bookmarkEnd w:id="60"/>
      <w:bookmarkEnd w:id="61"/>
      <w:bookmarkEnd w:id="62"/>
    </w:p>
    <w:p w14:paraId="4A07E720">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293F2C92">
      <w:pPr>
        <w:spacing w:line="580" w:lineRule="exact"/>
        <w:jc w:val="center"/>
        <w:rPr>
          <w:rFonts w:ascii="方正小标宋简体" w:hAnsi="方正小标宋简体" w:eastAsia="方正小标宋简体" w:cs="方正小标宋简体"/>
          <w:sz w:val="44"/>
          <w:szCs w:val="44"/>
        </w:rPr>
      </w:pPr>
    </w:p>
    <w:p w14:paraId="1CFB9F1A">
      <w:pPr>
        <w:numPr>
          <w:ilvl w:val="0"/>
          <w:numId w:val="3"/>
        </w:numPr>
        <w:spacing w:line="600" w:lineRule="exact"/>
        <w:ind w:firstLine="640"/>
        <w:outlineLvl w:val="1"/>
        <w:rPr>
          <w:rStyle w:val="28"/>
          <w:rFonts w:ascii="黑体" w:hAnsi="黑体" w:eastAsia="黑体"/>
          <w:b w:val="0"/>
        </w:rPr>
      </w:pPr>
      <w:bookmarkStart w:id="63" w:name="_Toc15396612"/>
      <w:bookmarkStart w:id="64" w:name="_Toc6023"/>
      <w:bookmarkStart w:id="65" w:name="_Toc15377221"/>
      <w:r>
        <w:rPr>
          <w:rStyle w:val="28"/>
          <w:rFonts w:hint="eastAsia" w:ascii="黑体" w:hAnsi="黑体" w:eastAsia="黑体"/>
          <w:b w:val="0"/>
        </w:rPr>
        <w:t>其他重要事项的情况说明</w:t>
      </w:r>
      <w:bookmarkEnd w:id="63"/>
      <w:bookmarkEnd w:id="64"/>
      <w:bookmarkEnd w:id="65"/>
    </w:p>
    <w:p w14:paraId="68546ADA">
      <w:pPr>
        <w:spacing w:line="600" w:lineRule="exact"/>
        <w:ind w:firstLine="643" w:firstLineChars="200"/>
        <w:outlineLvl w:val="2"/>
        <w:rPr>
          <w:rFonts w:ascii="仿宋" w:hAnsi="仿宋" w:eastAsia="仿宋"/>
          <w:sz w:val="32"/>
          <w:szCs w:val="32"/>
        </w:rPr>
      </w:pPr>
      <w:bookmarkStart w:id="66" w:name="_Toc15377222"/>
      <w:r>
        <w:rPr>
          <w:rFonts w:hint="eastAsia" w:ascii="仿宋" w:hAnsi="仿宋" w:eastAsia="仿宋"/>
          <w:b/>
          <w:sz w:val="32"/>
          <w:szCs w:val="32"/>
        </w:rPr>
        <w:t>（一）机关运行经费支出情况</w:t>
      </w:r>
      <w:bookmarkEnd w:id="66"/>
    </w:p>
    <w:p w14:paraId="081C32E6">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峨边彝族自治县卫生健康局（本级）</w:t>
      </w:r>
      <w:r>
        <w:rPr>
          <w:rFonts w:hint="eastAsia" w:ascii="仿宋_GB2312" w:eastAsia="仿宋_GB2312"/>
          <w:sz w:val="32"/>
          <w:szCs w:val="32"/>
        </w:rPr>
        <w:t>机关运行经费支出</w:t>
      </w:r>
      <w:r>
        <w:rPr>
          <w:rFonts w:ascii="仿宋" w:hAnsi="仿宋" w:eastAsia="仿宋"/>
          <w:b/>
          <w:sz w:val="32"/>
          <w:szCs w:val="32"/>
        </w:rPr>
        <w:t>99.06</w:t>
      </w:r>
      <w:r>
        <w:rPr>
          <w:rFonts w:hint="eastAsia" w:ascii="仿宋_GB2312" w:eastAsia="仿宋_GB2312"/>
          <w:sz w:val="32"/>
          <w:szCs w:val="32"/>
        </w:rPr>
        <w:t>万元，比2022年度减少</w:t>
      </w:r>
      <w:r>
        <w:rPr>
          <w:rFonts w:hint="eastAsia" w:ascii="仿宋_GB2312" w:eastAsia="仿宋_GB2312"/>
          <w:sz w:val="32"/>
          <w:szCs w:val="32"/>
          <w:lang w:val="en-US" w:eastAsia="zh-CN"/>
        </w:rPr>
        <w:t>5.90</w:t>
      </w:r>
      <w:r>
        <w:rPr>
          <w:rFonts w:hint="eastAsia" w:ascii="仿宋_GB2312" w:eastAsia="仿宋_GB2312"/>
          <w:sz w:val="32"/>
          <w:szCs w:val="32"/>
        </w:rPr>
        <w:t>万元，下降</w:t>
      </w:r>
      <w:r>
        <w:rPr>
          <w:rFonts w:hint="eastAsia" w:ascii="仿宋_GB2312" w:eastAsia="仿宋_GB2312"/>
          <w:sz w:val="32"/>
          <w:szCs w:val="32"/>
          <w:lang w:val="en-US" w:eastAsia="zh-CN"/>
        </w:rPr>
        <w:t>5.62</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2023年无办公设备购置支出</w:t>
      </w:r>
      <w:r>
        <w:rPr>
          <w:rFonts w:hint="eastAsia" w:ascii="仿宋_GB2312" w:eastAsia="仿宋_GB2312"/>
          <w:sz w:val="32"/>
          <w:szCs w:val="32"/>
        </w:rPr>
        <w:t>。</w:t>
      </w:r>
    </w:p>
    <w:p w14:paraId="057265A8">
      <w:pPr>
        <w:autoSpaceDE w:val="0"/>
        <w:autoSpaceDN w:val="0"/>
        <w:adjustRightInd w:val="0"/>
        <w:spacing w:line="600" w:lineRule="exact"/>
        <w:ind w:firstLine="643" w:firstLineChars="200"/>
        <w:jc w:val="left"/>
        <w:outlineLvl w:val="2"/>
        <w:rPr>
          <w:rFonts w:ascii="仿宋" w:hAnsi="仿宋" w:eastAsia="仿宋"/>
          <w:b/>
          <w:sz w:val="32"/>
          <w:szCs w:val="32"/>
        </w:rPr>
      </w:pPr>
      <w:bookmarkStart w:id="67" w:name="_Toc15377223"/>
      <w:r>
        <w:rPr>
          <w:rFonts w:hint="eastAsia" w:ascii="仿宋" w:hAnsi="仿宋" w:eastAsia="仿宋"/>
          <w:b/>
          <w:sz w:val="32"/>
          <w:szCs w:val="32"/>
        </w:rPr>
        <w:t>（二）政府采购支出情况</w:t>
      </w:r>
      <w:bookmarkEnd w:id="67"/>
    </w:p>
    <w:p w14:paraId="2965D2BB">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w:t>
      </w:r>
      <w:r>
        <w:rPr>
          <w:rFonts w:ascii="仿宋_GB2312" w:eastAsia="仿宋_GB2312"/>
          <w:b/>
          <w:sz w:val="32"/>
          <w:szCs w:val="32"/>
        </w:rPr>
        <w:t>峨边彝族自治县卫生健康局（本级）</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1F59C339">
      <w:pPr>
        <w:autoSpaceDE w:val="0"/>
        <w:autoSpaceDN w:val="0"/>
        <w:adjustRightInd w:val="0"/>
        <w:spacing w:line="600" w:lineRule="exact"/>
        <w:ind w:firstLine="643" w:firstLineChars="200"/>
        <w:jc w:val="left"/>
        <w:outlineLvl w:val="2"/>
        <w:rPr>
          <w:rFonts w:ascii="仿宋" w:hAnsi="仿宋" w:eastAsia="仿宋"/>
          <w:b/>
          <w:sz w:val="32"/>
          <w:szCs w:val="32"/>
        </w:rPr>
      </w:pPr>
      <w:bookmarkStart w:id="68" w:name="_Toc15377224"/>
      <w:r>
        <w:rPr>
          <w:rFonts w:hint="eastAsia" w:ascii="仿宋" w:hAnsi="仿宋" w:eastAsia="仿宋"/>
          <w:b/>
          <w:sz w:val="32"/>
          <w:szCs w:val="32"/>
        </w:rPr>
        <w:t>（三）国有资产占有使用情况</w:t>
      </w:r>
      <w:bookmarkEnd w:id="68"/>
    </w:p>
    <w:p w14:paraId="045DA0F4">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峨边彝族自治县卫生健康局（本级）</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0EA8BD6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AC0B9C6">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8</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8</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8</w:t>
      </w:r>
      <w:r>
        <w:rPr>
          <w:rFonts w:hint="eastAsia" w:ascii="仿宋_GB2312" w:eastAsia="仿宋_GB2312"/>
          <w:sz w:val="32"/>
          <w:szCs w:val="32"/>
        </w:rPr>
        <w:t>个项目开展绩效自评，绩效自评表详见第四部分附件。</w:t>
      </w:r>
    </w:p>
    <w:p w14:paraId="0F478584">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1016B082">
      <w:pPr>
        <w:numPr>
          <w:ilvl w:val="0"/>
          <w:numId w:val="4"/>
        </w:numPr>
        <w:spacing w:line="600" w:lineRule="exact"/>
        <w:ind w:firstLine="660" w:firstLineChars="150"/>
        <w:jc w:val="center"/>
        <w:outlineLvl w:val="0"/>
        <w:rPr>
          <w:rStyle w:val="27"/>
          <w:rFonts w:ascii="黑体" w:hAnsi="黑体" w:eastAsia="黑体"/>
          <w:b w:val="0"/>
        </w:rPr>
      </w:pPr>
      <w:bookmarkStart w:id="69" w:name="_Toc270"/>
      <w:bookmarkStart w:id="70" w:name="_Toc15377225"/>
      <w:bookmarkStart w:id="71" w:name="_Toc15396613"/>
      <w:r>
        <w:rPr>
          <w:rFonts w:hint="eastAsia" w:ascii="黑体" w:hAnsi="黑体" w:eastAsia="黑体"/>
          <w:sz w:val="44"/>
          <w:szCs w:val="44"/>
        </w:rPr>
        <w:t>名</w:t>
      </w:r>
      <w:r>
        <w:rPr>
          <w:rStyle w:val="27"/>
          <w:rFonts w:hint="eastAsia" w:ascii="黑体" w:hAnsi="黑体" w:eastAsia="黑体"/>
          <w:b w:val="0"/>
        </w:rPr>
        <w:t>词解释</w:t>
      </w:r>
      <w:bookmarkEnd w:id="69"/>
      <w:bookmarkEnd w:id="70"/>
      <w:bookmarkEnd w:id="71"/>
    </w:p>
    <w:p w14:paraId="0BC51736">
      <w:pPr>
        <w:spacing w:line="600" w:lineRule="exact"/>
        <w:jc w:val="left"/>
        <w:rPr>
          <w:rFonts w:ascii="宋体"/>
          <w:b/>
          <w:sz w:val="44"/>
          <w:szCs w:val="44"/>
        </w:rPr>
      </w:pPr>
    </w:p>
    <w:p w14:paraId="1A45C71F">
      <w:pPr>
        <w:pStyle w:val="25"/>
        <w:spacing w:line="560" w:lineRule="exact"/>
        <w:ind w:firstLine="640" w:firstLineChars="200"/>
        <w:outlineLvl w:val="1"/>
        <w:rPr>
          <w:rFonts w:hint="eastAsia" w:ascii="仿宋_GB2312" w:eastAsia="仿宋_GB2312"/>
          <w:color w:val="auto"/>
          <w:sz w:val="32"/>
          <w:szCs w:val="32"/>
        </w:rPr>
      </w:pPr>
      <w:bookmarkStart w:id="72" w:name="_Toc12262"/>
      <w:r>
        <w:rPr>
          <w:rFonts w:hint="eastAsia" w:ascii="仿宋_GB2312" w:eastAsia="仿宋_GB2312"/>
          <w:color w:val="auto"/>
          <w:sz w:val="32"/>
          <w:szCs w:val="32"/>
        </w:rPr>
        <w:t>1.财政拨款收入：指单位从同级财政部门取得的财政预算资金。</w:t>
      </w:r>
      <w:bookmarkEnd w:id="72"/>
    </w:p>
    <w:p w14:paraId="3412D382">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2.事业收入：指事业单位开展专业业务活动及辅助活动取得的收入。如卫生院医疗收入等。 </w:t>
      </w:r>
    </w:p>
    <w:p w14:paraId="59466DC1">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3.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1AB1E22B">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4.年初结转和结余：指以前年度尚未完成、结转到本年按有关规定继续使用的资金。 </w:t>
      </w:r>
    </w:p>
    <w:p w14:paraId="48D1A83C">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5.结余分配：指事业单位按照事业单位会计制度的规定从非财政补助结余中分配的事业基金和职工福利基金等。</w:t>
      </w:r>
    </w:p>
    <w:p w14:paraId="0D631303">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6.年末结转和结余：指单位按有关规定结转到下年或以后年度继续使用的资金。</w:t>
      </w:r>
    </w:p>
    <w:p w14:paraId="54540F62">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7.社会保障和就业支出（类）行政事业单位养老支出（款）行政单位离退休（项）：指反映行政单位（包括实行公务员管理的事业单位）开支的离退休经费。</w:t>
      </w:r>
    </w:p>
    <w:p w14:paraId="427ABF06">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8.社会保障和就业支出（类）行政事业单位养老支出（款） 机关事业单位基本养老保险缴费支出（项）：指反映机关事业单位实施养老保险制度由单位缴纳的基本养老保险费支出。</w:t>
      </w:r>
    </w:p>
    <w:p w14:paraId="077A13B0">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9.社会保障和就业支出（类）行政事业单位养老支出（款）机关事业单位职业年金缴费支出（项）：指反映机关事业单位实施养老保险制度由单位实际缴纳的职业年金支出。</w:t>
      </w:r>
    </w:p>
    <w:p w14:paraId="05C375C0">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10.社会保障和就业支出（类）抚恤（款）死亡抚恤（项）：指反映按规定用于烈士和牺牲、病故人员家属的一次性和定期抚恤金以及丧葬补助费。</w:t>
      </w:r>
    </w:p>
    <w:p w14:paraId="1B27F909">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11.社会保障和就业支出（类）其他社会保障和就业支出（款）其他社会保障和就业支出（项）：指反映除上述项目以外用于社会保障和就业方面的支出。</w:t>
      </w:r>
    </w:p>
    <w:p w14:paraId="0052642B">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12.卫生健康支出（类）卫生健康管理事务（款）行政运行（项）：指反映行政单位（包括实行公务员管理的事业单位）的基本支出。</w:t>
      </w:r>
    </w:p>
    <w:p w14:paraId="0C1B880D">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13.卫生健康支出（类）卫生健康管理事务（款）其他卫生健康管理事务支出（项）：指反映除上述项目外</w:t>
      </w:r>
      <w:r>
        <w:rPr>
          <w:rFonts w:hint="eastAsia" w:ascii="仿宋_GB2312" w:eastAsia="仿宋_GB2312"/>
          <w:color w:val="auto"/>
          <w:sz w:val="32"/>
          <w:szCs w:val="32"/>
          <w:lang w:eastAsia="zh-CN"/>
        </w:rPr>
        <w:t>其他</w:t>
      </w:r>
      <w:r>
        <w:rPr>
          <w:rFonts w:hint="eastAsia" w:ascii="仿宋_GB2312" w:eastAsia="仿宋_GB2312"/>
          <w:color w:val="auto"/>
          <w:sz w:val="32"/>
          <w:szCs w:val="32"/>
        </w:rPr>
        <w:t>健康卫生管理事务方面的支出。</w:t>
      </w:r>
    </w:p>
    <w:p w14:paraId="542AE8D5">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14.卫生健康支出（类）公立医院（款）综合医院（项）：指反映卫生健康、中医部门所属的城市综合性医院、独立门诊、教学医院、疗养院和县医院的支出。</w:t>
      </w:r>
    </w:p>
    <w:p w14:paraId="4FBE83A9">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15.卫生健康支出（类）公立医院（款）中医</w:t>
      </w:r>
      <w:r>
        <w:rPr>
          <w:rFonts w:hint="eastAsia" w:ascii="仿宋_GB2312" w:eastAsia="仿宋_GB2312"/>
          <w:color w:val="auto"/>
          <w:sz w:val="32"/>
          <w:szCs w:val="32"/>
          <w:lang w:eastAsia="zh-CN"/>
        </w:rPr>
        <w:t>（</w:t>
      </w:r>
      <w:r>
        <w:rPr>
          <w:rFonts w:hint="eastAsia" w:ascii="仿宋_GB2312" w:eastAsia="仿宋_GB2312"/>
          <w:color w:val="auto"/>
          <w:sz w:val="32"/>
          <w:szCs w:val="32"/>
        </w:rPr>
        <w:t>民族</w:t>
      </w:r>
      <w:r>
        <w:rPr>
          <w:rFonts w:hint="eastAsia" w:ascii="仿宋_GB2312" w:eastAsia="仿宋_GB2312"/>
          <w:color w:val="auto"/>
          <w:sz w:val="32"/>
          <w:szCs w:val="32"/>
          <w:lang w:eastAsia="zh-CN"/>
        </w:rPr>
        <w:t>）</w:t>
      </w:r>
      <w:r>
        <w:rPr>
          <w:rFonts w:hint="eastAsia" w:ascii="仿宋_GB2312" w:eastAsia="仿宋_GB2312"/>
          <w:color w:val="auto"/>
          <w:sz w:val="32"/>
          <w:szCs w:val="32"/>
        </w:rPr>
        <w:t>医院（项）：指反映卫生健康、中医部门所属的中医院、中西医结合医院、民族医院的支出。</w:t>
      </w:r>
    </w:p>
    <w:p w14:paraId="6729F539">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16.卫生健康支出（类）基层医疗卫生机构（款）乡镇卫生院（项）：指反映乡镇卫生院的支出。</w:t>
      </w:r>
    </w:p>
    <w:p w14:paraId="53B72147">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17.卫生健康支出（类）基层医疗卫生机构（款）其他基层医疗卫生机构支出（项）：指反映除以上项目以外的其他用于基层医疗卫生机构的支出。</w:t>
      </w:r>
    </w:p>
    <w:p w14:paraId="1938B440">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18.卫生健康支出（类）公共卫生（款）妇幼保健机构（项）：指反映卫生健康部门所属妇幼保健机构的支出。</w:t>
      </w:r>
    </w:p>
    <w:p w14:paraId="2005E5DD">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19.卫生健康支出（类）公共卫生（款）基本公共卫生服务（项）：指反映基本公共卫生服务支出。</w:t>
      </w:r>
    </w:p>
    <w:p w14:paraId="6DE0BDB8">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20.卫生健康支出（类）公共卫生（款）重大公共卫生专项（项）：指反映重大疾病、重大传染病预防控制等重大公共卫生服务项目支出。</w:t>
      </w:r>
    </w:p>
    <w:p w14:paraId="725D3DD5">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21.卫生健康支出（类）公共卫生（款）突发公共卫生事件应急处理（项）：指反映用于突发公共卫生事件应急处理的支出。</w:t>
      </w:r>
    </w:p>
    <w:p w14:paraId="7DB5FF4A">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22.卫生健康支出（类）公共卫生（款）其他公共卫生支出（项）：指其他公共卫生支出反映除上述项目以外的其他用于公共卫生方面的支出。</w:t>
      </w:r>
    </w:p>
    <w:p w14:paraId="057D2099">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22.卫生健康支出（类）中医药（款）中医（民族医）药专项（项）：反映中医（民族医）药方面的专项支出。</w:t>
      </w:r>
    </w:p>
    <w:p w14:paraId="0C095B63">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23.卫生健康支出（类）计划生育事务（款）计划生育服务（项）：指反映计划生育服务的支出。</w:t>
      </w:r>
    </w:p>
    <w:p w14:paraId="64F90CFC">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24.卫生健康支出（类）计划生育事务（款）其他计划生育事务支出（项）：指反映除上述项目以外其他用于计划生育管理实务方面的支出。</w:t>
      </w:r>
    </w:p>
    <w:p w14:paraId="539E7971">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25.卫生健康支出（类）行政事业单位医疗（款）行政单位医疗（项）：指反映财政部门安排的行政单位（包括实行公务员管理的事业单位）基本医疗保险缴费经费，未参加医疗保险的行政单位的公费医疗经费，按国家规定享受离休人员、红军老战士待遇人员的医疗经费。</w:t>
      </w:r>
    </w:p>
    <w:p w14:paraId="31B2DE46">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26.卫生健康支出（类）行政事业单位医疗（款）公务员医疗补助（项）：反映财政部门安排的公务员医疗补助经费。</w:t>
      </w:r>
    </w:p>
    <w:p w14:paraId="3AAB285C">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27.卫生健康支出（类）其他卫生健康支出（款）其他卫生健康支出（项）：指上述项目以外用于卫生健康方面的支出。</w:t>
      </w:r>
    </w:p>
    <w:p w14:paraId="556A06C4">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28.城乡社区支出（类）国有土地使用权出让收入安排的支出（款）其他国有土地使用权出让收入安排的支出（项）：反映土地出让收入用于其他方面的支出。</w:t>
      </w:r>
    </w:p>
    <w:p w14:paraId="48BCD20E">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29.农林水支出（类）巩固脱贫衔接乡村振兴（款）其他巩固脱贫衔接乡村振兴支出（项）：指反映除上述项目以外其他用于巩固拓展脱贫攻坚成果同乡村振兴有效衔接方面的支出。</w:t>
      </w:r>
    </w:p>
    <w:p w14:paraId="29E9DAD2">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30.住房保障支出（类）住房改革支出（款）住房公积金（项）：指反映行政事业单位按人力资源和社会保障部、财政部规定的基本工资和津贴补贴以及规定比例为职工缴纳的住房公积金。</w:t>
      </w:r>
    </w:p>
    <w:p w14:paraId="0CA86E1C">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31.基本支出：指为保障机构正常运转、完成日常工作任务而发生的人员支出和公用支出。</w:t>
      </w:r>
    </w:p>
    <w:p w14:paraId="12181A3B">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32.项目支出：指在基本支出之外为完成特定行政任务和事业发展目标所发生的支出。 </w:t>
      </w:r>
    </w:p>
    <w:p w14:paraId="207E591A">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519C383">
      <w:pPr>
        <w:pStyle w:val="25"/>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9C4E8AA">
      <w:pPr>
        <w:pStyle w:val="25"/>
        <w:spacing w:line="560" w:lineRule="exact"/>
        <w:ind w:firstLine="640" w:firstLineChars="200"/>
        <w:rPr>
          <w:rFonts w:hint="eastAsia" w:ascii="仿宋_GB2312" w:eastAsia="仿宋_GB2312"/>
          <w:color w:val="auto"/>
          <w:sz w:val="32"/>
          <w:szCs w:val="32"/>
        </w:rPr>
      </w:pPr>
    </w:p>
    <w:p w14:paraId="499255AF">
      <w:pPr>
        <w:pStyle w:val="25"/>
        <w:spacing w:line="560" w:lineRule="exact"/>
        <w:ind w:firstLine="640" w:firstLineChars="200"/>
        <w:rPr>
          <w:rFonts w:hint="eastAsia" w:ascii="仿宋_GB2312" w:eastAsia="仿宋_GB2312"/>
          <w:color w:val="auto"/>
          <w:sz w:val="32"/>
          <w:szCs w:val="32"/>
        </w:rPr>
      </w:pPr>
    </w:p>
    <w:p w14:paraId="49930281">
      <w:pPr>
        <w:pStyle w:val="25"/>
        <w:spacing w:line="560" w:lineRule="exact"/>
        <w:ind w:firstLine="640" w:firstLineChars="200"/>
        <w:rPr>
          <w:rFonts w:hint="eastAsia" w:ascii="仿宋_GB2312" w:eastAsia="仿宋_GB2312"/>
          <w:color w:val="auto"/>
          <w:sz w:val="32"/>
          <w:szCs w:val="32"/>
        </w:rPr>
      </w:pPr>
    </w:p>
    <w:p w14:paraId="65430076">
      <w:pPr>
        <w:pStyle w:val="25"/>
        <w:spacing w:line="560" w:lineRule="exact"/>
        <w:ind w:firstLine="640" w:firstLineChars="200"/>
        <w:rPr>
          <w:rFonts w:hint="eastAsia" w:ascii="仿宋_GB2312" w:eastAsia="仿宋_GB2312"/>
          <w:color w:val="auto"/>
          <w:sz w:val="32"/>
          <w:szCs w:val="32"/>
        </w:rPr>
      </w:pPr>
    </w:p>
    <w:p w14:paraId="2EB55302">
      <w:pPr>
        <w:pStyle w:val="25"/>
        <w:spacing w:line="560" w:lineRule="exact"/>
        <w:ind w:firstLine="640" w:firstLineChars="200"/>
        <w:rPr>
          <w:rFonts w:hint="eastAsia" w:ascii="仿宋_GB2312" w:eastAsia="仿宋_GB2312"/>
          <w:color w:val="auto"/>
          <w:sz w:val="32"/>
          <w:szCs w:val="32"/>
        </w:rPr>
      </w:pPr>
    </w:p>
    <w:p w14:paraId="051D3DE4">
      <w:pPr>
        <w:pStyle w:val="25"/>
        <w:spacing w:line="560" w:lineRule="exact"/>
        <w:ind w:firstLine="640" w:firstLineChars="200"/>
        <w:rPr>
          <w:rFonts w:hint="eastAsia" w:ascii="仿宋_GB2312" w:eastAsia="仿宋_GB2312"/>
          <w:color w:val="auto"/>
          <w:sz w:val="32"/>
          <w:szCs w:val="32"/>
        </w:rPr>
      </w:pPr>
    </w:p>
    <w:p w14:paraId="29BB8B4D">
      <w:pPr>
        <w:pStyle w:val="25"/>
        <w:spacing w:line="560" w:lineRule="exact"/>
        <w:ind w:firstLine="640" w:firstLineChars="200"/>
        <w:rPr>
          <w:rFonts w:hint="eastAsia" w:ascii="仿宋_GB2312" w:eastAsia="仿宋_GB2312"/>
          <w:color w:val="auto"/>
          <w:sz w:val="32"/>
          <w:szCs w:val="32"/>
        </w:rPr>
      </w:pPr>
    </w:p>
    <w:p w14:paraId="7FE0F519">
      <w:pPr>
        <w:pStyle w:val="25"/>
        <w:spacing w:line="560" w:lineRule="exact"/>
        <w:ind w:firstLine="640" w:firstLineChars="200"/>
        <w:rPr>
          <w:rFonts w:hint="eastAsia" w:ascii="仿宋_GB2312" w:eastAsia="仿宋_GB2312"/>
          <w:color w:val="auto"/>
          <w:sz w:val="32"/>
          <w:szCs w:val="32"/>
        </w:rPr>
      </w:pPr>
    </w:p>
    <w:p w14:paraId="20005296">
      <w:pPr>
        <w:pStyle w:val="25"/>
        <w:spacing w:line="560" w:lineRule="exact"/>
        <w:ind w:firstLine="640" w:firstLineChars="200"/>
        <w:rPr>
          <w:rFonts w:hint="eastAsia" w:ascii="仿宋_GB2312" w:eastAsia="仿宋_GB2312"/>
          <w:color w:val="auto"/>
          <w:sz w:val="32"/>
          <w:szCs w:val="32"/>
        </w:rPr>
      </w:pPr>
    </w:p>
    <w:p w14:paraId="4590E471">
      <w:pPr>
        <w:pStyle w:val="25"/>
        <w:spacing w:line="560" w:lineRule="exact"/>
        <w:ind w:firstLine="640" w:firstLineChars="200"/>
        <w:rPr>
          <w:rFonts w:hint="eastAsia" w:ascii="仿宋_GB2312" w:eastAsia="仿宋_GB2312"/>
          <w:color w:val="auto"/>
          <w:sz w:val="32"/>
          <w:szCs w:val="32"/>
        </w:rPr>
      </w:pPr>
    </w:p>
    <w:p w14:paraId="53968AE9">
      <w:pPr>
        <w:spacing w:line="600" w:lineRule="exact"/>
        <w:jc w:val="center"/>
        <w:outlineLvl w:val="0"/>
        <w:rPr>
          <w:rStyle w:val="27"/>
          <w:rFonts w:ascii="黑体" w:hAnsi="黑体" w:eastAsia="黑体"/>
          <w:b w:val="0"/>
        </w:rPr>
      </w:pPr>
      <w:bookmarkStart w:id="73" w:name="_Toc24455"/>
      <w:bookmarkStart w:id="74" w:name="_Toc15396614"/>
      <w:bookmarkStart w:id="75" w:name="_Toc15377226"/>
      <w:r>
        <w:rPr>
          <w:rFonts w:hint="eastAsia" w:ascii="黑体" w:hAnsi="黑体" w:eastAsia="黑体"/>
          <w:sz w:val="44"/>
          <w:szCs w:val="44"/>
        </w:rPr>
        <w:t>第</w:t>
      </w:r>
      <w:r>
        <w:rPr>
          <w:rStyle w:val="27"/>
          <w:rFonts w:hint="eastAsia" w:ascii="黑体" w:hAnsi="黑体" w:eastAsia="黑体"/>
          <w:b w:val="0"/>
        </w:rPr>
        <w:t>四部分 附件</w:t>
      </w:r>
      <w:bookmarkEnd w:id="73"/>
      <w:bookmarkEnd w:id="74"/>
    </w:p>
    <w:p w14:paraId="7F9F9BFC">
      <w:pPr>
        <w:spacing w:line="572" w:lineRule="exact"/>
        <w:jc w:val="left"/>
        <w:outlineLvl w:val="9"/>
        <w:rPr>
          <w:rFonts w:ascii="仿宋_GB2312" w:hAnsi="仿宋_GB2312" w:eastAsia="仿宋_GB2312" w:cs="仿宋_GB2312"/>
          <w:sz w:val="32"/>
          <w:szCs w:val="32"/>
        </w:rPr>
      </w:pPr>
    </w:p>
    <w:p w14:paraId="40DB3E8E">
      <w:pPr>
        <w:spacing w:line="600" w:lineRule="exact"/>
        <w:jc w:val="center"/>
        <w:outlineLvl w:val="1"/>
        <w:rPr>
          <w:rFonts w:ascii="黑体" w:hAnsi="黑体" w:eastAsia="黑体"/>
          <w:color w:val="FF0000"/>
          <w:sz w:val="44"/>
          <w:szCs w:val="44"/>
        </w:rPr>
      </w:pPr>
      <w:bookmarkStart w:id="76" w:name="_Toc24793"/>
      <w:bookmarkStart w:id="77" w:name="_Toc15396618"/>
      <w:r>
        <w:rPr>
          <w:rFonts w:hint="eastAsia"/>
          <w:sz w:val="32"/>
          <w:szCs w:val="32"/>
        </w:rPr>
        <w:t>部门预算项目支出绩效自评表（2023年度）</w:t>
      </w:r>
      <w:bookmarkEnd w:id="76"/>
    </w:p>
    <w:p w14:paraId="5CF4B715">
      <w:pPr>
        <w:pStyle w:val="13"/>
        <w:spacing w:after="0" w:line="240" w:lineRule="auto"/>
        <w:ind w:left="0" w:leftChars="0" w:firstLine="0" w:firstLineChars="0"/>
      </w:pPr>
    </w:p>
    <w:p w14:paraId="6ADAB22A">
      <w:pPr>
        <w:pStyle w:val="13"/>
        <w:spacing w:after="0" w:line="240" w:lineRule="auto"/>
        <w:ind w:left="0" w:leftChars="0" w:firstLine="0" w:firstLineChars="0"/>
      </w:pPr>
    </w:p>
    <w:p w14:paraId="7E9DE125">
      <w:pPr>
        <w:pStyle w:val="13"/>
        <w:spacing w:after="0" w:line="240" w:lineRule="auto"/>
        <w:ind w:left="0" w:leftChars="0" w:firstLine="0" w:firstLineChars="0"/>
      </w:pPr>
      <w:r>
        <w:drawing>
          <wp:inline distT="0" distB="0" distL="114300" distR="114300">
            <wp:extent cx="5266055" cy="7240905"/>
            <wp:effectExtent l="0" t="0" r="10795" b="17145"/>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3"/>
                    <a:stretch>
                      <a:fillRect/>
                    </a:stretch>
                  </pic:blipFill>
                  <pic:spPr>
                    <a:xfrm>
                      <a:off x="0" y="0"/>
                      <a:ext cx="5266055" cy="7240905"/>
                    </a:xfrm>
                    <a:prstGeom prst="rect">
                      <a:avLst/>
                    </a:prstGeom>
                    <a:noFill/>
                    <a:ln>
                      <a:noFill/>
                    </a:ln>
                  </pic:spPr>
                </pic:pic>
              </a:graphicData>
            </a:graphic>
          </wp:inline>
        </w:drawing>
      </w:r>
    </w:p>
    <w:p w14:paraId="2954756E">
      <w:pPr>
        <w:pStyle w:val="13"/>
        <w:spacing w:after="0" w:line="240" w:lineRule="auto"/>
        <w:ind w:left="0" w:leftChars="0" w:firstLine="0" w:firstLineChars="0"/>
      </w:pPr>
    </w:p>
    <w:p w14:paraId="35FECCBA">
      <w:pPr>
        <w:pStyle w:val="13"/>
        <w:spacing w:after="0" w:line="240" w:lineRule="auto"/>
        <w:ind w:left="0" w:leftChars="0" w:firstLine="0" w:firstLineChars="0"/>
      </w:pPr>
      <w:r>
        <w:drawing>
          <wp:inline distT="0" distB="0" distL="114300" distR="114300">
            <wp:extent cx="5266055" cy="7334250"/>
            <wp:effectExtent l="0" t="0" r="10795"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4"/>
                    <a:stretch>
                      <a:fillRect/>
                    </a:stretch>
                  </pic:blipFill>
                  <pic:spPr>
                    <a:xfrm>
                      <a:off x="0" y="0"/>
                      <a:ext cx="5266055" cy="7334250"/>
                    </a:xfrm>
                    <a:prstGeom prst="rect">
                      <a:avLst/>
                    </a:prstGeom>
                    <a:noFill/>
                    <a:ln>
                      <a:noFill/>
                    </a:ln>
                  </pic:spPr>
                </pic:pic>
              </a:graphicData>
            </a:graphic>
          </wp:inline>
        </w:drawing>
      </w:r>
    </w:p>
    <w:p w14:paraId="5729336B">
      <w:pPr>
        <w:pStyle w:val="13"/>
        <w:spacing w:after="0" w:line="240" w:lineRule="auto"/>
        <w:ind w:left="0" w:leftChars="0" w:firstLine="0" w:firstLineChars="0"/>
      </w:pPr>
      <w:r>
        <w:drawing>
          <wp:inline distT="0" distB="0" distL="114300" distR="114300">
            <wp:extent cx="5267960" cy="8593455"/>
            <wp:effectExtent l="0" t="0" r="8890" b="1714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15"/>
                    <a:stretch>
                      <a:fillRect/>
                    </a:stretch>
                  </pic:blipFill>
                  <pic:spPr>
                    <a:xfrm>
                      <a:off x="0" y="0"/>
                      <a:ext cx="5267960" cy="8593455"/>
                    </a:xfrm>
                    <a:prstGeom prst="rect">
                      <a:avLst/>
                    </a:prstGeom>
                    <a:noFill/>
                    <a:ln>
                      <a:noFill/>
                    </a:ln>
                  </pic:spPr>
                </pic:pic>
              </a:graphicData>
            </a:graphic>
          </wp:inline>
        </w:drawing>
      </w:r>
    </w:p>
    <w:p w14:paraId="3835ADAF">
      <w:pPr>
        <w:pStyle w:val="13"/>
        <w:spacing w:after="0" w:line="240" w:lineRule="auto"/>
        <w:ind w:left="0" w:leftChars="0" w:firstLine="0" w:firstLineChars="0"/>
      </w:pPr>
    </w:p>
    <w:p w14:paraId="6D327FF1">
      <w:pPr>
        <w:pStyle w:val="13"/>
        <w:spacing w:after="0" w:line="240" w:lineRule="auto"/>
        <w:ind w:left="0" w:leftChars="0" w:firstLine="0" w:firstLineChars="0"/>
      </w:pPr>
      <w:r>
        <w:drawing>
          <wp:inline distT="0" distB="0" distL="114300" distR="114300">
            <wp:extent cx="5266055" cy="7061200"/>
            <wp:effectExtent l="0" t="0" r="10795" b="6350"/>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16"/>
                    <a:stretch>
                      <a:fillRect/>
                    </a:stretch>
                  </pic:blipFill>
                  <pic:spPr>
                    <a:xfrm>
                      <a:off x="0" y="0"/>
                      <a:ext cx="5266055" cy="7061200"/>
                    </a:xfrm>
                    <a:prstGeom prst="rect">
                      <a:avLst/>
                    </a:prstGeom>
                    <a:noFill/>
                    <a:ln>
                      <a:noFill/>
                    </a:ln>
                  </pic:spPr>
                </pic:pic>
              </a:graphicData>
            </a:graphic>
          </wp:inline>
        </w:drawing>
      </w:r>
    </w:p>
    <w:p w14:paraId="245E92B6">
      <w:pPr>
        <w:pStyle w:val="13"/>
        <w:spacing w:after="0" w:line="240" w:lineRule="auto"/>
        <w:ind w:left="0" w:leftChars="0" w:firstLine="0" w:firstLineChars="0"/>
      </w:pPr>
    </w:p>
    <w:p w14:paraId="0CE963BB">
      <w:pPr>
        <w:pStyle w:val="13"/>
        <w:spacing w:after="0" w:line="240" w:lineRule="auto"/>
        <w:ind w:left="0" w:leftChars="0" w:firstLine="0" w:firstLineChars="0"/>
      </w:pPr>
      <w:r>
        <w:drawing>
          <wp:inline distT="0" distB="0" distL="114300" distR="114300">
            <wp:extent cx="5266055" cy="5800725"/>
            <wp:effectExtent l="0" t="0" r="10795" b="9525"/>
            <wp:docPr id="2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
                    <pic:cNvPicPr>
                      <a:picLocks noChangeAspect="1"/>
                    </pic:cNvPicPr>
                  </pic:nvPicPr>
                  <pic:blipFill>
                    <a:blip r:embed="rId17"/>
                    <a:stretch>
                      <a:fillRect/>
                    </a:stretch>
                  </pic:blipFill>
                  <pic:spPr>
                    <a:xfrm>
                      <a:off x="0" y="0"/>
                      <a:ext cx="5266055" cy="5800725"/>
                    </a:xfrm>
                    <a:prstGeom prst="rect">
                      <a:avLst/>
                    </a:prstGeom>
                    <a:noFill/>
                    <a:ln>
                      <a:noFill/>
                    </a:ln>
                  </pic:spPr>
                </pic:pic>
              </a:graphicData>
            </a:graphic>
          </wp:inline>
        </w:drawing>
      </w:r>
    </w:p>
    <w:p w14:paraId="50F7E3F4">
      <w:pPr>
        <w:pStyle w:val="13"/>
        <w:spacing w:after="0" w:line="240" w:lineRule="auto"/>
        <w:ind w:left="0" w:leftChars="0" w:firstLine="0" w:firstLineChars="0"/>
      </w:pPr>
    </w:p>
    <w:p w14:paraId="2B286857">
      <w:pPr>
        <w:pStyle w:val="13"/>
        <w:spacing w:after="0" w:line="240" w:lineRule="auto"/>
        <w:ind w:left="0" w:leftChars="0" w:firstLine="0" w:firstLineChars="0"/>
      </w:pPr>
    </w:p>
    <w:p w14:paraId="5A4D6773">
      <w:pPr>
        <w:pStyle w:val="13"/>
        <w:spacing w:after="0" w:line="240" w:lineRule="auto"/>
        <w:ind w:left="0" w:leftChars="0" w:firstLine="0" w:firstLineChars="0"/>
      </w:pPr>
      <w:r>
        <w:drawing>
          <wp:inline distT="0" distB="0" distL="114300" distR="114300">
            <wp:extent cx="5271135" cy="7265035"/>
            <wp:effectExtent l="0" t="0" r="5715" b="12065"/>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pic:cNvPicPr>
                      <a:picLocks noChangeAspect="1"/>
                    </pic:cNvPicPr>
                  </pic:nvPicPr>
                  <pic:blipFill>
                    <a:blip r:embed="rId18"/>
                    <a:stretch>
                      <a:fillRect/>
                    </a:stretch>
                  </pic:blipFill>
                  <pic:spPr>
                    <a:xfrm>
                      <a:off x="0" y="0"/>
                      <a:ext cx="5271135" cy="7265035"/>
                    </a:xfrm>
                    <a:prstGeom prst="rect">
                      <a:avLst/>
                    </a:prstGeom>
                    <a:noFill/>
                    <a:ln>
                      <a:noFill/>
                    </a:ln>
                  </pic:spPr>
                </pic:pic>
              </a:graphicData>
            </a:graphic>
          </wp:inline>
        </w:drawing>
      </w:r>
    </w:p>
    <w:p w14:paraId="599FBA84">
      <w:pPr>
        <w:pStyle w:val="13"/>
        <w:spacing w:after="0" w:line="240" w:lineRule="auto"/>
        <w:ind w:left="0" w:leftChars="0" w:firstLine="0" w:firstLineChars="0"/>
      </w:pPr>
    </w:p>
    <w:p w14:paraId="7C5A90D0">
      <w:pPr>
        <w:pStyle w:val="13"/>
        <w:spacing w:after="0" w:line="240" w:lineRule="auto"/>
        <w:ind w:left="0" w:leftChars="0" w:firstLine="0" w:firstLineChars="0"/>
      </w:pPr>
    </w:p>
    <w:p w14:paraId="4FDA6B9B">
      <w:pPr>
        <w:pStyle w:val="13"/>
        <w:spacing w:after="0" w:line="240" w:lineRule="auto"/>
        <w:ind w:left="0" w:leftChars="0" w:firstLine="0" w:firstLineChars="0"/>
      </w:pPr>
    </w:p>
    <w:p w14:paraId="7337ECBE">
      <w:pPr>
        <w:pStyle w:val="13"/>
        <w:spacing w:after="0" w:line="240" w:lineRule="auto"/>
        <w:ind w:left="0" w:leftChars="0" w:firstLine="0" w:firstLineChars="0"/>
      </w:pPr>
    </w:p>
    <w:p w14:paraId="15A17437">
      <w:pPr>
        <w:pStyle w:val="13"/>
        <w:spacing w:after="0" w:line="240" w:lineRule="auto"/>
        <w:ind w:left="0" w:leftChars="0" w:firstLine="0" w:firstLineChars="0"/>
      </w:pPr>
    </w:p>
    <w:p w14:paraId="2104A8BE">
      <w:pPr>
        <w:pStyle w:val="13"/>
        <w:spacing w:after="0" w:line="240" w:lineRule="auto"/>
        <w:ind w:left="0" w:leftChars="0" w:firstLine="0" w:firstLineChars="0"/>
      </w:pPr>
    </w:p>
    <w:p w14:paraId="2BEC7D5B">
      <w:pPr>
        <w:pStyle w:val="13"/>
        <w:spacing w:after="0" w:line="240" w:lineRule="auto"/>
        <w:ind w:left="0" w:leftChars="0" w:firstLine="0" w:firstLineChars="0"/>
      </w:pPr>
    </w:p>
    <w:p w14:paraId="6068B566">
      <w:pPr>
        <w:pStyle w:val="13"/>
        <w:spacing w:after="0" w:line="240" w:lineRule="auto"/>
        <w:ind w:left="0" w:leftChars="0" w:firstLine="0" w:firstLineChars="0"/>
      </w:pPr>
      <w:r>
        <w:drawing>
          <wp:inline distT="0" distB="0" distL="114300" distR="114300">
            <wp:extent cx="5266055" cy="7334250"/>
            <wp:effectExtent l="0" t="0" r="10795" b="0"/>
            <wp:docPr id="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pic:cNvPicPr>
                      <a:picLocks noChangeAspect="1"/>
                    </pic:cNvPicPr>
                  </pic:nvPicPr>
                  <pic:blipFill>
                    <a:blip r:embed="rId19"/>
                    <a:stretch>
                      <a:fillRect/>
                    </a:stretch>
                  </pic:blipFill>
                  <pic:spPr>
                    <a:xfrm>
                      <a:off x="0" y="0"/>
                      <a:ext cx="5266055" cy="7334250"/>
                    </a:xfrm>
                    <a:prstGeom prst="rect">
                      <a:avLst/>
                    </a:prstGeom>
                    <a:noFill/>
                    <a:ln>
                      <a:noFill/>
                    </a:ln>
                  </pic:spPr>
                </pic:pic>
              </a:graphicData>
            </a:graphic>
          </wp:inline>
        </w:drawing>
      </w:r>
    </w:p>
    <w:p w14:paraId="42E6C233">
      <w:pPr>
        <w:pStyle w:val="13"/>
        <w:spacing w:after="0" w:line="240" w:lineRule="auto"/>
        <w:ind w:left="0" w:leftChars="0" w:firstLine="0" w:firstLineChars="0"/>
      </w:pPr>
    </w:p>
    <w:p w14:paraId="0B3900D6">
      <w:pPr>
        <w:pStyle w:val="13"/>
        <w:spacing w:after="0" w:line="240" w:lineRule="auto"/>
        <w:ind w:left="0" w:leftChars="0" w:firstLine="0" w:firstLineChars="0"/>
      </w:pPr>
      <w:r>
        <w:drawing>
          <wp:inline distT="0" distB="0" distL="114300" distR="114300">
            <wp:extent cx="5271135" cy="7704455"/>
            <wp:effectExtent l="0" t="0" r="5715" b="10795"/>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20"/>
                    <a:stretch>
                      <a:fillRect/>
                    </a:stretch>
                  </pic:blipFill>
                  <pic:spPr>
                    <a:xfrm>
                      <a:off x="0" y="0"/>
                      <a:ext cx="5271135" cy="7704455"/>
                    </a:xfrm>
                    <a:prstGeom prst="rect">
                      <a:avLst/>
                    </a:prstGeom>
                    <a:noFill/>
                    <a:ln>
                      <a:noFill/>
                    </a:ln>
                  </pic:spPr>
                </pic:pic>
              </a:graphicData>
            </a:graphic>
          </wp:inline>
        </w:drawing>
      </w:r>
    </w:p>
    <w:p w14:paraId="779FACD5">
      <w:pPr>
        <w:pStyle w:val="13"/>
        <w:spacing w:line="560" w:lineRule="exact"/>
        <w:ind w:left="0" w:leftChars="0" w:firstLine="640"/>
        <w:rPr>
          <w:rFonts w:hAnsi="Calibri" w:eastAsia="仿宋_GB2312" w:cs="仿宋"/>
          <w:sz w:val="32"/>
          <w:lang w:val="zh-CN"/>
        </w:rPr>
      </w:pPr>
    </w:p>
    <w:p w14:paraId="0784CDB7">
      <w:pPr>
        <w:pStyle w:val="5"/>
        <w:spacing w:before="93"/>
        <w:rPr>
          <w:rFonts w:hAnsi="Calibri" w:cs="仿宋"/>
          <w:sz w:val="32"/>
          <w:szCs w:val="32"/>
        </w:rPr>
      </w:pPr>
    </w:p>
    <w:p w14:paraId="3449112C">
      <w:pPr>
        <w:spacing w:line="600" w:lineRule="exact"/>
        <w:jc w:val="center"/>
        <w:outlineLvl w:val="0"/>
        <w:rPr>
          <w:rFonts w:ascii="仿宋" w:hAnsi="仿宋" w:eastAsia="仿宋"/>
        </w:rPr>
      </w:pPr>
      <w:bookmarkStart w:id="78" w:name="_Toc7736"/>
      <w:r>
        <w:rPr>
          <w:rFonts w:hint="eastAsia" w:ascii="黑体" w:hAnsi="黑体" w:eastAsia="黑体"/>
          <w:sz w:val="44"/>
          <w:szCs w:val="44"/>
        </w:rPr>
        <w:t>第</w:t>
      </w:r>
      <w:r>
        <w:rPr>
          <w:rStyle w:val="27"/>
          <w:rFonts w:hint="eastAsia" w:ascii="黑体" w:hAnsi="黑体" w:eastAsia="黑体"/>
          <w:b w:val="0"/>
        </w:rPr>
        <w:t>五部分 附表</w:t>
      </w:r>
      <w:bookmarkEnd w:id="75"/>
      <w:bookmarkEnd w:id="77"/>
      <w:bookmarkEnd w:id="78"/>
      <w:bookmarkStart w:id="79" w:name="_Toc15396619"/>
    </w:p>
    <w:p w14:paraId="290E87A8">
      <w:pPr>
        <w:pStyle w:val="3"/>
        <w:rPr>
          <w:rFonts w:ascii="仿宋" w:hAnsi="仿宋" w:eastAsia="仿宋"/>
        </w:rPr>
      </w:pPr>
      <w:bookmarkStart w:id="80" w:name="_Toc3148"/>
      <w:r>
        <w:rPr>
          <w:rFonts w:hint="eastAsia" w:ascii="仿宋" w:hAnsi="仿宋" w:eastAsia="仿宋"/>
          <w:b w:val="0"/>
        </w:rPr>
        <w:t>一、收</w:t>
      </w:r>
      <w:r>
        <w:rPr>
          <w:rStyle w:val="28"/>
          <w:rFonts w:hint="eastAsia" w:ascii="仿宋" w:hAnsi="仿宋" w:eastAsia="仿宋"/>
          <w:b w:val="0"/>
          <w:bCs w:val="0"/>
        </w:rPr>
        <w:t>入支出决算总表</w:t>
      </w:r>
      <w:bookmarkEnd w:id="79"/>
      <w:bookmarkEnd w:id="80"/>
    </w:p>
    <w:p w14:paraId="1ABCDD73">
      <w:pPr>
        <w:pStyle w:val="3"/>
        <w:rPr>
          <w:rFonts w:ascii="仿宋" w:hAnsi="仿宋" w:eastAsia="仿宋"/>
        </w:rPr>
      </w:pPr>
      <w:bookmarkStart w:id="81" w:name="_Toc15396620"/>
      <w:bookmarkStart w:id="82" w:name="_Toc20715"/>
      <w:r>
        <w:rPr>
          <w:rFonts w:hint="eastAsia" w:ascii="仿宋" w:hAnsi="仿宋" w:eastAsia="仿宋"/>
          <w:b w:val="0"/>
        </w:rPr>
        <w:t>二、收</w:t>
      </w:r>
      <w:r>
        <w:rPr>
          <w:rStyle w:val="28"/>
          <w:rFonts w:hint="eastAsia" w:ascii="仿宋" w:hAnsi="仿宋" w:eastAsia="仿宋"/>
          <w:b w:val="0"/>
          <w:bCs w:val="0"/>
        </w:rPr>
        <w:t>入决算表</w:t>
      </w:r>
      <w:bookmarkEnd w:id="81"/>
      <w:bookmarkEnd w:id="82"/>
    </w:p>
    <w:p w14:paraId="6A759F36">
      <w:pPr>
        <w:pStyle w:val="3"/>
        <w:rPr>
          <w:rFonts w:ascii="仿宋" w:hAnsi="仿宋" w:eastAsia="仿宋"/>
        </w:rPr>
      </w:pPr>
      <w:bookmarkStart w:id="83" w:name="_Toc4650"/>
      <w:bookmarkStart w:id="84"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83"/>
      <w:bookmarkEnd w:id="84"/>
    </w:p>
    <w:p w14:paraId="7B24558B">
      <w:pPr>
        <w:pStyle w:val="3"/>
        <w:rPr>
          <w:rFonts w:ascii="仿宋" w:hAnsi="仿宋" w:eastAsia="仿宋"/>
          <w:b w:val="0"/>
        </w:rPr>
      </w:pPr>
      <w:bookmarkStart w:id="85" w:name="_Toc15396622"/>
      <w:bookmarkStart w:id="86" w:name="_Toc11778"/>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85"/>
      <w:bookmarkEnd w:id="86"/>
    </w:p>
    <w:p w14:paraId="6BEA0ACB">
      <w:pPr>
        <w:pStyle w:val="3"/>
        <w:rPr>
          <w:rStyle w:val="28"/>
          <w:rFonts w:ascii="仿宋" w:hAnsi="仿宋" w:eastAsia="仿宋"/>
          <w:b w:val="0"/>
          <w:bCs w:val="0"/>
        </w:rPr>
      </w:pPr>
      <w:bookmarkStart w:id="87" w:name="_Toc21741"/>
      <w:bookmarkStart w:id="8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87"/>
      <w:bookmarkEnd w:id="88"/>
      <w:bookmarkStart w:id="89" w:name="_Toc15396624"/>
    </w:p>
    <w:p w14:paraId="5CBF3BE8">
      <w:pPr>
        <w:pStyle w:val="3"/>
        <w:rPr>
          <w:rFonts w:ascii="仿宋" w:hAnsi="仿宋" w:eastAsia="仿宋"/>
        </w:rPr>
      </w:pPr>
      <w:bookmarkStart w:id="90" w:name="_Toc25926"/>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89"/>
      <w:bookmarkEnd w:id="90"/>
    </w:p>
    <w:p w14:paraId="43574707">
      <w:pPr>
        <w:pStyle w:val="3"/>
        <w:rPr>
          <w:rFonts w:ascii="仿宋" w:hAnsi="仿宋" w:eastAsia="仿宋"/>
        </w:rPr>
      </w:pPr>
      <w:bookmarkStart w:id="91" w:name="_Toc15396625"/>
      <w:bookmarkStart w:id="92" w:name="_Toc1953"/>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91"/>
      <w:bookmarkEnd w:id="92"/>
    </w:p>
    <w:p w14:paraId="5D0E39BB">
      <w:pPr>
        <w:pStyle w:val="3"/>
        <w:rPr>
          <w:rFonts w:ascii="仿宋" w:hAnsi="仿宋" w:eastAsia="仿宋"/>
        </w:rPr>
      </w:pPr>
      <w:bookmarkStart w:id="93" w:name="_Toc15396626"/>
      <w:bookmarkStart w:id="94" w:name="_Toc15952"/>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93"/>
      <w:bookmarkEnd w:id="94"/>
    </w:p>
    <w:p w14:paraId="7FD26789">
      <w:pPr>
        <w:pStyle w:val="3"/>
        <w:rPr>
          <w:rFonts w:ascii="仿宋" w:hAnsi="仿宋" w:eastAsia="仿宋"/>
        </w:rPr>
      </w:pPr>
      <w:bookmarkStart w:id="95" w:name="_Toc15396627"/>
      <w:bookmarkStart w:id="96" w:name="_Toc14641"/>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95"/>
      <w:bookmarkEnd w:id="96"/>
    </w:p>
    <w:p w14:paraId="5BCE1112">
      <w:pPr>
        <w:pStyle w:val="3"/>
        <w:rPr>
          <w:rFonts w:ascii="仿宋" w:hAnsi="仿宋" w:eastAsia="仿宋"/>
        </w:rPr>
      </w:pPr>
      <w:bookmarkStart w:id="97" w:name="_Toc15396628"/>
      <w:bookmarkStart w:id="98" w:name="_Toc17201"/>
      <w:r>
        <w:rPr>
          <w:rStyle w:val="28"/>
          <w:rFonts w:hint="eastAsia" w:ascii="仿宋" w:hAnsi="仿宋" w:eastAsia="仿宋"/>
          <w:b w:val="0"/>
          <w:bCs w:val="0"/>
        </w:rPr>
        <w:t>十、</w:t>
      </w:r>
      <w:bookmarkEnd w:id="97"/>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98"/>
    </w:p>
    <w:p w14:paraId="3F601C8E">
      <w:pPr>
        <w:pStyle w:val="3"/>
        <w:rPr>
          <w:rFonts w:ascii="仿宋" w:hAnsi="仿宋" w:eastAsia="仿宋"/>
        </w:rPr>
      </w:pPr>
      <w:bookmarkStart w:id="99" w:name="_Toc15396629"/>
      <w:bookmarkStart w:id="100" w:name="_Toc28410"/>
      <w:r>
        <w:rPr>
          <w:rStyle w:val="28"/>
          <w:rFonts w:hint="eastAsia" w:ascii="仿宋" w:hAnsi="仿宋" w:eastAsia="仿宋"/>
          <w:b w:val="0"/>
          <w:bCs w:val="0"/>
        </w:rPr>
        <w:t>十一、</w:t>
      </w:r>
      <w:bookmarkEnd w:id="99"/>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00"/>
    </w:p>
    <w:p w14:paraId="0A4E6029">
      <w:pPr>
        <w:pStyle w:val="3"/>
        <w:rPr>
          <w:rFonts w:ascii="仿宋" w:hAnsi="仿宋" w:eastAsia="仿宋"/>
        </w:rPr>
      </w:pPr>
      <w:bookmarkStart w:id="101" w:name="_Toc15396630"/>
      <w:bookmarkStart w:id="102" w:name="_Toc8501"/>
      <w:r>
        <w:rPr>
          <w:rStyle w:val="28"/>
          <w:rFonts w:hint="eastAsia" w:ascii="仿宋" w:hAnsi="仿宋" w:eastAsia="仿宋"/>
          <w:b w:val="0"/>
          <w:bCs w:val="0"/>
        </w:rPr>
        <w:t>十二、</w:t>
      </w:r>
      <w:bookmarkEnd w:id="101"/>
      <w:r>
        <w:rPr>
          <w:rStyle w:val="28"/>
          <w:rFonts w:hint="eastAsia" w:ascii="仿宋" w:hAnsi="仿宋" w:eastAsia="仿宋"/>
          <w:b w:val="0"/>
          <w:bCs w:val="0"/>
        </w:rPr>
        <w:t>国有资本经营预算财政拨款支出决算表</w:t>
      </w:r>
      <w:bookmarkEnd w:id="102"/>
    </w:p>
    <w:p w14:paraId="1713EE1E">
      <w:pPr>
        <w:pStyle w:val="3"/>
        <w:rPr>
          <w:rFonts w:eastAsia="仿宋"/>
        </w:rPr>
      </w:pPr>
      <w:bookmarkStart w:id="103" w:name="_Toc15396631"/>
      <w:bookmarkStart w:id="104" w:name="_Toc28907"/>
      <w:r>
        <w:rPr>
          <w:rStyle w:val="28"/>
          <w:rFonts w:hint="eastAsia" w:ascii="仿宋" w:hAnsi="仿宋" w:eastAsia="仿宋"/>
          <w:b w:val="0"/>
          <w:bCs w:val="0"/>
        </w:rPr>
        <w:t>十三、</w:t>
      </w:r>
      <w:bookmarkEnd w:id="103"/>
      <w:r>
        <w:rPr>
          <w:rStyle w:val="28"/>
          <w:rFonts w:hint="eastAsia" w:ascii="仿宋" w:hAnsi="仿宋" w:eastAsia="仿宋"/>
          <w:b w:val="0"/>
          <w:bCs w:val="0"/>
        </w:rPr>
        <w:t>财政拨款“三公”经费支出决算表</w:t>
      </w:r>
      <w:bookmarkEnd w:id="10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1F9B7A-169A-4DFF-8ED8-C74949C797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B425719-9D7A-416C-9EBE-4CB15E6D19BB}"/>
  </w:font>
  <w:font w:name="仿宋">
    <w:panose1 w:val="02010609060101010101"/>
    <w:charset w:val="86"/>
    <w:family w:val="modern"/>
    <w:pitch w:val="default"/>
    <w:sig w:usb0="800002BF" w:usb1="38CF7CFA" w:usb2="00000016" w:usb3="00000000" w:csb0="00040001" w:csb1="00000000"/>
    <w:embedRegular r:id="rId3" w:fontKey="{4BBB8D5F-03A6-4213-9225-F38805068174}"/>
  </w:font>
  <w:font w:name="Cambria">
    <w:panose1 w:val="02040503050406030204"/>
    <w:charset w:val="00"/>
    <w:family w:val="roman"/>
    <w:pitch w:val="default"/>
    <w:sig w:usb0="E00002FF" w:usb1="400004FF" w:usb2="00000000" w:usb3="00000000" w:csb0="2000019F" w:csb1="00000000"/>
    <w:embedRegular r:id="rId4" w:fontKey="{C2A95C83-B8BF-48BC-A082-65B13979BDBA}"/>
  </w:font>
  <w:font w:name="仿宋_GB2312">
    <w:panose1 w:val="02010609030101010101"/>
    <w:charset w:val="86"/>
    <w:family w:val="auto"/>
    <w:pitch w:val="default"/>
    <w:sig w:usb0="00000001" w:usb1="080E0000" w:usb2="00000000" w:usb3="00000000" w:csb0="00040000" w:csb1="00000000"/>
    <w:embedRegular r:id="rId5" w:fontKey="{A4FE51D7-AAD2-4285-B911-63E0A184E7C5}"/>
  </w:font>
  <w:font w:name="方正小标宋简体">
    <w:panose1 w:val="02000000000000000000"/>
    <w:charset w:val="86"/>
    <w:family w:val="script"/>
    <w:pitch w:val="default"/>
    <w:sig w:usb0="00000001" w:usb1="080E0000" w:usb2="00000000" w:usb3="00000000" w:csb0="00040000" w:csb1="00000000"/>
    <w:embedRegular r:id="rId6" w:fontKey="{BAD75FA3-3A97-4414-BF3B-8304F710C4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02D0FD0">
        <w:pPr>
          <w:pStyle w:val="9"/>
          <w:jc w:val="center"/>
        </w:pPr>
        <w:r>
          <w:fldChar w:fldCharType="begin"/>
        </w:r>
        <w:r>
          <w:instrText xml:space="preserve">PAGE   \* MERGEFORMAT</w:instrText>
        </w:r>
        <w:r>
          <w:fldChar w:fldCharType="separate"/>
        </w:r>
        <w:r>
          <w:rPr>
            <w:lang w:val="zh-CN"/>
          </w:rPr>
          <w:t>15</w:t>
        </w:r>
        <w:r>
          <w:fldChar w:fldCharType="end"/>
        </w:r>
      </w:p>
    </w:sdtContent>
  </w:sdt>
  <w:p w14:paraId="2631FB90">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2C103">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1B5F"/>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4BC6F0E"/>
    <w:rsid w:val="081B5E94"/>
    <w:rsid w:val="084F2012"/>
    <w:rsid w:val="08695DDD"/>
    <w:rsid w:val="0A2032A3"/>
    <w:rsid w:val="0B8A37D8"/>
    <w:rsid w:val="0EB731A5"/>
    <w:rsid w:val="0F5FFB2F"/>
    <w:rsid w:val="0F861C5F"/>
    <w:rsid w:val="0FFFCF60"/>
    <w:rsid w:val="10C055FF"/>
    <w:rsid w:val="118107EC"/>
    <w:rsid w:val="11DD6519"/>
    <w:rsid w:val="16BB723D"/>
    <w:rsid w:val="18015F3F"/>
    <w:rsid w:val="1BE8440E"/>
    <w:rsid w:val="1C5C0C34"/>
    <w:rsid w:val="1D155CEE"/>
    <w:rsid w:val="1DFA6EC3"/>
    <w:rsid w:val="1FDBBF84"/>
    <w:rsid w:val="20136F69"/>
    <w:rsid w:val="20F57F95"/>
    <w:rsid w:val="21561052"/>
    <w:rsid w:val="21BF1BEC"/>
    <w:rsid w:val="240371BF"/>
    <w:rsid w:val="25711CC6"/>
    <w:rsid w:val="25C741E6"/>
    <w:rsid w:val="276F80C0"/>
    <w:rsid w:val="27842671"/>
    <w:rsid w:val="29FD04D3"/>
    <w:rsid w:val="2ABE7A3E"/>
    <w:rsid w:val="2AFF09B6"/>
    <w:rsid w:val="2CA234A8"/>
    <w:rsid w:val="2E753889"/>
    <w:rsid w:val="2EFA178C"/>
    <w:rsid w:val="2EFDF86C"/>
    <w:rsid w:val="2F9D17E1"/>
    <w:rsid w:val="30B46D73"/>
    <w:rsid w:val="319F7F4E"/>
    <w:rsid w:val="356A28F1"/>
    <w:rsid w:val="357C035A"/>
    <w:rsid w:val="368E000D"/>
    <w:rsid w:val="379A4490"/>
    <w:rsid w:val="383D272C"/>
    <w:rsid w:val="39AE70AB"/>
    <w:rsid w:val="3A4DCE41"/>
    <w:rsid w:val="3B224AFC"/>
    <w:rsid w:val="3BCB56FA"/>
    <w:rsid w:val="3C0C0783"/>
    <w:rsid w:val="3EE7C2F4"/>
    <w:rsid w:val="3F371B56"/>
    <w:rsid w:val="3F792ED8"/>
    <w:rsid w:val="3F9F3A96"/>
    <w:rsid w:val="3FECA4B2"/>
    <w:rsid w:val="3FF58C48"/>
    <w:rsid w:val="417E1AA1"/>
    <w:rsid w:val="421C32DE"/>
    <w:rsid w:val="42FF6694"/>
    <w:rsid w:val="46D246E6"/>
    <w:rsid w:val="48BF60AB"/>
    <w:rsid w:val="493C27E9"/>
    <w:rsid w:val="496F39ED"/>
    <w:rsid w:val="49FF41D3"/>
    <w:rsid w:val="4BE068DB"/>
    <w:rsid w:val="4BF6002B"/>
    <w:rsid w:val="4BFFC6BE"/>
    <w:rsid w:val="4CD929E2"/>
    <w:rsid w:val="4ECE2238"/>
    <w:rsid w:val="51DB4B86"/>
    <w:rsid w:val="51F64DB0"/>
    <w:rsid w:val="527D3E32"/>
    <w:rsid w:val="55083B64"/>
    <w:rsid w:val="55333C3E"/>
    <w:rsid w:val="55985892"/>
    <w:rsid w:val="56823B53"/>
    <w:rsid w:val="5C9F3694"/>
    <w:rsid w:val="5F67802D"/>
    <w:rsid w:val="5F7DC4F2"/>
    <w:rsid w:val="5FB36814"/>
    <w:rsid w:val="5FBB8E56"/>
    <w:rsid w:val="5FFB5535"/>
    <w:rsid w:val="62C528E0"/>
    <w:rsid w:val="649F4E3F"/>
    <w:rsid w:val="64CA39A1"/>
    <w:rsid w:val="68B24209"/>
    <w:rsid w:val="690C2577"/>
    <w:rsid w:val="69630ADE"/>
    <w:rsid w:val="69BD5F13"/>
    <w:rsid w:val="69FB0B4B"/>
    <w:rsid w:val="6BFFE1FB"/>
    <w:rsid w:val="6C4A05C8"/>
    <w:rsid w:val="6D3B1A89"/>
    <w:rsid w:val="6DB7D8A3"/>
    <w:rsid w:val="6EC78701"/>
    <w:rsid w:val="6F7A5481"/>
    <w:rsid w:val="6FFE07A9"/>
    <w:rsid w:val="7169623E"/>
    <w:rsid w:val="71BF4EC2"/>
    <w:rsid w:val="72734D90"/>
    <w:rsid w:val="72EB378B"/>
    <w:rsid w:val="73E75B71"/>
    <w:rsid w:val="7412278C"/>
    <w:rsid w:val="75DDCDA9"/>
    <w:rsid w:val="75FF44B1"/>
    <w:rsid w:val="77670518"/>
    <w:rsid w:val="777FA627"/>
    <w:rsid w:val="77DF1B5F"/>
    <w:rsid w:val="77EF2D9D"/>
    <w:rsid w:val="79D925A7"/>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6576</Words>
  <Characters>7158</Characters>
  <Lines>54</Lines>
  <Paragraphs>15</Paragraphs>
  <TotalTime>5</TotalTime>
  <ScaleCrop>false</ScaleCrop>
  <LinksUpToDate>false</LinksUpToDate>
  <CharactersWithSpaces>7275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2024-10-18T04:02:16Z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4A897E2256A74E6A8B5BFF321C6EC1BE_12</vt:lpwstr>
  </property>
</Properties>
</file>