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8CEA9">
      <w:pPr>
        <w:spacing w:line="600" w:lineRule="exact"/>
        <w:jc w:val="center"/>
        <w:outlineLvl w:val="9"/>
        <w:rPr>
          <w:rFonts w:ascii="方正小标宋简体" w:hAnsi="宋体" w:eastAsia="方正小标宋简体"/>
          <w:sz w:val="72"/>
          <w:szCs w:val="72"/>
        </w:rPr>
      </w:pPr>
      <w:bookmarkStart w:id="0" w:name="_Toc15377425"/>
      <w:bookmarkStart w:id="1" w:name="_Toc15378441"/>
      <w:bookmarkStart w:id="2" w:name="_Toc15396475"/>
      <w:bookmarkStart w:id="3" w:name="_Toc15396597"/>
      <w:bookmarkStart w:id="4" w:name="_Toc15377193"/>
      <w:bookmarkStart w:id="5" w:name="_Toc15306267"/>
    </w:p>
    <w:p w14:paraId="06B691E3">
      <w:pPr>
        <w:pStyle w:val="6"/>
        <w:spacing w:before="93"/>
      </w:pPr>
    </w:p>
    <w:p w14:paraId="09EECEF9">
      <w:pPr>
        <w:spacing w:line="600" w:lineRule="exact"/>
        <w:jc w:val="center"/>
        <w:outlineLvl w:val="9"/>
        <w:rPr>
          <w:rFonts w:ascii="方正小标宋简体" w:hAnsi="宋体" w:eastAsia="方正小标宋简体"/>
          <w:sz w:val="72"/>
          <w:szCs w:val="72"/>
        </w:rPr>
      </w:pPr>
    </w:p>
    <w:p w14:paraId="617A8359">
      <w:pPr>
        <w:spacing w:line="600" w:lineRule="exact"/>
        <w:jc w:val="center"/>
        <w:outlineLvl w:val="9"/>
        <w:rPr>
          <w:rFonts w:ascii="方正小标宋简体" w:hAnsi="宋体" w:eastAsia="方正小标宋简体"/>
          <w:sz w:val="72"/>
          <w:szCs w:val="72"/>
        </w:rPr>
      </w:pPr>
    </w:p>
    <w:p w14:paraId="5598BF4D">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4476"/>
      <w:r>
        <w:rPr>
          <w:rFonts w:hint="eastAsia" w:ascii="方正小标宋简体" w:hAnsi="方正小标宋简体" w:eastAsia="方正小标宋简体" w:cs="方正小标宋简体"/>
          <w:sz w:val="72"/>
          <w:szCs w:val="72"/>
        </w:rPr>
        <w:t>2023年度</w:t>
      </w:r>
      <w:bookmarkEnd w:id="0"/>
      <w:bookmarkEnd w:id="1"/>
      <w:bookmarkEnd w:id="2"/>
      <w:bookmarkEnd w:id="3"/>
      <w:bookmarkEnd w:id="4"/>
      <w:bookmarkEnd w:id="6"/>
    </w:p>
    <w:bookmarkEnd w:id="5"/>
    <w:p w14:paraId="06014BA7">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2433"/>
      <w:bookmarkStart w:id="8" w:name="_Toc15377426"/>
      <w:bookmarkStart w:id="9" w:name="_Toc15377194"/>
      <w:bookmarkStart w:id="10" w:name="_Toc15396476"/>
      <w:bookmarkStart w:id="11" w:name="_Toc15378442"/>
      <w:bookmarkStart w:id="12" w:name="_Toc15306268"/>
      <w:bookmarkStart w:id="13" w:name="_Toc15396598"/>
      <w:r>
        <w:rPr>
          <w:rFonts w:hint="eastAsia" w:ascii="方正小标宋简体" w:hAnsi="方正小标宋简体" w:eastAsia="方正小标宋简体" w:cs="方正小标宋简体"/>
          <w:sz w:val="72"/>
          <w:szCs w:val="72"/>
        </w:rPr>
        <w:t>峨边彝族自治县卫生健康局部门决算</w:t>
      </w:r>
      <w:bookmarkEnd w:id="7"/>
      <w:bookmarkEnd w:id="8"/>
      <w:bookmarkEnd w:id="9"/>
      <w:bookmarkEnd w:id="10"/>
      <w:bookmarkEnd w:id="11"/>
      <w:bookmarkEnd w:id="12"/>
      <w:bookmarkEnd w:id="13"/>
    </w:p>
    <w:p w14:paraId="2633370D">
      <w:pPr>
        <w:adjustRightInd w:val="0"/>
        <w:snapToGrid w:val="0"/>
        <w:spacing w:line="360" w:lineRule="auto"/>
        <w:jc w:val="center"/>
        <w:outlineLvl w:val="9"/>
        <w:rPr>
          <w:rFonts w:ascii="方正小标宋简体" w:hAnsi="宋体" w:eastAsia="方正小标宋简体"/>
          <w:sz w:val="52"/>
          <w:szCs w:val="52"/>
        </w:rPr>
      </w:pPr>
    </w:p>
    <w:p w14:paraId="3CD731FB">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112DBF34">
      <w:pPr>
        <w:widowControl/>
        <w:jc w:val="center"/>
        <w:rPr>
          <w:rFonts w:ascii="黑体" w:hAnsi="黑体" w:eastAsia="黑体" w:cstheme="minorBidi"/>
          <w:sz w:val="28"/>
          <w:szCs w:val="28"/>
        </w:rPr>
      </w:pPr>
    </w:p>
    <w:p w14:paraId="578A3A00">
      <w:pPr>
        <w:pStyle w:val="12"/>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月</w:t>
      </w:r>
      <w:r>
        <w:rPr>
          <w:rFonts w:hint="eastAsia"/>
          <w:lang w:val="en-US" w:eastAsia="zh-CN"/>
        </w:rPr>
        <w:t>18</w:t>
      </w:r>
      <w:r>
        <w:rPr>
          <w:rFonts w:hint="eastAsia"/>
        </w:rPr>
        <w:t>日</w:t>
      </w:r>
    </w:p>
    <w:p w14:paraId="6F14FC18"/>
    <w:sdt>
      <w:sdtPr>
        <w:rPr>
          <w:rFonts w:ascii="宋体" w:hAnsi="宋体" w:eastAsia="宋体" w:cs="Times New Roman"/>
          <w:kern w:val="2"/>
          <w:sz w:val="21"/>
          <w:szCs w:val="24"/>
          <w:lang w:val="en-US" w:eastAsia="zh-CN" w:bidi="ar-SA"/>
        </w:rPr>
        <w:id w:val="147458553"/>
        <w15:color w:val="DBDBDB"/>
        <w:docPartObj>
          <w:docPartGallery w:val="Table of Contents"/>
          <w:docPartUnique/>
        </w:docPartObj>
      </w:sdtPr>
      <w:sdtEndPr>
        <w:rPr>
          <w:rFonts w:asciiTheme="minorEastAsia" w:hAnsiTheme="minorEastAsia" w:eastAsiaTheme="minorEastAsia" w:cstheme="minorEastAsia"/>
          <w:b/>
          <w:kern w:val="2"/>
          <w:sz w:val="21"/>
          <w:szCs w:val="24"/>
          <w:lang w:val="en-US" w:eastAsia="zh-CN" w:bidi="ar-SA"/>
        </w:rPr>
      </w:sdtEndPr>
      <w:sdtContent>
        <w:p w14:paraId="51209F33">
          <w:pPr>
            <w:spacing w:before="0" w:beforeLines="0" w:after="0" w:afterLines="0" w:line="240" w:lineRule="auto"/>
            <w:ind w:left="0" w:leftChars="0" w:right="0" w:rightChars="0" w:firstLine="0" w:firstLineChars="0"/>
            <w:jc w:val="center"/>
            <w:rPr>
              <w:b/>
            </w:rPr>
          </w:pPr>
          <w:r>
            <w:rPr>
              <w:rFonts w:asciiTheme="minorEastAsia" w:hAnsiTheme="minorEastAsia" w:eastAsiaTheme="minorEastAsia" w:cstheme="minorEastAsia"/>
              <w:sz w:val="24"/>
            </w:rPr>
            <w:fldChar w:fldCharType="begin"/>
          </w:r>
          <w:r>
            <w:rPr>
              <w:rFonts w:asciiTheme="minorEastAsia" w:hAnsiTheme="minorEastAsia" w:eastAsiaTheme="minorEastAsia" w:cstheme="minorEastAsia"/>
              <w:sz w:val="24"/>
            </w:rPr>
            <w:instrText xml:space="preserve">TOC \o "1-2" \h \u </w:instrText>
          </w:r>
          <w:r>
            <w:rPr>
              <w:rFonts w:asciiTheme="minorEastAsia" w:hAnsiTheme="minorEastAsia" w:eastAsiaTheme="minorEastAsia" w:cstheme="minorEastAsia"/>
              <w:sz w:val="24"/>
            </w:rPr>
            <w:fldChar w:fldCharType="separate"/>
          </w:r>
        </w:p>
        <w:p w14:paraId="72795627">
          <w:pPr>
            <w:pStyle w:val="36"/>
            <w:tabs>
              <w:tab w:val="right" w:leader="dot" w:pos="8306"/>
            </w:tabs>
            <w:rPr>
              <w:b/>
            </w:rPr>
          </w:pPr>
          <w:r>
            <w:rPr>
              <w:rFonts w:asciiTheme="minorEastAsia" w:hAnsiTheme="minorEastAsia" w:eastAsiaTheme="minorEastAsia" w:cstheme="minorEastAsia"/>
              <w:b/>
            </w:rPr>
            <w:fldChar w:fldCharType="begin"/>
          </w:r>
          <w:r>
            <w:rPr>
              <w:rFonts w:asciiTheme="minorEastAsia" w:hAnsiTheme="minorEastAsia" w:eastAsiaTheme="minorEastAsia" w:cstheme="minorEastAsia"/>
              <w:b/>
            </w:rPr>
            <w:instrText xml:space="preserve"> HYPERLINK \l _Toc9524 </w:instrText>
          </w:r>
          <w:r>
            <w:rPr>
              <w:rFonts w:asciiTheme="minorEastAsia" w:hAnsiTheme="minorEastAsia" w:eastAsiaTheme="minorEastAsia" w:cstheme="minorEastAsia"/>
              <w:b/>
            </w:rPr>
            <w:fldChar w:fldCharType="separate"/>
          </w:r>
          <w:r>
            <w:rPr>
              <w:rFonts w:hint="eastAsia" w:ascii="黑体" w:hAnsi="黑体" w:eastAsia="黑体"/>
              <w:b/>
            </w:rPr>
            <w:t xml:space="preserve">第一部分 </w:t>
          </w:r>
          <w:r>
            <w:rPr>
              <w:rFonts w:hint="eastAsia" w:ascii="黑体" w:hAnsi="黑体" w:eastAsia="黑体"/>
              <w:b/>
              <w:bCs w:val="0"/>
            </w:rPr>
            <w:t>部门概况</w:t>
          </w:r>
          <w:r>
            <w:rPr>
              <w:b/>
            </w:rPr>
            <w:tab/>
          </w:r>
          <w:r>
            <w:rPr>
              <w:b/>
            </w:rPr>
            <w:fldChar w:fldCharType="begin"/>
          </w:r>
          <w:r>
            <w:rPr>
              <w:b/>
            </w:rPr>
            <w:instrText xml:space="preserve"> PAGEREF _Toc9524 \h </w:instrText>
          </w:r>
          <w:r>
            <w:rPr>
              <w:b/>
            </w:rPr>
            <w:fldChar w:fldCharType="separate"/>
          </w:r>
          <w:r>
            <w:rPr>
              <w:b/>
            </w:rPr>
            <w:t>3</w:t>
          </w:r>
          <w:r>
            <w:rPr>
              <w:b/>
            </w:rPr>
            <w:fldChar w:fldCharType="end"/>
          </w:r>
          <w:r>
            <w:rPr>
              <w:rFonts w:asciiTheme="minorEastAsia" w:hAnsiTheme="minorEastAsia" w:eastAsiaTheme="minorEastAsia" w:cstheme="minorEastAsia"/>
              <w:b/>
            </w:rPr>
            <w:fldChar w:fldCharType="end"/>
          </w:r>
        </w:p>
        <w:p w14:paraId="3868284D">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_Toc8212 </w:instrText>
          </w:r>
          <w:r>
            <w:rPr>
              <w:rFonts w:asciiTheme="minorEastAsia" w:hAnsiTheme="minorEastAsia" w:eastAsiaTheme="minorEastAsia" w:cstheme="minorEastAsia"/>
            </w:rPr>
            <w:fldChar w:fldCharType="separate"/>
          </w:r>
          <w:r>
            <w:rPr>
              <w:rFonts w:hint="eastAsia" w:ascii="黑体" w:hAnsi="黑体" w:eastAsia="黑体"/>
            </w:rPr>
            <w:t>一、部门职责</w:t>
          </w:r>
          <w:r>
            <w:tab/>
          </w:r>
          <w:r>
            <w:fldChar w:fldCharType="begin"/>
          </w:r>
          <w:r>
            <w:instrText xml:space="preserve"> PAGEREF _Toc8212 \h </w:instrText>
          </w:r>
          <w:r>
            <w:fldChar w:fldCharType="separate"/>
          </w:r>
          <w:r>
            <w:t>3</w:t>
          </w:r>
          <w:r>
            <w:fldChar w:fldCharType="end"/>
          </w:r>
          <w:r>
            <w:rPr>
              <w:rFonts w:asciiTheme="minorEastAsia" w:hAnsiTheme="minorEastAsia" w:eastAsiaTheme="minorEastAsia" w:cstheme="minorEastAsia"/>
            </w:rPr>
            <w:fldChar w:fldCharType="end"/>
          </w:r>
        </w:p>
        <w:p w14:paraId="7F0FE589">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_Toc6269 </w:instrText>
          </w:r>
          <w:r>
            <w:rPr>
              <w:rFonts w:asciiTheme="minorEastAsia" w:hAnsiTheme="minorEastAsia" w:eastAsiaTheme="minorEastAsia" w:cstheme="minorEastAsia"/>
            </w:rPr>
            <w:fldChar w:fldCharType="separate"/>
          </w:r>
          <w:r>
            <w:rPr>
              <w:rFonts w:hint="eastAsia" w:ascii="黑体" w:eastAsia="黑体"/>
            </w:rPr>
            <w:t>二、</w:t>
          </w:r>
          <w:r>
            <w:rPr>
              <w:rFonts w:hint="eastAsia" w:ascii="黑体" w:hAnsi="黑体" w:eastAsia="黑体"/>
            </w:rPr>
            <w:t>机</w:t>
          </w:r>
          <w:r>
            <w:rPr>
              <w:rFonts w:hint="eastAsia" w:ascii="黑体" w:hAnsi="黑体" w:eastAsia="黑体"/>
              <w:bCs w:val="0"/>
            </w:rPr>
            <w:t>构设置</w:t>
          </w:r>
          <w:r>
            <w:tab/>
          </w:r>
          <w:r>
            <w:fldChar w:fldCharType="begin"/>
          </w:r>
          <w:r>
            <w:instrText xml:space="preserve"> PAGEREF _Toc6269 \h </w:instrText>
          </w:r>
          <w:r>
            <w:fldChar w:fldCharType="separate"/>
          </w:r>
          <w:r>
            <w:t>5</w:t>
          </w:r>
          <w:r>
            <w:fldChar w:fldCharType="end"/>
          </w:r>
          <w:r>
            <w:rPr>
              <w:rFonts w:asciiTheme="minorEastAsia" w:hAnsiTheme="minorEastAsia" w:eastAsiaTheme="minorEastAsia" w:cstheme="minorEastAsia"/>
            </w:rPr>
            <w:fldChar w:fldCharType="end"/>
          </w:r>
        </w:p>
        <w:p w14:paraId="51D7B449">
          <w:pPr>
            <w:pStyle w:val="36"/>
            <w:tabs>
              <w:tab w:val="right" w:leader="dot" w:pos="8306"/>
            </w:tabs>
            <w:rPr>
              <w:b/>
            </w:rPr>
          </w:pPr>
          <w:r>
            <w:rPr>
              <w:rFonts w:asciiTheme="minorEastAsia" w:hAnsiTheme="minorEastAsia" w:eastAsiaTheme="minorEastAsia" w:cstheme="minorEastAsia"/>
              <w:b/>
            </w:rPr>
            <w:fldChar w:fldCharType="begin"/>
          </w:r>
          <w:r>
            <w:rPr>
              <w:rFonts w:asciiTheme="minorEastAsia" w:hAnsiTheme="minorEastAsia" w:eastAsiaTheme="minorEastAsia" w:cstheme="minorEastAsia"/>
              <w:b/>
            </w:rPr>
            <w:instrText xml:space="preserve"> HYPERLINK \l _Toc15193 </w:instrText>
          </w:r>
          <w:r>
            <w:rPr>
              <w:rFonts w:asciiTheme="minorEastAsia" w:hAnsiTheme="minorEastAsia" w:eastAsiaTheme="minorEastAsia" w:cstheme="minorEastAsia"/>
              <w:b/>
            </w:rPr>
            <w:fldChar w:fldCharType="separate"/>
          </w:r>
          <w:r>
            <w:rPr>
              <w:rFonts w:hint="eastAsia" w:ascii="黑体" w:hAnsi="黑体" w:eastAsia="黑体"/>
              <w:b/>
            </w:rPr>
            <w:t>第二部分 2023年度</w:t>
          </w:r>
          <w:r>
            <w:rPr>
              <w:rFonts w:hint="eastAsia" w:ascii="黑体" w:hAnsi="黑体" w:eastAsia="黑体"/>
              <w:b/>
              <w:bCs/>
            </w:rPr>
            <w:t>部门决算情况说明</w:t>
          </w:r>
          <w:r>
            <w:rPr>
              <w:b/>
            </w:rPr>
            <w:tab/>
          </w:r>
          <w:r>
            <w:rPr>
              <w:b/>
            </w:rPr>
            <w:fldChar w:fldCharType="begin"/>
          </w:r>
          <w:r>
            <w:rPr>
              <w:b/>
            </w:rPr>
            <w:instrText xml:space="preserve"> PAGEREF _Toc15193 \h </w:instrText>
          </w:r>
          <w:r>
            <w:rPr>
              <w:b/>
            </w:rPr>
            <w:fldChar w:fldCharType="separate"/>
          </w:r>
          <w:r>
            <w:rPr>
              <w:b/>
            </w:rPr>
            <w:t>7</w:t>
          </w:r>
          <w:r>
            <w:rPr>
              <w:b/>
            </w:rPr>
            <w:fldChar w:fldCharType="end"/>
          </w:r>
          <w:r>
            <w:rPr>
              <w:rFonts w:asciiTheme="minorEastAsia" w:hAnsiTheme="minorEastAsia" w:eastAsiaTheme="minorEastAsia" w:cstheme="minorEastAsia"/>
              <w:b/>
            </w:rPr>
            <w:fldChar w:fldCharType="end"/>
          </w:r>
        </w:p>
        <w:p w14:paraId="2C49C694">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_Toc6380 </w:instrText>
          </w:r>
          <w:r>
            <w:rPr>
              <w:rFonts w:asciiTheme="minorEastAsia" w:hAnsiTheme="minorEastAsia" w:eastAsiaTheme="minorEastAsia" w:cstheme="minorEastAsia"/>
            </w:rPr>
            <w:fldChar w:fldCharType="separate"/>
          </w:r>
          <w:r>
            <w:rPr>
              <w:rFonts w:hint="default" w:ascii="黑体" w:hAnsi="黑体" w:eastAsia="黑体"/>
            </w:rPr>
            <w:t xml:space="preserve">一、 </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_Toc6380 \h </w:instrText>
          </w:r>
          <w:r>
            <w:fldChar w:fldCharType="separate"/>
          </w:r>
          <w:r>
            <w:t>7</w:t>
          </w:r>
          <w:r>
            <w:fldChar w:fldCharType="end"/>
          </w:r>
          <w:r>
            <w:rPr>
              <w:rFonts w:asciiTheme="minorEastAsia" w:hAnsiTheme="minorEastAsia" w:eastAsiaTheme="minorEastAsia" w:cstheme="minorEastAsia"/>
            </w:rPr>
            <w:fldChar w:fldCharType="end"/>
          </w:r>
        </w:p>
        <w:p w14:paraId="49CB50B1">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_Toc11884 </w:instrText>
          </w:r>
          <w:r>
            <w:rPr>
              <w:rFonts w:asciiTheme="minorEastAsia" w:hAnsiTheme="minorEastAsia" w:eastAsiaTheme="minorEastAsia" w:cstheme="minorEastAsia"/>
            </w:rPr>
            <w:fldChar w:fldCharType="separate"/>
          </w:r>
          <w:r>
            <w:rPr>
              <w:rFonts w:hint="default" w:ascii="黑体" w:hAnsi="黑体" w:eastAsia="黑体"/>
            </w:rPr>
            <w:t xml:space="preserve">二、 </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_Toc11884 \h </w:instrText>
          </w:r>
          <w:r>
            <w:fldChar w:fldCharType="separate"/>
          </w:r>
          <w:r>
            <w:t>7</w:t>
          </w:r>
          <w:r>
            <w:fldChar w:fldCharType="end"/>
          </w:r>
          <w:r>
            <w:rPr>
              <w:rFonts w:asciiTheme="minorEastAsia" w:hAnsiTheme="minorEastAsia" w:eastAsiaTheme="minorEastAsia" w:cstheme="minorEastAsia"/>
            </w:rPr>
            <w:fldChar w:fldCharType="end"/>
          </w:r>
        </w:p>
        <w:p w14:paraId="3BB1265A">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_Toc13600 </w:instrText>
          </w:r>
          <w:r>
            <w:rPr>
              <w:rFonts w:asciiTheme="minorEastAsia" w:hAnsiTheme="minorEastAsia" w:eastAsiaTheme="minorEastAsia" w:cstheme="minorEastAsia"/>
            </w:rPr>
            <w:fldChar w:fldCharType="separate"/>
          </w:r>
          <w:r>
            <w:rPr>
              <w:rFonts w:hint="default" w:ascii="黑体" w:hAnsi="黑体" w:eastAsia="黑体"/>
            </w:rPr>
            <w:t xml:space="preserve">三、 </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_Toc13600 \h </w:instrText>
          </w:r>
          <w:r>
            <w:fldChar w:fldCharType="separate"/>
          </w:r>
          <w:r>
            <w:t>8</w:t>
          </w:r>
          <w:r>
            <w:fldChar w:fldCharType="end"/>
          </w:r>
          <w:r>
            <w:rPr>
              <w:rFonts w:asciiTheme="minorEastAsia" w:hAnsiTheme="minorEastAsia" w:eastAsiaTheme="minorEastAsia" w:cstheme="minorEastAsia"/>
            </w:rPr>
            <w:fldChar w:fldCharType="end"/>
          </w:r>
        </w:p>
        <w:p w14:paraId="5B1799CB">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_Toc22928 </w:instrText>
          </w:r>
          <w:r>
            <w:rPr>
              <w:rFonts w:asciiTheme="minorEastAsia" w:hAnsiTheme="minorEastAsia" w:eastAsiaTheme="minorEastAsia" w:cstheme="minorEastAsia"/>
            </w:rP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_Toc22928 \h </w:instrText>
          </w:r>
          <w:r>
            <w:fldChar w:fldCharType="separate"/>
          </w:r>
          <w:r>
            <w:t>9</w:t>
          </w:r>
          <w:r>
            <w:fldChar w:fldCharType="end"/>
          </w:r>
          <w:r>
            <w:rPr>
              <w:rFonts w:asciiTheme="minorEastAsia" w:hAnsiTheme="minorEastAsia" w:eastAsiaTheme="minorEastAsia" w:cstheme="minorEastAsia"/>
            </w:rPr>
            <w:fldChar w:fldCharType="end"/>
          </w:r>
        </w:p>
        <w:p w14:paraId="62CC1798">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_Toc4464 </w:instrText>
          </w:r>
          <w:r>
            <w:rPr>
              <w:rFonts w:asciiTheme="minorEastAsia" w:hAnsiTheme="minorEastAsia" w:eastAsiaTheme="minorEastAsia" w:cstheme="minorEastAsia"/>
            </w:rP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_Toc4464 \h </w:instrText>
          </w:r>
          <w:r>
            <w:fldChar w:fldCharType="separate"/>
          </w:r>
          <w:r>
            <w:t>9</w:t>
          </w:r>
          <w:r>
            <w:fldChar w:fldCharType="end"/>
          </w:r>
          <w:r>
            <w:rPr>
              <w:rFonts w:asciiTheme="minorEastAsia" w:hAnsiTheme="minorEastAsia" w:eastAsiaTheme="minorEastAsia" w:cstheme="minorEastAsia"/>
            </w:rPr>
            <w:fldChar w:fldCharType="end"/>
          </w:r>
        </w:p>
        <w:p w14:paraId="67E7FCB5">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_Toc717 </w:instrText>
          </w:r>
          <w:r>
            <w:rPr>
              <w:rFonts w:asciiTheme="minorEastAsia" w:hAnsiTheme="minorEastAsia" w:eastAsiaTheme="minorEastAsia" w:cstheme="minorEastAsia"/>
            </w:rP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_Toc717 \h </w:instrText>
          </w:r>
          <w:r>
            <w:fldChar w:fldCharType="separate"/>
          </w:r>
          <w:r>
            <w:t>15</w:t>
          </w:r>
          <w:r>
            <w:fldChar w:fldCharType="end"/>
          </w:r>
          <w:r>
            <w:rPr>
              <w:rFonts w:asciiTheme="minorEastAsia" w:hAnsiTheme="minorEastAsia" w:eastAsiaTheme="minorEastAsia" w:cstheme="minorEastAsia"/>
            </w:rPr>
            <w:fldChar w:fldCharType="end"/>
          </w:r>
        </w:p>
        <w:p w14:paraId="377059DA">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_Toc17453 </w:instrText>
          </w:r>
          <w:r>
            <w:rPr>
              <w:rFonts w:asciiTheme="minorEastAsia" w:hAnsiTheme="minorEastAsia" w:eastAsiaTheme="minorEastAsia" w:cstheme="minorEastAsia"/>
            </w:rPr>
            <w:fldChar w:fldCharType="separate"/>
          </w:r>
          <w:r>
            <w:rPr>
              <w:rFonts w:hint="eastAsia" w:ascii="黑体" w:eastAsia="黑体"/>
              <w:szCs w:val="32"/>
            </w:rPr>
            <w:t>七、</w:t>
          </w:r>
          <w:r>
            <w:rPr>
              <w:rFonts w:hint="eastAsia" w:ascii="黑体" w:hAnsi="黑体" w:eastAsia="黑体"/>
            </w:rPr>
            <w:t>财政拨款“三公”经费支出决算情况说明</w:t>
          </w:r>
          <w:r>
            <w:tab/>
          </w:r>
          <w:r>
            <w:fldChar w:fldCharType="begin"/>
          </w:r>
          <w:r>
            <w:instrText xml:space="preserve"> PAGEREF _Toc17453 \h </w:instrText>
          </w:r>
          <w:r>
            <w:fldChar w:fldCharType="separate"/>
          </w:r>
          <w:r>
            <w:t>15</w:t>
          </w:r>
          <w:r>
            <w:fldChar w:fldCharType="end"/>
          </w:r>
          <w:r>
            <w:rPr>
              <w:rFonts w:asciiTheme="minorEastAsia" w:hAnsiTheme="minorEastAsia" w:eastAsiaTheme="minorEastAsia" w:cstheme="minorEastAsia"/>
            </w:rPr>
            <w:fldChar w:fldCharType="end"/>
          </w:r>
        </w:p>
        <w:p w14:paraId="41BACF61">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_Toc24149 </w:instrText>
          </w:r>
          <w:r>
            <w:rPr>
              <w:rFonts w:asciiTheme="minorEastAsia" w:hAnsiTheme="minorEastAsia" w:eastAsiaTheme="minorEastAsia" w:cstheme="minorEastAsia"/>
            </w:rP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_Toc24149 \h </w:instrText>
          </w:r>
          <w:r>
            <w:fldChar w:fldCharType="separate"/>
          </w:r>
          <w:r>
            <w:t>17</w:t>
          </w:r>
          <w:r>
            <w:fldChar w:fldCharType="end"/>
          </w:r>
          <w:r>
            <w:rPr>
              <w:rFonts w:asciiTheme="minorEastAsia" w:hAnsiTheme="minorEastAsia" w:eastAsiaTheme="minorEastAsia" w:cstheme="minorEastAsia"/>
            </w:rPr>
            <w:fldChar w:fldCharType="end"/>
          </w:r>
        </w:p>
        <w:p w14:paraId="56D5B93D">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_Toc22773 </w:instrText>
          </w:r>
          <w:r>
            <w:rPr>
              <w:rFonts w:asciiTheme="minorEastAsia" w:hAnsiTheme="minorEastAsia" w:eastAsiaTheme="minorEastAsia" w:cstheme="minorEastAsia"/>
            </w:rPr>
            <w:fldChar w:fldCharType="separate"/>
          </w:r>
          <w:r>
            <w:rPr>
              <w:rFonts w:hint="eastAsia" w:ascii="黑体" w:hAnsi="黑体" w:eastAsia="黑体"/>
            </w:rPr>
            <w:t>九、 国有资本经营预算支出决算情况说明</w:t>
          </w:r>
          <w:r>
            <w:tab/>
          </w:r>
          <w:r>
            <w:fldChar w:fldCharType="begin"/>
          </w:r>
          <w:r>
            <w:instrText xml:space="preserve"> PAGEREF _Toc22773 \h </w:instrText>
          </w:r>
          <w:r>
            <w:fldChar w:fldCharType="separate"/>
          </w:r>
          <w:r>
            <w:t>17</w:t>
          </w:r>
          <w:r>
            <w:fldChar w:fldCharType="end"/>
          </w:r>
          <w:r>
            <w:rPr>
              <w:rFonts w:asciiTheme="minorEastAsia" w:hAnsiTheme="minorEastAsia" w:eastAsiaTheme="minorEastAsia" w:cstheme="minorEastAsia"/>
            </w:rPr>
            <w:fldChar w:fldCharType="end"/>
          </w:r>
        </w:p>
        <w:p w14:paraId="2351E135">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_Toc8704 </w:instrText>
          </w:r>
          <w:r>
            <w:rPr>
              <w:rFonts w:asciiTheme="minorEastAsia" w:hAnsiTheme="minorEastAsia" w:eastAsiaTheme="minorEastAsia" w:cstheme="minorEastAsia"/>
            </w:rPr>
            <w:fldChar w:fldCharType="separate"/>
          </w:r>
          <w:r>
            <w:rPr>
              <w:rFonts w:hint="eastAsia" w:ascii="黑体" w:hAnsi="黑体" w:eastAsia="黑体"/>
            </w:rPr>
            <w:t>十、 其他重要事项的情况说明</w:t>
          </w:r>
          <w:r>
            <w:tab/>
          </w:r>
          <w:r>
            <w:fldChar w:fldCharType="begin"/>
          </w:r>
          <w:r>
            <w:instrText xml:space="preserve"> PAGEREF _Toc8704 \h </w:instrText>
          </w:r>
          <w:r>
            <w:fldChar w:fldCharType="separate"/>
          </w:r>
          <w:r>
            <w:t>17</w:t>
          </w:r>
          <w:r>
            <w:fldChar w:fldCharType="end"/>
          </w:r>
          <w:r>
            <w:rPr>
              <w:rFonts w:asciiTheme="minorEastAsia" w:hAnsiTheme="minorEastAsia" w:eastAsiaTheme="minorEastAsia" w:cstheme="minorEastAsia"/>
            </w:rPr>
            <w:fldChar w:fldCharType="end"/>
          </w:r>
        </w:p>
        <w:p w14:paraId="66DD00D5">
          <w:pPr>
            <w:pStyle w:val="36"/>
            <w:tabs>
              <w:tab w:val="right" w:leader="dot" w:pos="8306"/>
            </w:tabs>
          </w:pPr>
          <w:r>
            <w:rPr>
              <w:rFonts w:asciiTheme="minorEastAsia" w:hAnsiTheme="minorEastAsia" w:eastAsiaTheme="minorEastAsia" w:cstheme="minorEastAsia"/>
              <w:b/>
            </w:rPr>
            <w:fldChar w:fldCharType="begin"/>
          </w:r>
          <w:r>
            <w:rPr>
              <w:rFonts w:asciiTheme="minorEastAsia" w:hAnsiTheme="minorEastAsia" w:eastAsiaTheme="minorEastAsia" w:cstheme="minorEastAsia"/>
              <w:b/>
            </w:rPr>
            <w:instrText xml:space="preserve"> HYPERLINK \l _Toc8080 </w:instrText>
          </w:r>
          <w:r>
            <w:rPr>
              <w:rFonts w:asciiTheme="minorEastAsia" w:hAnsiTheme="minorEastAsia" w:eastAsiaTheme="minorEastAsia" w:cstheme="minorEastAsia"/>
              <w:b/>
            </w:rPr>
            <w:fldChar w:fldCharType="separate"/>
          </w:r>
          <w:r>
            <w:rPr>
              <w:rFonts w:hint="eastAsia" w:ascii="黑体" w:hAnsi="黑体" w:eastAsia="黑体" w:cs="黑体"/>
              <w:b/>
            </w:rPr>
            <w:t>第三部分 名词解释</w:t>
          </w:r>
          <w:r>
            <w:rPr>
              <w:b/>
            </w:rPr>
            <w:tab/>
          </w:r>
          <w:r>
            <w:rPr>
              <w:b/>
            </w:rPr>
            <w:fldChar w:fldCharType="begin"/>
          </w:r>
          <w:r>
            <w:rPr>
              <w:b/>
            </w:rPr>
            <w:instrText xml:space="preserve"> PAGEREF _Toc8080 \h </w:instrText>
          </w:r>
          <w:r>
            <w:rPr>
              <w:b/>
            </w:rPr>
            <w:fldChar w:fldCharType="separate"/>
          </w:r>
          <w:r>
            <w:rPr>
              <w:b/>
            </w:rPr>
            <w:t>21</w:t>
          </w:r>
          <w:r>
            <w:rPr>
              <w:b/>
            </w:rPr>
            <w:fldChar w:fldCharType="end"/>
          </w:r>
          <w:r>
            <w:rPr>
              <w:rFonts w:asciiTheme="minorEastAsia" w:hAnsiTheme="minorEastAsia" w:eastAsiaTheme="minorEastAsia" w:cstheme="minorEastAsia"/>
              <w:b/>
            </w:rPr>
            <w:fldChar w:fldCharType="end"/>
          </w:r>
        </w:p>
        <w:p w14:paraId="2599C375">
          <w:pPr>
            <w:pStyle w:val="36"/>
            <w:tabs>
              <w:tab w:val="right" w:leader="dot" w:pos="8306"/>
            </w:tabs>
            <w:rPr>
              <w:b/>
            </w:rPr>
          </w:pPr>
          <w:r>
            <w:rPr>
              <w:rFonts w:asciiTheme="minorEastAsia" w:hAnsiTheme="minorEastAsia" w:eastAsiaTheme="minorEastAsia" w:cstheme="minorEastAsia"/>
              <w:b/>
            </w:rPr>
            <w:fldChar w:fldCharType="begin"/>
          </w:r>
          <w:r>
            <w:rPr>
              <w:rFonts w:asciiTheme="minorEastAsia" w:hAnsiTheme="minorEastAsia" w:eastAsiaTheme="minorEastAsia" w:cstheme="minorEastAsia"/>
              <w:b/>
            </w:rPr>
            <w:instrText xml:space="preserve"> HYPERLINK \l _Toc21976 </w:instrText>
          </w:r>
          <w:r>
            <w:rPr>
              <w:rFonts w:asciiTheme="minorEastAsia" w:hAnsiTheme="minorEastAsia" w:eastAsiaTheme="minorEastAsia" w:cstheme="minorEastAsia"/>
              <w:b/>
            </w:rPr>
            <w:fldChar w:fldCharType="separate"/>
          </w:r>
          <w:r>
            <w:rPr>
              <w:rFonts w:hint="eastAsia" w:ascii="黑体" w:hAnsi="黑体" w:eastAsia="黑体"/>
              <w:b/>
            </w:rPr>
            <w:t>第四部分 附件</w:t>
          </w:r>
          <w:r>
            <w:rPr>
              <w:b/>
            </w:rPr>
            <w:tab/>
          </w:r>
          <w:r>
            <w:rPr>
              <w:b/>
            </w:rPr>
            <w:fldChar w:fldCharType="begin"/>
          </w:r>
          <w:r>
            <w:rPr>
              <w:b/>
            </w:rPr>
            <w:instrText xml:space="preserve"> PAGEREF _Toc21976 \h </w:instrText>
          </w:r>
          <w:r>
            <w:rPr>
              <w:b/>
            </w:rPr>
            <w:fldChar w:fldCharType="separate"/>
          </w:r>
          <w:r>
            <w:rPr>
              <w:b/>
            </w:rPr>
            <w:t>27</w:t>
          </w:r>
          <w:r>
            <w:rPr>
              <w:b/>
            </w:rPr>
            <w:fldChar w:fldCharType="end"/>
          </w:r>
          <w:r>
            <w:rPr>
              <w:rFonts w:asciiTheme="minorEastAsia" w:hAnsiTheme="minorEastAsia" w:eastAsiaTheme="minorEastAsia" w:cstheme="minorEastAsia"/>
              <w:b/>
            </w:rPr>
            <w:fldChar w:fldCharType="end"/>
          </w:r>
        </w:p>
        <w:p w14:paraId="4EF8E31C">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_Toc23189 </w:instrText>
          </w:r>
          <w:r>
            <w:rPr>
              <w:rFonts w:asciiTheme="minorEastAsia" w:hAnsiTheme="minorEastAsia" w:eastAsiaTheme="minorEastAsia" w:cstheme="minorEastAsia"/>
            </w:rPr>
            <w:fldChar w:fldCharType="separate"/>
          </w:r>
          <w:r>
            <w:rPr>
              <w:rFonts w:hint="eastAsia" w:ascii="黑体" w:hAnsi="黑体" w:eastAsia="黑体"/>
              <w:szCs w:val="32"/>
            </w:rPr>
            <w:t>附件1</w:t>
          </w:r>
          <w:r>
            <w:tab/>
          </w:r>
          <w:r>
            <w:fldChar w:fldCharType="begin"/>
          </w:r>
          <w:r>
            <w:instrText xml:space="preserve"> PAGEREF _Toc23189 \h </w:instrText>
          </w:r>
          <w:r>
            <w:fldChar w:fldCharType="separate"/>
          </w:r>
          <w:r>
            <w:t>27</w:t>
          </w:r>
          <w:r>
            <w:fldChar w:fldCharType="end"/>
          </w:r>
          <w:r>
            <w:rPr>
              <w:rFonts w:asciiTheme="minorEastAsia" w:hAnsiTheme="minorEastAsia" w:eastAsiaTheme="minorEastAsia" w:cstheme="minorEastAsia"/>
            </w:rPr>
            <w:fldChar w:fldCharType="end"/>
          </w:r>
        </w:p>
        <w:p w14:paraId="769276EC">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_Toc27636 </w:instrText>
          </w:r>
          <w:r>
            <w:rPr>
              <w:rFonts w:asciiTheme="minorEastAsia" w:hAnsiTheme="minorEastAsia" w:eastAsiaTheme="minorEastAsia" w:cstheme="minorEastAsia"/>
            </w:rPr>
            <w:fldChar w:fldCharType="separate"/>
          </w:r>
          <w:r>
            <w:rPr>
              <w:rFonts w:hint="eastAsia" w:ascii="黑体" w:hAnsi="黑体" w:eastAsia="黑体"/>
              <w:szCs w:val="32"/>
            </w:rPr>
            <w:t>附件2</w:t>
          </w:r>
          <w:r>
            <w:tab/>
          </w:r>
          <w:r>
            <w:fldChar w:fldCharType="begin"/>
          </w:r>
          <w:r>
            <w:instrText xml:space="preserve"> PAGEREF _Toc27636 \h </w:instrText>
          </w:r>
          <w:r>
            <w:fldChar w:fldCharType="separate"/>
          </w:r>
          <w:r>
            <w:t>43</w:t>
          </w:r>
          <w:r>
            <w:fldChar w:fldCharType="end"/>
          </w:r>
          <w:r>
            <w:rPr>
              <w:rFonts w:asciiTheme="minorEastAsia" w:hAnsiTheme="minorEastAsia" w:eastAsiaTheme="minorEastAsia" w:cstheme="minorEastAsia"/>
            </w:rPr>
            <w:fldChar w:fldCharType="end"/>
          </w:r>
        </w:p>
        <w:p w14:paraId="712CA504">
          <w:pPr>
            <w:pStyle w:val="36"/>
            <w:tabs>
              <w:tab w:val="right" w:leader="dot" w:pos="8306"/>
            </w:tabs>
            <w:rPr>
              <w:b/>
            </w:rPr>
          </w:pPr>
          <w:r>
            <w:rPr>
              <w:rFonts w:asciiTheme="minorEastAsia" w:hAnsiTheme="minorEastAsia" w:eastAsiaTheme="minorEastAsia" w:cstheme="minorEastAsia"/>
              <w:b/>
            </w:rPr>
            <w:fldChar w:fldCharType="begin"/>
          </w:r>
          <w:r>
            <w:rPr>
              <w:rFonts w:asciiTheme="minorEastAsia" w:hAnsiTheme="minorEastAsia" w:eastAsiaTheme="minorEastAsia" w:cstheme="minorEastAsia"/>
              <w:b/>
            </w:rPr>
            <w:instrText xml:space="preserve"> HYPERLINK \l _Toc13214 </w:instrText>
          </w:r>
          <w:r>
            <w:rPr>
              <w:rFonts w:asciiTheme="minorEastAsia" w:hAnsiTheme="minorEastAsia" w:eastAsiaTheme="minorEastAsia" w:cstheme="minorEastAsia"/>
              <w:b/>
            </w:rPr>
            <w:fldChar w:fldCharType="separate"/>
          </w:r>
          <w:r>
            <w:rPr>
              <w:rFonts w:hint="eastAsia" w:ascii="黑体" w:hAnsi="黑体" w:eastAsia="黑体"/>
              <w:b/>
            </w:rPr>
            <w:t>第五部分 附表</w:t>
          </w:r>
          <w:r>
            <w:rPr>
              <w:b/>
            </w:rPr>
            <w:tab/>
          </w:r>
          <w:r>
            <w:rPr>
              <w:b/>
            </w:rPr>
            <w:fldChar w:fldCharType="begin"/>
          </w:r>
          <w:r>
            <w:rPr>
              <w:b/>
            </w:rPr>
            <w:instrText xml:space="preserve"> PAGEREF _Toc13214 \h </w:instrText>
          </w:r>
          <w:r>
            <w:rPr>
              <w:b/>
            </w:rPr>
            <w:fldChar w:fldCharType="separate"/>
          </w:r>
          <w:r>
            <w:rPr>
              <w:b/>
            </w:rPr>
            <w:t>75</w:t>
          </w:r>
          <w:r>
            <w:rPr>
              <w:b/>
            </w:rPr>
            <w:fldChar w:fldCharType="end"/>
          </w:r>
          <w:r>
            <w:rPr>
              <w:rFonts w:asciiTheme="minorEastAsia" w:hAnsiTheme="minorEastAsia" w:eastAsiaTheme="minorEastAsia" w:cstheme="minorEastAsia"/>
              <w:b/>
            </w:rPr>
            <w:fldChar w:fldCharType="end"/>
          </w:r>
        </w:p>
        <w:p w14:paraId="278F813F">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_Toc475 </w:instrText>
          </w:r>
          <w:r>
            <w:rPr>
              <w:rFonts w:asciiTheme="minorEastAsia" w:hAnsiTheme="minorEastAsia" w:eastAsiaTheme="minorEastAsia" w:cstheme="minorEastAsia"/>
            </w:rPr>
            <w:fldChar w:fldCharType="separate"/>
          </w:r>
          <w:r>
            <w:rPr>
              <w:rFonts w:hint="eastAsia" w:ascii="仿宋" w:hAnsi="仿宋" w:eastAsia="仿宋"/>
              <w:szCs w:val="32"/>
            </w:rPr>
            <w:t>一、收入支出决算总表</w:t>
          </w:r>
          <w:r>
            <w:tab/>
          </w:r>
          <w:r>
            <w:fldChar w:fldCharType="begin"/>
          </w:r>
          <w:r>
            <w:instrText xml:space="preserve"> PAGEREF _Toc475 \h </w:instrText>
          </w:r>
          <w:r>
            <w:fldChar w:fldCharType="separate"/>
          </w:r>
          <w:r>
            <w:t>75</w:t>
          </w:r>
          <w:r>
            <w:fldChar w:fldCharType="end"/>
          </w:r>
          <w:r>
            <w:rPr>
              <w:rFonts w:asciiTheme="minorEastAsia" w:hAnsiTheme="minorEastAsia" w:eastAsiaTheme="minorEastAsia" w:cstheme="minorEastAsia"/>
            </w:rPr>
            <w:fldChar w:fldCharType="end"/>
          </w:r>
        </w:p>
        <w:p w14:paraId="212AE384">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_Toc26965 </w:instrText>
          </w:r>
          <w:r>
            <w:rPr>
              <w:rFonts w:asciiTheme="minorEastAsia" w:hAnsiTheme="minorEastAsia" w:eastAsiaTheme="minorEastAsia" w:cstheme="minorEastAsia"/>
            </w:rPr>
            <w:fldChar w:fldCharType="separate"/>
          </w:r>
          <w:r>
            <w:rPr>
              <w:rFonts w:hint="eastAsia" w:ascii="仿宋" w:hAnsi="仿宋" w:eastAsia="仿宋"/>
              <w:szCs w:val="32"/>
            </w:rPr>
            <w:t>二、收入决算表</w:t>
          </w:r>
          <w:r>
            <w:tab/>
          </w:r>
          <w:r>
            <w:fldChar w:fldCharType="begin"/>
          </w:r>
          <w:r>
            <w:instrText xml:space="preserve"> PAGEREF _Toc26965 \h </w:instrText>
          </w:r>
          <w:r>
            <w:fldChar w:fldCharType="separate"/>
          </w:r>
          <w:r>
            <w:t>75</w:t>
          </w:r>
          <w:r>
            <w:fldChar w:fldCharType="end"/>
          </w:r>
          <w:r>
            <w:rPr>
              <w:rFonts w:asciiTheme="minorEastAsia" w:hAnsiTheme="minorEastAsia" w:eastAsiaTheme="minorEastAsia" w:cstheme="minorEastAsia"/>
            </w:rPr>
            <w:fldChar w:fldCharType="end"/>
          </w:r>
        </w:p>
        <w:p w14:paraId="762B3C24">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_Toc3722 </w:instrText>
          </w:r>
          <w:r>
            <w:rPr>
              <w:rFonts w:asciiTheme="minorEastAsia" w:hAnsiTheme="minorEastAsia" w:eastAsiaTheme="minorEastAsia" w:cstheme="minorEastAsia"/>
            </w:rPr>
            <w:fldChar w:fldCharType="separate"/>
          </w:r>
          <w:r>
            <w:rPr>
              <w:rFonts w:hint="eastAsia" w:ascii="仿宋" w:hAnsi="仿宋" w:eastAsia="仿宋"/>
              <w:szCs w:val="32"/>
            </w:rPr>
            <w:t>三、支出决算表</w:t>
          </w:r>
          <w:r>
            <w:tab/>
          </w:r>
          <w:r>
            <w:fldChar w:fldCharType="begin"/>
          </w:r>
          <w:r>
            <w:instrText xml:space="preserve"> PAGEREF _Toc3722 \h </w:instrText>
          </w:r>
          <w:r>
            <w:fldChar w:fldCharType="separate"/>
          </w:r>
          <w:r>
            <w:t>75</w:t>
          </w:r>
          <w:r>
            <w:fldChar w:fldCharType="end"/>
          </w:r>
          <w:r>
            <w:rPr>
              <w:rFonts w:asciiTheme="minorEastAsia" w:hAnsiTheme="minorEastAsia" w:eastAsiaTheme="minorEastAsia" w:cstheme="minorEastAsia"/>
            </w:rPr>
            <w:fldChar w:fldCharType="end"/>
          </w:r>
        </w:p>
        <w:p w14:paraId="403B14C8">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_Toc21871 </w:instrText>
          </w:r>
          <w:r>
            <w:rPr>
              <w:rFonts w:asciiTheme="minorEastAsia" w:hAnsiTheme="minorEastAsia" w:eastAsiaTheme="minorEastAsia" w:cstheme="minorEastAsia"/>
            </w:rPr>
            <w:fldChar w:fldCharType="separate"/>
          </w:r>
          <w:r>
            <w:rPr>
              <w:rFonts w:hint="eastAsia" w:ascii="仿宋" w:hAnsi="仿宋" w:eastAsia="仿宋"/>
              <w:szCs w:val="32"/>
            </w:rPr>
            <w:t>四、财政拨款收入支出决算总表</w:t>
          </w:r>
          <w:r>
            <w:tab/>
          </w:r>
          <w:r>
            <w:fldChar w:fldCharType="begin"/>
          </w:r>
          <w:r>
            <w:instrText xml:space="preserve"> PAGEREF _Toc21871 \h </w:instrText>
          </w:r>
          <w:r>
            <w:fldChar w:fldCharType="separate"/>
          </w:r>
          <w:r>
            <w:t>75</w:t>
          </w:r>
          <w:r>
            <w:fldChar w:fldCharType="end"/>
          </w:r>
          <w:r>
            <w:rPr>
              <w:rFonts w:asciiTheme="minorEastAsia" w:hAnsiTheme="minorEastAsia" w:eastAsiaTheme="minorEastAsia" w:cstheme="minorEastAsia"/>
            </w:rPr>
            <w:fldChar w:fldCharType="end"/>
          </w:r>
        </w:p>
        <w:p w14:paraId="26FB8775">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_Toc16610 </w:instrText>
          </w:r>
          <w:r>
            <w:rPr>
              <w:rFonts w:asciiTheme="minorEastAsia" w:hAnsiTheme="minorEastAsia" w:eastAsiaTheme="minorEastAsia" w:cstheme="minorEastAsia"/>
            </w:rPr>
            <w:fldChar w:fldCharType="separate"/>
          </w:r>
          <w:r>
            <w:rPr>
              <w:rFonts w:hint="eastAsia" w:ascii="仿宋" w:hAnsi="仿宋" w:eastAsia="仿宋"/>
              <w:szCs w:val="32"/>
            </w:rPr>
            <w:t>五、财政拨款支出决算明细表</w:t>
          </w:r>
          <w:r>
            <w:tab/>
          </w:r>
          <w:r>
            <w:fldChar w:fldCharType="begin"/>
          </w:r>
          <w:r>
            <w:instrText xml:space="preserve"> PAGEREF _Toc16610 \h </w:instrText>
          </w:r>
          <w:r>
            <w:fldChar w:fldCharType="separate"/>
          </w:r>
          <w:r>
            <w:t>75</w:t>
          </w:r>
          <w:r>
            <w:fldChar w:fldCharType="end"/>
          </w:r>
          <w:r>
            <w:rPr>
              <w:rFonts w:asciiTheme="minorEastAsia" w:hAnsiTheme="minorEastAsia" w:eastAsiaTheme="minorEastAsia" w:cstheme="minorEastAsia"/>
            </w:rPr>
            <w:fldChar w:fldCharType="end"/>
          </w:r>
        </w:p>
        <w:p w14:paraId="0CE095B2">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_Toc21269 </w:instrText>
          </w:r>
          <w:r>
            <w:rPr>
              <w:rFonts w:asciiTheme="minorEastAsia" w:hAnsiTheme="minorEastAsia" w:eastAsiaTheme="minorEastAsia" w:cstheme="minorEastAsia"/>
            </w:rPr>
            <w:fldChar w:fldCharType="separate"/>
          </w:r>
          <w:r>
            <w:rPr>
              <w:rFonts w:hint="eastAsia" w:ascii="仿宋" w:hAnsi="仿宋" w:eastAsia="仿宋"/>
              <w:szCs w:val="32"/>
            </w:rPr>
            <w:t>六、一般公共预算财政拨款支出决算表</w:t>
          </w:r>
          <w:r>
            <w:tab/>
          </w:r>
          <w:r>
            <w:fldChar w:fldCharType="begin"/>
          </w:r>
          <w:r>
            <w:instrText xml:space="preserve"> PAGEREF _Toc21269 \h </w:instrText>
          </w:r>
          <w:r>
            <w:fldChar w:fldCharType="separate"/>
          </w:r>
          <w:r>
            <w:t>75</w:t>
          </w:r>
          <w:r>
            <w:fldChar w:fldCharType="end"/>
          </w:r>
          <w:r>
            <w:rPr>
              <w:rFonts w:asciiTheme="minorEastAsia" w:hAnsiTheme="minorEastAsia" w:eastAsiaTheme="minorEastAsia" w:cstheme="minorEastAsia"/>
            </w:rPr>
            <w:fldChar w:fldCharType="end"/>
          </w:r>
        </w:p>
        <w:p w14:paraId="0B3DA055">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_Toc8193 </w:instrText>
          </w:r>
          <w:r>
            <w:rPr>
              <w:rFonts w:asciiTheme="minorEastAsia" w:hAnsiTheme="minorEastAsia" w:eastAsiaTheme="minorEastAsia" w:cstheme="minorEastAsia"/>
            </w:rPr>
            <w:fldChar w:fldCharType="separate"/>
          </w:r>
          <w:r>
            <w:rPr>
              <w:rFonts w:hint="eastAsia" w:ascii="仿宋" w:hAnsi="仿宋" w:eastAsia="仿宋"/>
              <w:szCs w:val="32"/>
            </w:rPr>
            <w:t>七、一般公共预算财政拨款支出决算明细表</w:t>
          </w:r>
          <w:r>
            <w:tab/>
          </w:r>
          <w:r>
            <w:fldChar w:fldCharType="begin"/>
          </w:r>
          <w:r>
            <w:instrText xml:space="preserve"> PAGEREF _Toc8193 \h </w:instrText>
          </w:r>
          <w:r>
            <w:fldChar w:fldCharType="separate"/>
          </w:r>
          <w:r>
            <w:t>75</w:t>
          </w:r>
          <w:r>
            <w:fldChar w:fldCharType="end"/>
          </w:r>
          <w:r>
            <w:rPr>
              <w:rFonts w:asciiTheme="minorEastAsia" w:hAnsiTheme="minorEastAsia" w:eastAsiaTheme="minorEastAsia" w:cstheme="minorEastAsia"/>
            </w:rPr>
            <w:fldChar w:fldCharType="end"/>
          </w:r>
        </w:p>
        <w:p w14:paraId="1640B234">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_Toc27426 </w:instrText>
          </w:r>
          <w:r>
            <w:rPr>
              <w:rFonts w:asciiTheme="minorEastAsia" w:hAnsiTheme="minorEastAsia" w:eastAsiaTheme="minorEastAsia" w:cstheme="minorEastAsia"/>
            </w:rPr>
            <w:fldChar w:fldCharType="separate"/>
          </w:r>
          <w:r>
            <w:rPr>
              <w:rFonts w:hint="eastAsia" w:ascii="仿宋" w:hAnsi="仿宋" w:eastAsia="仿宋"/>
              <w:szCs w:val="32"/>
            </w:rPr>
            <w:t>八、一般公共预算财政拨款基本支出决算表</w:t>
          </w:r>
          <w:r>
            <w:tab/>
          </w:r>
          <w:r>
            <w:fldChar w:fldCharType="begin"/>
          </w:r>
          <w:r>
            <w:instrText xml:space="preserve"> PAGEREF _Toc27426 \h </w:instrText>
          </w:r>
          <w:r>
            <w:fldChar w:fldCharType="separate"/>
          </w:r>
          <w:r>
            <w:t>75</w:t>
          </w:r>
          <w:r>
            <w:fldChar w:fldCharType="end"/>
          </w:r>
          <w:r>
            <w:rPr>
              <w:rFonts w:asciiTheme="minorEastAsia" w:hAnsiTheme="minorEastAsia" w:eastAsiaTheme="minorEastAsia" w:cstheme="minorEastAsia"/>
            </w:rPr>
            <w:fldChar w:fldCharType="end"/>
          </w:r>
        </w:p>
        <w:p w14:paraId="6EEFD39D">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_Toc32455 </w:instrText>
          </w:r>
          <w:r>
            <w:rPr>
              <w:rFonts w:asciiTheme="minorEastAsia" w:hAnsiTheme="minorEastAsia" w:eastAsiaTheme="minorEastAsia" w:cstheme="minorEastAsia"/>
            </w:rPr>
            <w:fldChar w:fldCharType="separate"/>
          </w:r>
          <w:r>
            <w:rPr>
              <w:rFonts w:hint="eastAsia" w:ascii="仿宋" w:hAnsi="仿宋" w:eastAsia="仿宋"/>
              <w:szCs w:val="32"/>
            </w:rPr>
            <w:t>九、一般公共预算财政拨款项目支出决算表</w:t>
          </w:r>
          <w:r>
            <w:tab/>
          </w:r>
          <w:r>
            <w:fldChar w:fldCharType="begin"/>
          </w:r>
          <w:r>
            <w:instrText xml:space="preserve"> PAGEREF _Toc32455 \h </w:instrText>
          </w:r>
          <w:r>
            <w:fldChar w:fldCharType="separate"/>
          </w:r>
          <w:r>
            <w:t>75</w:t>
          </w:r>
          <w:r>
            <w:fldChar w:fldCharType="end"/>
          </w:r>
          <w:r>
            <w:rPr>
              <w:rFonts w:asciiTheme="minorEastAsia" w:hAnsiTheme="minorEastAsia" w:eastAsiaTheme="minorEastAsia" w:cstheme="minorEastAsia"/>
            </w:rPr>
            <w:fldChar w:fldCharType="end"/>
          </w:r>
        </w:p>
        <w:p w14:paraId="68B27D10">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_Toc1202 </w:instrText>
          </w:r>
          <w:r>
            <w:rPr>
              <w:rFonts w:asciiTheme="minorEastAsia" w:hAnsiTheme="minorEastAsia" w:eastAsiaTheme="minorEastAsia" w:cstheme="minorEastAsia"/>
            </w:rPr>
            <w:fldChar w:fldCharType="separate"/>
          </w:r>
          <w:r>
            <w:rPr>
              <w:rFonts w:hint="eastAsia" w:ascii="仿宋" w:hAnsi="仿宋" w:eastAsia="仿宋"/>
              <w:szCs w:val="32"/>
            </w:rPr>
            <w:t>十、政府性基金预算财政拨款收入支出决算表</w:t>
          </w:r>
          <w:r>
            <w:tab/>
          </w:r>
          <w:r>
            <w:fldChar w:fldCharType="begin"/>
          </w:r>
          <w:r>
            <w:instrText xml:space="preserve"> PAGEREF _Toc1202 \h </w:instrText>
          </w:r>
          <w:r>
            <w:fldChar w:fldCharType="separate"/>
          </w:r>
          <w:r>
            <w:t>75</w:t>
          </w:r>
          <w:r>
            <w:fldChar w:fldCharType="end"/>
          </w:r>
          <w:r>
            <w:rPr>
              <w:rFonts w:asciiTheme="minorEastAsia" w:hAnsiTheme="minorEastAsia" w:eastAsiaTheme="minorEastAsia" w:cstheme="minorEastAsia"/>
            </w:rPr>
            <w:fldChar w:fldCharType="end"/>
          </w:r>
        </w:p>
        <w:p w14:paraId="44EC771C">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_Toc4241 </w:instrText>
          </w:r>
          <w:r>
            <w:rPr>
              <w:rFonts w:asciiTheme="minorEastAsia" w:hAnsiTheme="minorEastAsia" w:eastAsiaTheme="minorEastAsia" w:cstheme="minorEastAsia"/>
            </w:rPr>
            <w:fldChar w:fldCharType="separate"/>
          </w:r>
          <w:r>
            <w:rPr>
              <w:rFonts w:hint="eastAsia" w:ascii="仿宋" w:hAnsi="仿宋" w:eastAsia="仿宋"/>
              <w:szCs w:val="32"/>
            </w:rPr>
            <w:t>十一、国有资本经营预算财政拨款收入支出决算表</w:t>
          </w:r>
          <w:r>
            <w:tab/>
          </w:r>
          <w:r>
            <w:fldChar w:fldCharType="begin"/>
          </w:r>
          <w:r>
            <w:instrText xml:space="preserve"> PAGEREF _Toc4241 \h </w:instrText>
          </w:r>
          <w:r>
            <w:fldChar w:fldCharType="separate"/>
          </w:r>
          <w:r>
            <w:t>75</w:t>
          </w:r>
          <w:r>
            <w:fldChar w:fldCharType="end"/>
          </w:r>
          <w:r>
            <w:rPr>
              <w:rFonts w:asciiTheme="minorEastAsia" w:hAnsiTheme="minorEastAsia" w:eastAsiaTheme="minorEastAsia" w:cstheme="minorEastAsia"/>
            </w:rPr>
            <w:fldChar w:fldCharType="end"/>
          </w:r>
        </w:p>
        <w:p w14:paraId="1BD37DC1">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_Toc13185 </w:instrText>
          </w:r>
          <w:r>
            <w:rPr>
              <w:rFonts w:asciiTheme="minorEastAsia" w:hAnsiTheme="minorEastAsia" w:eastAsiaTheme="minorEastAsia" w:cstheme="minorEastAsia"/>
            </w:rPr>
            <w:fldChar w:fldCharType="separate"/>
          </w:r>
          <w:r>
            <w:rPr>
              <w:rFonts w:hint="eastAsia" w:ascii="仿宋" w:hAnsi="仿宋" w:eastAsia="仿宋"/>
              <w:szCs w:val="32"/>
            </w:rPr>
            <w:t>十二、国有资本经营预算财政拨款支出决算表</w:t>
          </w:r>
          <w:r>
            <w:tab/>
          </w:r>
          <w:r>
            <w:fldChar w:fldCharType="begin"/>
          </w:r>
          <w:r>
            <w:instrText xml:space="preserve"> PAGEREF _Toc13185 \h </w:instrText>
          </w:r>
          <w:r>
            <w:fldChar w:fldCharType="separate"/>
          </w:r>
          <w:r>
            <w:t>75</w:t>
          </w:r>
          <w:r>
            <w:fldChar w:fldCharType="end"/>
          </w:r>
          <w:r>
            <w:rPr>
              <w:rFonts w:asciiTheme="minorEastAsia" w:hAnsiTheme="minorEastAsia" w:eastAsiaTheme="minorEastAsia" w:cstheme="minorEastAsia"/>
            </w:rPr>
            <w:fldChar w:fldCharType="end"/>
          </w:r>
        </w:p>
        <w:p w14:paraId="3318B448">
          <w:pPr>
            <w:pStyle w:val="37"/>
            <w:tabs>
              <w:tab w:val="right" w:leader="dot" w:pos="8306"/>
            </w:tabs>
          </w:pPr>
          <w:r>
            <w:rPr>
              <w:rFonts w:asciiTheme="minorEastAsia" w:hAnsiTheme="minorEastAsia" w:eastAsiaTheme="minorEastAsia" w:cstheme="minorEastAsia"/>
            </w:rPr>
            <w:fldChar w:fldCharType="begin"/>
          </w:r>
          <w:r>
            <w:rPr>
              <w:rFonts w:asciiTheme="minorEastAsia" w:hAnsiTheme="minorEastAsia" w:eastAsiaTheme="minorEastAsia" w:cstheme="minorEastAsia"/>
            </w:rPr>
            <w:instrText xml:space="preserve"> HYPERLINK \l _Toc22716 </w:instrText>
          </w:r>
          <w:r>
            <w:rPr>
              <w:rFonts w:asciiTheme="minorEastAsia" w:hAnsiTheme="minorEastAsia" w:eastAsiaTheme="minorEastAsia" w:cstheme="minorEastAsia"/>
            </w:rPr>
            <w:fldChar w:fldCharType="separate"/>
          </w:r>
          <w:r>
            <w:rPr>
              <w:rFonts w:hint="eastAsia" w:ascii="仿宋" w:hAnsi="仿宋" w:eastAsia="仿宋"/>
              <w:szCs w:val="32"/>
            </w:rPr>
            <w:t>十三、财政拨款“三公”经费支出决算表</w:t>
          </w:r>
          <w:r>
            <w:tab/>
          </w:r>
          <w:r>
            <w:fldChar w:fldCharType="begin"/>
          </w:r>
          <w:r>
            <w:instrText xml:space="preserve"> PAGEREF _Toc22716 \h </w:instrText>
          </w:r>
          <w:r>
            <w:fldChar w:fldCharType="separate"/>
          </w:r>
          <w:r>
            <w:t>75</w:t>
          </w:r>
          <w:r>
            <w:fldChar w:fldCharType="end"/>
          </w:r>
          <w:r>
            <w:rPr>
              <w:rFonts w:asciiTheme="minorEastAsia" w:hAnsiTheme="minorEastAsia" w:eastAsiaTheme="minorEastAsia" w:cstheme="minorEastAsia"/>
            </w:rPr>
            <w:fldChar w:fldCharType="end"/>
          </w:r>
        </w:p>
        <w:p w14:paraId="1ADF09A7">
          <w:pPr>
            <w:pStyle w:val="13"/>
            <w:adjustRightInd w:val="0"/>
            <w:snapToGrid w:val="0"/>
            <w:spacing w:line="440" w:lineRule="exact"/>
            <w:jc w:val="left"/>
            <w:rPr>
              <w:rFonts w:asciiTheme="minorEastAsia" w:hAnsiTheme="minorEastAsia" w:eastAsiaTheme="minorEastAsia" w:cstheme="minorEastAsia"/>
              <w:b/>
              <w:kern w:val="2"/>
              <w:sz w:val="21"/>
              <w:szCs w:val="24"/>
              <w:lang w:val="en-US" w:eastAsia="zh-CN" w:bidi="ar-SA"/>
            </w:rPr>
          </w:pPr>
          <w:r>
            <w:rPr>
              <w:rFonts w:asciiTheme="minorEastAsia" w:hAnsiTheme="minorEastAsia" w:eastAsiaTheme="minorEastAsia" w:cstheme="minorEastAsia"/>
              <w:b/>
            </w:rPr>
            <w:fldChar w:fldCharType="end"/>
          </w:r>
        </w:p>
      </w:sdtContent>
    </w:sdt>
    <w:p w14:paraId="53273348"/>
    <w:p w14:paraId="49677BF9">
      <w:pPr>
        <w:widowControl/>
        <w:adjustRightInd w:val="0"/>
        <w:snapToGrid w:val="0"/>
        <w:spacing w:line="440" w:lineRule="exact"/>
        <w:jc w:val="left"/>
        <w:rPr>
          <w:rFonts w:ascii="仿宋" w:hAnsi="仿宋" w:eastAsia="仿宋"/>
          <w:sz w:val="24"/>
        </w:rPr>
      </w:pPr>
    </w:p>
    <w:p w14:paraId="769720A0">
      <w:pPr>
        <w:widowControl/>
        <w:spacing w:line="440" w:lineRule="exact"/>
        <w:jc w:val="left"/>
        <w:rPr>
          <w:rFonts w:ascii="仿宋" w:hAnsi="仿宋" w:eastAsia="仿宋"/>
          <w:bCs/>
          <w:kern w:val="44"/>
          <w:sz w:val="24"/>
        </w:rPr>
      </w:pPr>
      <w:bookmarkStart w:id="14" w:name="_Toc15377196"/>
      <w:bookmarkStart w:id="15" w:name="_Toc15396599"/>
      <w:r>
        <w:rPr>
          <w:rFonts w:ascii="仿宋" w:hAnsi="仿宋" w:eastAsia="仿宋"/>
          <w:b/>
          <w:sz w:val="24"/>
        </w:rPr>
        <w:br w:type="page"/>
      </w:r>
    </w:p>
    <w:p w14:paraId="61E26CEF">
      <w:pPr>
        <w:pStyle w:val="2"/>
        <w:jc w:val="center"/>
        <w:rPr>
          <w:rStyle w:val="29"/>
          <w:rFonts w:ascii="黑体" w:hAnsi="黑体" w:eastAsia="黑体"/>
          <w:b/>
          <w:bCs w:val="0"/>
        </w:rPr>
      </w:pPr>
      <w:bookmarkStart w:id="16" w:name="_Toc9524"/>
      <w:r>
        <w:rPr>
          <w:rFonts w:hint="eastAsia" w:ascii="黑体" w:hAnsi="黑体" w:eastAsia="黑体"/>
          <w:b w:val="0"/>
        </w:rPr>
        <w:t xml:space="preserve">第一部分 </w:t>
      </w:r>
      <w:r>
        <w:rPr>
          <w:rStyle w:val="29"/>
          <w:rFonts w:hint="eastAsia" w:ascii="黑体" w:hAnsi="黑体" w:eastAsia="黑体"/>
          <w:b w:val="0"/>
          <w:bCs w:val="0"/>
        </w:rPr>
        <w:t>部门概况</w:t>
      </w:r>
      <w:bookmarkEnd w:id="14"/>
      <w:bookmarkEnd w:id="15"/>
      <w:bookmarkEnd w:id="16"/>
    </w:p>
    <w:p w14:paraId="4EB33C32">
      <w:pPr>
        <w:widowControl/>
        <w:jc w:val="left"/>
        <w:rPr>
          <w:rFonts w:ascii="黑体" w:eastAsia="黑体"/>
          <w:sz w:val="32"/>
          <w:szCs w:val="32"/>
        </w:rPr>
      </w:pPr>
    </w:p>
    <w:p w14:paraId="1FB85973">
      <w:pPr>
        <w:pStyle w:val="3"/>
        <w:rPr>
          <w:rFonts w:hint="eastAsia" w:ascii="黑体" w:hAnsi="黑体" w:eastAsia="黑体"/>
          <w:b w:val="0"/>
        </w:rPr>
      </w:pPr>
      <w:bookmarkStart w:id="17" w:name="_Toc15396600"/>
      <w:bookmarkStart w:id="18" w:name="_Toc15377197"/>
      <w:bookmarkStart w:id="19" w:name="_Toc8212"/>
      <w:r>
        <w:rPr>
          <w:rFonts w:hint="eastAsia" w:ascii="黑体" w:hAnsi="黑体" w:eastAsia="黑体"/>
          <w:b w:val="0"/>
        </w:rPr>
        <w:t>一、</w:t>
      </w:r>
      <w:bookmarkEnd w:id="17"/>
      <w:bookmarkEnd w:id="18"/>
      <w:r>
        <w:rPr>
          <w:rFonts w:hint="eastAsia" w:ascii="黑体" w:hAnsi="黑体" w:eastAsia="黑体"/>
          <w:b w:val="0"/>
        </w:rPr>
        <w:t>部门职责</w:t>
      </w:r>
      <w:bookmarkEnd w:id="19"/>
    </w:p>
    <w:p w14:paraId="40C5A400">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1、组织拟订全县国民健康政策。负责拟订卫生健康事业发展规划、制定卫生健康地方标准与技术规范并组织实施。统筹配置全县卫生健康资源。制定并组织实施推进卫生健康基本公共服务均等化、普惠化、便捷化和公共资源向基层延伸等政策措施。负责全县职业安全健康监督管理工作。</w:t>
      </w:r>
    </w:p>
    <w:p w14:paraId="59F4D1A0">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2、牵头推进全县深化医药卫生体制改革。研究提出深化改革重大政策、措施的建议。负责全县分级诊疗、现代医院管理、 全民健康、药品供应保障、综合监管等基本医疗卫生制度建设制定并组织实施推动卫生健康公共服务提供主体多元化、提供方 式多样化的政策措施。承担县深化医药卫生体制改革领导小组办 公室职责。</w:t>
      </w:r>
    </w:p>
    <w:p w14:paraId="1E77C519">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3、制定并组织落实全县疾病预防控制规划、免疫规划以及严重危害人民健康的艾滋病等重大传染病、寄生虫病、地方病等公共卫生问题的干预措施。负责全县卫生应急工作，组织和指导全县突发公共卫生事件预防控制和各类突发公共事件的医疗卫生救援。发布法定报告传染病疫情信息、突发公共卫生事件应急处置信息。依照国家检疫传染病和监测传染病目录，参与开展检疫监测工作。</w:t>
      </w:r>
    </w:p>
    <w:p w14:paraId="658B9977">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4、贯彻落实国家应对人口老龄化政策措施。负责推进老年健康服务体系建设和医养结合工作。承担县老龄工作委员会日常工作。</w:t>
      </w:r>
    </w:p>
    <w:p w14:paraId="336069A8">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5、贯彻落实国家药物政策和国家基本药物制度。开展药械使用监测、临床综合评价和短缺药品预警，组织执行国家药典和国家基本药物目录，制定基本药物使用的政策措施。组织实施食品安全风险监测，公布食品安全地方标准。开展食品安全企业标准备案。</w:t>
      </w:r>
    </w:p>
    <w:p w14:paraId="1B2D00AD">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6、负责职责范围内的职业卫生、放射卫生、环境卫生、学校卫生、公共场所卫生、饮用水卫生等公共卫生的监督管理。负责传染病防治监督，健全卫生健康综合监管体系。</w:t>
      </w:r>
    </w:p>
    <w:p w14:paraId="42144CE2">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7、制定全县医疗机构、医疗服务行业管理办法并监督实施，建立医疗服务评价和监督管理体系。会同有关部门实施卫生健康专业技术人员资格标准。制定并组织实施医疗服务规范、标准和卫生健康专业技术人员执业规则、服务规范。负责医疗机构、 人员和行为的日常监管。</w:t>
      </w:r>
    </w:p>
    <w:p w14:paraId="41881C93">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8、负责全县计划生育管理和服务工作。开展人口监测预警， 研究提出人口与家庭发展相关政策建议，完善计划生育政策。</w:t>
      </w:r>
    </w:p>
    <w:p w14:paraId="631FE101">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9、指导乡镇、村卫生健康工作。指导基层医疗卫生、妇幼健康服务体系和基层卫生队伍建设。推进卫生健康科技创新发展。</w:t>
      </w:r>
    </w:p>
    <w:p w14:paraId="051831ED">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10、负责县确定的保健对象的医疗保健工作。负责县级有关部门（单位）离休干部医疗管理工作，负责重要会议与重大活动的医疗卫生保障工作。</w:t>
      </w:r>
    </w:p>
    <w:p w14:paraId="032F9EFE">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11、拟订并组织实施促进全县中医药事业中长期发展规划，实施全县中医医疗机构和中医医疗服务全行业管理办法，承担全县中医医疗、预防、保健、康复及临床用药等监督管理责任。 组织开展全县中药资源普查，促进中药资源的保护、开发和合理利用。</w:t>
      </w:r>
    </w:p>
    <w:p w14:paraId="2D7B267C">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12、负责职责范围内的安全生产和职业健康、生态环境保护、服务便民化等工作。</w:t>
      </w:r>
    </w:p>
    <w:p w14:paraId="2A173DD8">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13、负责卫生健康行政复议的办理和行政诉讼的应诉工作；负责卫生健康行政执法与刑事司法衔接工作；负责卫生健康行政许可及相关行政服务信息共享工作；负责处理行政审批、综合行政执法等部门提出的事中事后监管建议意见。</w:t>
      </w:r>
    </w:p>
    <w:p w14:paraId="35B14088">
      <w:pPr>
        <w:pStyle w:val="3"/>
        <w:rPr>
          <w:rStyle w:val="30"/>
          <w:b w:val="0"/>
          <w:bCs w:val="0"/>
        </w:rPr>
      </w:pPr>
      <w:bookmarkStart w:id="20" w:name="_Toc15377200"/>
      <w:bookmarkStart w:id="21" w:name="_Toc6269"/>
      <w:bookmarkStart w:id="22" w:name="_Toc15396601"/>
      <w:r>
        <w:rPr>
          <w:rFonts w:hint="eastAsia" w:ascii="黑体" w:eastAsia="黑体"/>
          <w:b w:val="0"/>
        </w:rPr>
        <w:t>二、</w:t>
      </w:r>
      <w:r>
        <w:rPr>
          <w:rFonts w:hint="eastAsia" w:ascii="黑体" w:hAnsi="黑体" w:eastAsia="黑体"/>
          <w:b w:val="0"/>
        </w:rPr>
        <w:t>机</w:t>
      </w:r>
      <w:r>
        <w:rPr>
          <w:rStyle w:val="30"/>
          <w:rFonts w:hint="eastAsia" w:ascii="黑体" w:hAnsi="黑体" w:eastAsia="黑体"/>
          <w:b w:val="0"/>
          <w:bCs w:val="0"/>
        </w:rPr>
        <w:t>构设置</w:t>
      </w:r>
      <w:bookmarkEnd w:id="20"/>
      <w:bookmarkEnd w:id="21"/>
      <w:bookmarkEnd w:id="22"/>
    </w:p>
    <w:p w14:paraId="4C1C52A3">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峨边彝族自治县卫生健康局下属二级预算单位20个，其中行政单位</w:t>
      </w:r>
      <w:r>
        <w:rPr>
          <w:rFonts w:hint="eastAsia" w:ascii="仿宋" w:hAnsi="仿宋" w:eastAsia="仿宋" w:cs="仿宋"/>
          <w:sz w:val="32"/>
          <w:szCs w:val="32"/>
          <w:lang w:val="en-US" w:eastAsia="zh-CN"/>
        </w:rPr>
        <w:t>1</w:t>
      </w:r>
      <w:r>
        <w:rPr>
          <w:rFonts w:hint="eastAsia" w:ascii="仿宋" w:hAnsi="仿宋" w:eastAsia="仿宋" w:cs="仿宋"/>
          <w:sz w:val="32"/>
          <w:szCs w:val="32"/>
        </w:rPr>
        <w:t>个，参照公务员法管理的事业单位</w:t>
      </w:r>
      <w:r>
        <w:rPr>
          <w:rFonts w:hint="eastAsia" w:ascii="仿宋" w:hAnsi="仿宋" w:eastAsia="仿宋" w:cs="仿宋"/>
          <w:sz w:val="32"/>
          <w:szCs w:val="32"/>
          <w:lang w:val="en-US" w:eastAsia="zh-CN"/>
        </w:rPr>
        <w:t>1</w:t>
      </w:r>
      <w:r>
        <w:rPr>
          <w:rFonts w:hint="eastAsia" w:ascii="仿宋" w:hAnsi="仿宋" w:eastAsia="仿宋" w:cs="仿宋"/>
          <w:sz w:val="32"/>
          <w:szCs w:val="32"/>
        </w:rPr>
        <w:t>个，其他事业单位</w:t>
      </w:r>
      <w:r>
        <w:rPr>
          <w:rFonts w:hint="eastAsia" w:ascii="仿宋" w:hAnsi="仿宋" w:eastAsia="仿宋" w:cs="仿宋"/>
          <w:sz w:val="32"/>
          <w:szCs w:val="32"/>
          <w:lang w:val="en-US" w:eastAsia="zh-CN"/>
        </w:rPr>
        <w:t>18</w:t>
      </w:r>
      <w:r>
        <w:rPr>
          <w:rFonts w:hint="eastAsia" w:ascii="仿宋" w:hAnsi="仿宋" w:eastAsia="仿宋" w:cs="仿宋"/>
          <w:sz w:val="32"/>
          <w:szCs w:val="32"/>
        </w:rPr>
        <w:t>个。</w:t>
      </w:r>
    </w:p>
    <w:p w14:paraId="1F3FAD15">
      <w:pPr>
        <w:bidi w:val="0"/>
        <w:ind w:left="0" w:leftChars="0" w:firstLine="640" w:firstLineChars="200"/>
        <w:jc w:val="left"/>
        <w:rPr>
          <w:rFonts w:hint="eastAsia" w:ascii="仿宋" w:hAnsi="仿宋" w:eastAsia="仿宋" w:cs="仿宋"/>
          <w:sz w:val="32"/>
          <w:szCs w:val="32"/>
        </w:rPr>
      </w:pPr>
      <w:r>
        <w:rPr>
          <w:rFonts w:hint="eastAsia" w:ascii="仿宋" w:hAnsi="仿宋" w:eastAsia="仿宋" w:cs="仿宋"/>
          <w:sz w:val="32"/>
          <w:szCs w:val="32"/>
        </w:rPr>
        <w:t>纳入峨边彝族自治县卫生健康局2023年度部门决算编制范围的二级预算单位包括：</w:t>
      </w:r>
    </w:p>
    <w:p w14:paraId="159BCCC5">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1.峨边彝族自治县卫生健康局(本级）</w:t>
      </w:r>
    </w:p>
    <w:p w14:paraId="01C0CEE7">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2.峨边彝族自治县卫生和计划生育监督执法大队</w:t>
      </w:r>
    </w:p>
    <w:p w14:paraId="4247FCA4">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3.峨边彝族自治县疾病预防控制中心</w:t>
      </w:r>
    </w:p>
    <w:p w14:paraId="0739F52B">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4.峨边彝族自治县妇幼保健计划生育服务中心</w:t>
      </w:r>
    </w:p>
    <w:p w14:paraId="5EC619C3">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5.峨边彝族自治县人民医院</w:t>
      </w:r>
    </w:p>
    <w:p w14:paraId="1293FD04">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6.峨边彝族自治县中医医院</w:t>
      </w:r>
    </w:p>
    <w:p w14:paraId="7116ADD9">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7.峨边彝族自治县大堡镇中心卫生院</w:t>
      </w:r>
    </w:p>
    <w:p w14:paraId="3FBE94E0">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8.峨边彝族自治县新林镇中心卫生院</w:t>
      </w:r>
    </w:p>
    <w:p w14:paraId="6CB6D0DF">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9.峨边彝族自治县毛坪镇中心卫生院</w:t>
      </w:r>
    </w:p>
    <w:p w14:paraId="1B76F1EC">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10.峨边彝族自治县五渡镇中心卫生院</w:t>
      </w:r>
    </w:p>
    <w:p w14:paraId="4918A156">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11.峨边彝族自治县黑竹沟镇中心卫生院</w:t>
      </w:r>
    </w:p>
    <w:p w14:paraId="193734C0">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12.峨边彝族自治县平等乡卫生院</w:t>
      </w:r>
    </w:p>
    <w:p w14:paraId="1B47772B">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13.峨边彝族自治县金岩乡卫生院</w:t>
      </w:r>
    </w:p>
    <w:p w14:paraId="202C02DF">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14.峨边彝族自治县勒乌乡卫生院</w:t>
      </w:r>
    </w:p>
    <w:p w14:paraId="03665651">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15.峨边彝族自治县沙坪镇红花卫生院</w:t>
      </w:r>
    </w:p>
    <w:p w14:paraId="4EE53505">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16.峨边彝族自治县宜坪乡卫生院</w:t>
      </w:r>
    </w:p>
    <w:p w14:paraId="3A681FBA">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17.峨边彝族自治县红旗镇卫生院</w:t>
      </w:r>
    </w:p>
    <w:p w14:paraId="2B8A1320">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18.峨边彝族自治县杨河乡卫生院</w:t>
      </w:r>
    </w:p>
    <w:p w14:paraId="3047588B">
      <w:pPr>
        <w:spacing w:before="93"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19.峨边彝族自治县沙坪镇共和卫生院</w:t>
      </w:r>
    </w:p>
    <w:p w14:paraId="164CCECF">
      <w:pPr>
        <w:spacing w:before="93" w:line="576" w:lineRule="exact"/>
        <w:ind w:firstLine="640"/>
        <w:jc w:val="both"/>
        <w:rPr>
          <w:rFonts w:ascii="仿宋" w:hAnsi="仿宋" w:eastAsia="仿宋"/>
          <w:sz w:val="32"/>
          <w:szCs w:val="32"/>
        </w:rPr>
      </w:pPr>
      <w:r>
        <w:rPr>
          <w:rFonts w:hint="eastAsia" w:ascii="仿宋_GB2312" w:hAnsi="仿宋_GB2312" w:eastAsia="仿宋_GB2312"/>
          <w:color w:val="000000"/>
          <w:kern w:val="2"/>
          <w:sz w:val="32"/>
          <w:szCs w:val="24"/>
          <w:lang w:val="zh-CN"/>
        </w:rPr>
        <w:t>20.峨边彝族自治县新场乡卫生院</w:t>
      </w:r>
    </w:p>
    <w:p w14:paraId="581DE950">
      <w:pPr>
        <w:widowControl/>
        <w:jc w:val="left"/>
        <w:rPr>
          <w:rFonts w:ascii="仿宋" w:hAnsi="仿宋" w:eastAsia="仿宋"/>
          <w:kern w:val="0"/>
          <w:sz w:val="32"/>
          <w:szCs w:val="32"/>
        </w:rPr>
      </w:pPr>
      <w:r>
        <w:rPr>
          <w:rFonts w:ascii="仿宋" w:hAnsi="仿宋" w:eastAsia="仿宋"/>
          <w:sz w:val="32"/>
          <w:szCs w:val="32"/>
        </w:rPr>
        <w:br w:type="page"/>
      </w:r>
    </w:p>
    <w:p w14:paraId="7A9BA242">
      <w:pPr>
        <w:pStyle w:val="2"/>
        <w:ind w:right="440"/>
        <w:jc w:val="center"/>
        <w:rPr>
          <w:rStyle w:val="29"/>
          <w:rFonts w:ascii="黑体" w:hAnsi="黑体" w:eastAsia="黑体"/>
          <w:b w:val="0"/>
          <w:bCs/>
        </w:rPr>
      </w:pPr>
      <w:bookmarkStart w:id="23" w:name="_Toc15377204"/>
      <w:bookmarkStart w:id="24" w:name="_Toc15193"/>
      <w:bookmarkStart w:id="25" w:name="_Toc15396602"/>
      <w:r>
        <w:rPr>
          <w:rFonts w:hint="eastAsia" w:ascii="黑体" w:hAnsi="黑体" w:eastAsia="黑体"/>
          <w:b w:val="0"/>
        </w:rPr>
        <w:t>第二部分 2023年度</w:t>
      </w:r>
      <w:r>
        <w:rPr>
          <w:rStyle w:val="29"/>
          <w:rFonts w:hint="eastAsia" w:ascii="黑体" w:hAnsi="黑体" w:eastAsia="黑体"/>
          <w:b w:val="0"/>
          <w:bCs/>
        </w:rPr>
        <w:t>部门决算情况说明</w:t>
      </w:r>
      <w:bookmarkEnd w:id="23"/>
      <w:bookmarkEnd w:id="24"/>
      <w:bookmarkEnd w:id="25"/>
    </w:p>
    <w:p w14:paraId="5406FA35"/>
    <w:p w14:paraId="53DB0B01">
      <w:pPr>
        <w:pStyle w:val="28"/>
        <w:numPr>
          <w:ilvl w:val="0"/>
          <w:numId w:val="1"/>
        </w:numPr>
        <w:spacing w:line="600" w:lineRule="exact"/>
        <w:ind w:firstLineChars="0"/>
        <w:outlineLvl w:val="1"/>
        <w:rPr>
          <w:rStyle w:val="30"/>
          <w:rFonts w:ascii="黑体" w:hAnsi="黑体" w:eastAsia="黑体"/>
          <w:b w:val="0"/>
        </w:rPr>
      </w:pPr>
      <w:bookmarkStart w:id="26" w:name="_Toc6380"/>
      <w:bookmarkStart w:id="27" w:name="_Toc15396603"/>
      <w:bookmarkStart w:id="28" w:name="_Toc15377205"/>
      <w:r>
        <w:rPr>
          <w:rFonts w:hint="eastAsia" w:ascii="黑体" w:hAnsi="黑体" w:eastAsia="黑体"/>
          <w:sz w:val="32"/>
          <w:szCs w:val="32"/>
        </w:rPr>
        <w:t>收</w:t>
      </w:r>
      <w:r>
        <w:rPr>
          <w:rStyle w:val="30"/>
          <w:rFonts w:hint="eastAsia" w:ascii="黑体" w:hAnsi="黑体" w:eastAsia="黑体"/>
          <w:b w:val="0"/>
        </w:rPr>
        <w:t>入支出决算总体情况说明</w:t>
      </w:r>
      <w:bookmarkEnd w:id="26"/>
      <w:bookmarkEnd w:id="27"/>
      <w:bookmarkEnd w:id="28"/>
    </w:p>
    <w:p w14:paraId="245DEAFF">
      <w:pPr>
        <w:spacing w:line="600" w:lineRule="exact"/>
        <w:ind w:firstLine="640" w:firstLineChars="200"/>
        <w:jc w:val="left"/>
        <w:rPr>
          <w:rFonts w:hint="eastAsia" w:ascii="仿宋" w:hAnsi="仿宋" w:eastAsia="仿宋"/>
          <w:sz w:val="32"/>
          <w:szCs w:val="32"/>
        </w:rPr>
      </w:pPr>
      <w:r>
        <w:rPr>
          <w:rFonts w:hint="eastAsia" w:ascii="仿宋" w:hAnsi="仿宋" w:eastAsia="仿宋"/>
          <w:sz w:val="32"/>
          <w:szCs w:val="32"/>
        </w:rPr>
        <w:t>2023年度收、支总计均为</w:t>
      </w:r>
      <w:r>
        <w:rPr>
          <w:rFonts w:hint="eastAsia"/>
          <w:sz w:val="32"/>
          <w:szCs w:val="32"/>
        </w:rPr>
        <w:t>21123.2</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与2022年度相比，收、支总计各增加</w:t>
      </w:r>
      <w:r>
        <w:rPr>
          <w:rFonts w:hint="eastAsia" w:ascii="仿宋" w:hAnsi="仿宋" w:eastAsia="仿宋"/>
          <w:sz w:val="32"/>
          <w:szCs w:val="32"/>
          <w:lang w:val="en-US" w:eastAsia="zh-CN"/>
        </w:rPr>
        <w:t>330.77</w:t>
      </w:r>
      <w:r>
        <w:rPr>
          <w:rFonts w:hint="eastAsia" w:ascii="仿宋" w:hAnsi="仿宋" w:eastAsia="仿宋"/>
          <w:sz w:val="32"/>
          <w:szCs w:val="32"/>
        </w:rPr>
        <w:t>万元，增长</w:t>
      </w:r>
      <w:r>
        <w:rPr>
          <w:rFonts w:hint="eastAsia" w:ascii="仿宋" w:hAnsi="仿宋" w:eastAsia="仿宋"/>
          <w:sz w:val="32"/>
          <w:szCs w:val="32"/>
          <w:lang w:val="en-US" w:eastAsia="zh-CN"/>
        </w:rPr>
        <w:t>1.59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2023年人员经费支出增加</w:t>
      </w:r>
      <w:r>
        <w:rPr>
          <w:rFonts w:hint="eastAsia" w:ascii="仿宋" w:hAnsi="仿宋" w:eastAsia="仿宋"/>
          <w:sz w:val="32"/>
          <w:szCs w:val="32"/>
        </w:rPr>
        <w:t>。</w:t>
      </w:r>
    </w:p>
    <w:p w14:paraId="1A6ABAC1">
      <w:pPr>
        <w:spacing w:line="240" w:lineRule="auto"/>
        <w:ind w:firstLine="0" w:firstLineChars="0"/>
        <w:jc w:val="center"/>
        <w:rPr>
          <w:rFonts w:hint="eastAsia" w:ascii="仿宋" w:hAnsi="仿宋" w:eastAsia="仿宋"/>
          <w:sz w:val="32"/>
          <w:szCs w:val="32"/>
        </w:rPr>
      </w:pPr>
      <w:r>
        <w:drawing>
          <wp:inline distT="0" distB="0" distL="114300" distR="114300">
            <wp:extent cx="4562475" cy="2905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562475" cy="2905125"/>
                    </a:xfrm>
                    <a:prstGeom prst="rect">
                      <a:avLst/>
                    </a:prstGeom>
                    <a:noFill/>
                    <a:ln>
                      <a:noFill/>
                    </a:ln>
                  </pic:spPr>
                </pic:pic>
              </a:graphicData>
            </a:graphic>
          </wp:inline>
        </w:drawing>
      </w:r>
    </w:p>
    <w:p w14:paraId="4CE1FB12">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0811D8A8">
      <w:pPr>
        <w:spacing w:line="600" w:lineRule="exact"/>
        <w:ind w:firstLine="640" w:firstLineChars="200"/>
        <w:jc w:val="left"/>
        <w:rPr>
          <w:rFonts w:ascii="仿宋_GB2312" w:eastAsia="仿宋_GB2312"/>
          <w:sz w:val="32"/>
          <w:szCs w:val="32"/>
        </w:rPr>
      </w:pPr>
    </w:p>
    <w:p w14:paraId="1FBE1B71">
      <w:pPr>
        <w:pStyle w:val="28"/>
        <w:numPr>
          <w:ilvl w:val="0"/>
          <w:numId w:val="1"/>
        </w:numPr>
        <w:spacing w:line="600" w:lineRule="exact"/>
        <w:ind w:firstLineChars="0"/>
        <w:outlineLvl w:val="1"/>
        <w:rPr>
          <w:rStyle w:val="30"/>
          <w:rFonts w:ascii="黑体" w:hAnsi="黑体" w:eastAsia="黑体"/>
          <w:b w:val="0"/>
        </w:rPr>
      </w:pPr>
      <w:bookmarkStart w:id="29" w:name="_Toc15396604"/>
      <w:bookmarkStart w:id="30" w:name="_Toc15377206"/>
      <w:bookmarkStart w:id="31" w:name="_Toc11884"/>
      <w:r>
        <w:rPr>
          <w:rFonts w:hint="eastAsia" w:ascii="黑体" w:hAnsi="黑体" w:eastAsia="黑体"/>
          <w:sz w:val="32"/>
          <w:szCs w:val="32"/>
        </w:rPr>
        <w:t>收</w:t>
      </w:r>
      <w:r>
        <w:rPr>
          <w:rStyle w:val="30"/>
          <w:rFonts w:hint="eastAsia" w:ascii="黑体" w:hAnsi="黑体" w:eastAsia="黑体"/>
          <w:b w:val="0"/>
        </w:rPr>
        <w:t>入决算情况说明</w:t>
      </w:r>
      <w:bookmarkEnd w:id="29"/>
      <w:bookmarkEnd w:id="30"/>
      <w:bookmarkEnd w:id="31"/>
    </w:p>
    <w:p w14:paraId="01B9886F">
      <w:pPr>
        <w:spacing w:line="600" w:lineRule="exact"/>
        <w:ind w:firstLine="640" w:firstLineChars="200"/>
        <w:jc w:val="left"/>
        <w:outlineLvl w:val="1"/>
        <w:rPr>
          <w:rFonts w:ascii="仿宋" w:hAnsi="仿宋" w:eastAsia="仿宋"/>
          <w:sz w:val="32"/>
          <w:szCs w:val="32"/>
        </w:rPr>
      </w:pPr>
      <w:bookmarkStart w:id="32" w:name="_Toc8504"/>
      <w:r>
        <w:rPr>
          <w:rFonts w:hint="eastAsia" w:ascii="仿宋" w:hAnsi="仿宋" w:eastAsia="仿宋"/>
          <w:sz w:val="32"/>
          <w:szCs w:val="32"/>
        </w:rPr>
        <w:t>2023年度本年收入合计</w:t>
      </w:r>
      <w:r>
        <w:rPr>
          <w:sz w:val="32"/>
          <w:szCs w:val="32"/>
        </w:rPr>
        <w:t>20913.2</w:t>
      </w:r>
      <w:r>
        <w:rPr>
          <w:rFonts w:hint="eastAsia" w:ascii="仿宋" w:hAnsi="仿宋" w:eastAsia="仿宋"/>
          <w:sz w:val="32"/>
          <w:szCs w:val="32"/>
        </w:rPr>
        <w:t>万元，其中：一般公共预算财政拨款收入</w:t>
      </w:r>
      <w:r>
        <w:rPr>
          <w:sz w:val="32"/>
          <w:szCs w:val="32"/>
        </w:rPr>
        <w:t>11382.92</w:t>
      </w:r>
      <w:r>
        <w:rPr>
          <w:rFonts w:hint="eastAsia" w:ascii="仿宋" w:hAnsi="仿宋" w:eastAsia="仿宋"/>
          <w:sz w:val="32"/>
          <w:szCs w:val="32"/>
        </w:rPr>
        <w:t>万元，占</w:t>
      </w:r>
      <w:r>
        <w:rPr>
          <w:sz w:val="32"/>
          <w:szCs w:val="32"/>
        </w:rPr>
        <w:t>54.4</w:t>
      </w:r>
      <w:r>
        <w:rPr>
          <w:rFonts w:hint="eastAsia"/>
          <w:sz w:val="32"/>
          <w:szCs w:val="32"/>
          <w:lang w:val="en-US" w:eastAsia="zh-CN"/>
        </w:rPr>
        <w:t>3</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147.46</w:t>
      </w:r>
      <w:r>
        <w:rPr>
          <w:rFonts w:hint="eastAsia" w:ascii="仿宋" w:hAnsi="仿宋" w:eastAsia="仿宋"/>
          <w:sz w:val="32"/>
          <w:szCs w:val="32"/>
        </w:rPr>
        <w:t>万元，占</w:t>
      </w:r>
      <w:r>
        <w:rPr>
          <w:sz w:val="32"/>
          <w:szCs w:val="32"/>
        </w:rPr>
        <w:t>0.7</w:t>
      </w:r>
      <w:r>
        <w:rPr>
          <w:rFonts w:ascii="仿宋" w:hAnsi="仿宋" w:eastAsia="仿宋"/>
          <w:sz w:val="32"/>
          <w:szCs w:val="32"/>
        </w:rPr>
        <w:t>%</w:t>
      </w:r>
      <w:r>
        <w:rPr>
          <w:rFonts w:hint="eastAsia" w:ascii="仿宋" w:hAnsi="仿宋" w:eastAsia="仿宋"/>
          <w:sz w:val="32"/>
          <w:szCs w:val="32"/>
        </w:rPr>
        <w:t>；事业收入</w:t>
      </w:r>
      <w:r>
        <w:rPr>
          <w:sz w:val="32"/>
          <w:szCs w:val="32"/>
        </w:rPr>
        <w:t>8941.48</w:t>
      </w:r>
      <w:r>
        <w:rPr>
          <w:rFonts w:hint="eastAsia" w:ascii="仿宋" w:hAnsi="仿宋" w:eastAsia="仿宋"/>
          <w:sz w:val="32"/>
          <w:szCs w:val="32"/>
        </w:rPr>
        <w:t>万元，占</w:t>
      </w:r>
      <w:r>
        <w:rPr>
          <w:sz w:val="32"/>
          <w:szCs w:val="32"/>
        </w:rPr>
        <w:t>42.7</w:t>
      </w:r>
      <w:r>
        <w:rPr>
          <w:rFonts w:hint="eastAsia"/>
          <w:sz w:val="32"/>
          <w:szCs w:val="32"/>
          <w:lang w:val="en-US" w:eastAsia="zh-CN"/>
        </w:rPr>
        <w:t>6</w:t>
      </w:r>
      <w:r>
        <w:rPr>
          <w:rFonts w:ascii="仿宋" w:hAnsi="仿宋" w:eastAsia="仿宋"/>
          <w:sz w:val="32"/>
          <w:szCs w:val="32"/>
        </w:rPr>
        <w:t>%</w:t>
      </w:r>
      <w:r>
        <w:rPr>
          <w:rFonts w:hint="eastAsia" w:ascii="仿宋" w:hAnsi="仿宋" w:eastAsia="仿宋"/>
          <w:sz w:val="32"/>
          <w:szCs w:val="32"/>
        </w:rPr>
        <w:t>；其他收入</w:t>
      </w:r>
      <w:r>
        <w:rPr>
          <w:sz w:val="32"/>
          <w:szCs w:val="32"/>
        </w:rPr>
        <w:t>441.3</w:t>
      </w:r>
      <w:r>
        <w:rPr>
          <w:rFonts w:hint="eastAsia"/>
          <w:sz w:val="32"/>
          <w:szCs w:val="32"/>
          <w:lang w:val="en-US" w:eastAsia="zh-CN"/>
        </w:rPr>
        <w:t>4</w:t>
      </w:r>
      <w:r>
        <w:rPr>
          <w:rFonts w:hint="eastAsia" w:ascii="仿宋" w:hAnsi="仿宋" w:eastAsia="仿宋"/>
          <w:sz w:val="32"/>
          <w:szCs w:val="32"/>
        </w:rPr>
        <w:t>万元，占</w:t>
      </w:r>
      <w:r>
        <w:rPr>
          <w:sz w:val="32"/>
          <w:szCs w:val="32"/>
        </w:rPr>
        <w:t>2.11</w:t>
      </w:r>
      <w:r>
        <w:rPr>
          <w:rFonts w:ascii="仿宋" w:hAnsi="仿宋" w:eastAsia="仿宋"/>
          <w:sz w:val="32"/>
          <w:szCs w:val="32"/>
        </w:rPr>
        <w:t>%</w:t>
      </w:r>
      <w:r>
        <w:rPr>
          <w:rFonts w:hint="eastAsia" w:ascii="仿宋" w:hAnsi="仿宋" w:eastAsia="仿宋"/>
          <w:sz w:val="32"/>
          <w:szCs w:val="32"/>
        </w:rPr>
        <w:t>。</w:t>
      </w:r>
      <w:bookmarkEnd w:id="32"/>
    </w:p>
    <w:p w14:paraId="3DCB5AE2">
      <w:pPr>
        <w:spacing w:line="240" w:lineRule="auto"/>
        <w:ind w:firstLine="0" w:firstLineChars="0"/>
        <w:jc w:val="center"/>
        <w:outlineLvl w:val="9"/>
        <w:rPr>
          <w:rFonts w:ascii="仿宋" w:hAnsi="仿宋" w:eastAsia="仿宋"/>
          <w:sz w:val="32"/>
          <w:szCs w:val="32"/>
        </w:rPr>
      </w:pPr>
      <w:r>
        <w:drawing>
          <wp:inline distT="0" distB="0" distL="114300" distR="114300">
            <wp:extent cx="4562475" cy="2914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562475" cy="2914650"/>
                    </a:xfrm>
                    <a:prstGeom prst="rect">
                      <a:avLst/>
                    </a:prstGeom>
                    <a:noFill/>
                    <a:ln>
                      <a:noFill/>
                    </a:ln>
                  </pic:spPr>
                </pic:pic>
              </a:graphicData>
            </a:graphic>
          </wp:inline>
        </w:drawing>
      </w:r>
    </w:p>
    <w:p w14:paraId="32B893FA">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14:paraId="24250131">
      <w:pPr>
        <w:spacing w:line="600" w:lineRule="exact"/>
        <w:ind w:firstLine="640" w:firstLineChars="200"/>
        <w:rPr>
          <w:rFonts w:ascii="仿宋_GB2312" w:eastAsia="仿宋_GB2312"/>
          <w:sz w:val="32"/>
          <w:szCs w:val="32"/>
        </w:rPr>
      </w:pPr>
    </w:p>
    <w:p w14:paraId="2B0F530D">
      <w:pPr>
        <w:pStyle w:val="28"/>
        <w:numPr>
          <w:ilvl w:val="0"/>
          <w:numId w:val="1"/>
        </w:numPr>
        <w:spacing w:line="600" w:lineRule="exact"/>
        <w:ind w:firstLineChars="0"/>
        <w:outlineLvl w:val="1"/>
        <w:rPr>
          <w:rStyle w:val="30"/>
          <w:rFonts w:ascii="黑体" w:hAnsi="黑体" w:eastAsia="黑体"/>
          <w:b w:val="0"/>
        </w:rPr>
      </w:pPr>
      <w:bookmarkStart w:id="33" w:name="_Toc15396605"/>
      <w:bookmarkStart w:id="34" w:name="_Toc15377207"/>
      <w:bookmarkStart w:id="35" w:name="_Toc13600"/>
      <w:r>
        <w:rPr>
          <w:rFonts w:hint="eastAsia" w:ascii="黑体" w:hAnsi="黑体" w:eastAsia="黑体"/>
          <w:sz w:val="32"/>
          <w:szCs w:val="32"/>
        </w:rPr>
        <w:t>支</w:t>
      </w:r>
      <w:r>
        <w:rPr>
          <w:rStyle w:val="30"/>
          <w:rFonts w:hint="eastAsia" w:ascii="黑体" w:hAnsi="黑体" w:eastAsia="黑体"/>
          <w:b w:val="0"/>
        </w:rPr>
        <w:t>出决算情况说明</w:t>
      </w:r>
      <w:bookmarkEnd w:id="33"/>
      <w:bookmarkEnd w:id="34"/>
      <w:bookmarkEnd w:id="35"/>
    </w:p>
    <w:p w14:paraId="397B2AD2">
      <w:pPr>
        <w:spacing w:line="600" w:lineRule="exact"/>
        <w:ind w:firstLine="640" w:firstLineChars="200"/>
        <w:outlineLvl w:val="1"/>
        <w:rPr>
          <w:rFonts w:ascii="仿宋" w:hAnsi="仿宋" w:eastAsia="仿宋"/>
          <w:sz w:val="32"/>
          <w:szCs w:val="32"/>
        </w:rPr>
      </w:pPr>
      <w:bookmarkStart w:id="36" w:name="_Toc25073"/>
      <w:r>
        <w:rPr>
          <w:rFonts w:hint="eastAsia" w:ascii="仿宋" w:hAnsi="仿宋" w:eastAsia="仿宋"/>
          <w:sz w:val="32"/>
          <w:szCs w:val="32"/>
        </w:rPr>
        <w:t>2023年度本年支出合计</w:t>
      </w:r>
      <w:r>
        <w:rPr>
          <w:sz w:val="32"/>
          <w:szCs w:val="32"/>
        </w:rPr>
        <w:t>20454.6</w:t>
      </w:r>
      <w:r>
        <w:rPr>
          <w:rFonts w:hint="eastAsia" w:ascii="仿宋" w:hAnsi="仿宋" w:eastAsia="仿宋"/>
          <w:sz w:val="32"/>
          <w:szCs w:val="32"/>
        </w:rPr>
        <w:t>万元，其中：基本支出</w:t>
      </w:r>
      <w:r>
        <w:rPr>
          <w:sz w:val="32"/>
          <w:szCs w:val="32"/>
        </w:rPr>
        <w:t>15746.23</w:t>
      </w:r>
      <w:r>
        <w:rPr>
          <w:rFonts w:hint="eastAsia" w:ascii="仿宋" w:hAnsi="仿宋" w:eastAsia="仿宋"/>
          <w:sz w:val="32"/>
          <w:szCs w:val="32"/>
        </w:rPr>
        <w:t>万元，占</w:t>
      </w:r>
      <w:r>
        <w:rPr>
          <w:sz w:val="32"/>
          <w:szCs w:val="32"/>
        </w:rPr>
        <w:t>76.98</w:t>
      </w:r>
      <w:r>
        <w:rPr>
          <w:rFonts w:ascii="仿宋" w:hAnsi="仿宋" w:eastAsia="仿宋"/>
          <w:sz w:val="32"/>
          <w:szCs w:val="32"/>
        </w:rPr>
        <w:t>%</w:t>
      </w:r>
      <w:r>
        <w:rPr>
          <w:rFonts w:hint="eastAsia" w:ascii="仿宋" w:hAnsi="仿宋" w:eastAsia="仿宋"/>
          <w:sz w:val="32"/>
          <w:szCs w:val="32"/>
        </w:rPr>
        <w:t>；项目支出</w:t>
      </w:r>
      <w:r>
        <w:rPr>
          <w:sz w:val="32"/>
          <w:szCs w:val="32"/>
        </w:rPr>
        <w:t>4708.37</w:t>
      </w:r>
      <w:r>
        <w:rPr>
          <w:rFonts w:hint="eastAsia" w:ascii="仿宋" w:hAnsi="仿宋" w:eastAsia="仿宋"/>
          <w:sz w:val="32"/>
          <w:szCs w:val="32"/>
        </w:rPr>
        <w:t>万元，占</w:t>
      </w:r>
      <w:r>
        <w:rPr>
          <w:sz w:val="32"/>
          <w:szCs w:val="32"/>
        </w:rPr>
        <w:t>23.0</w:t>
      </w:r>
      <w:r>
        <w:rPr>
          <w:rFonts w:hint="eastAsia"/>
          <w:sz w:val="32"/>
          <w:szCs w:val="32"/>
          <w:lang w:val="en-US" w:eastAsia="zh-CN"/>
        </w:rPr>
        <w:t>2</w:t>
      </w:r>
      <w:r>
        <w:rPr>
          <w:rFonts w:ascii="仿宋" w:hAnsi="仿宋" w:eastAsia="仿宋"/>
          <w:sz w:val="32"/>
          <w:szCs w:val="32"/>
        </w:rPr>
        <w:t>%</w:t>
      </w:r>
      <w:r>
        <w:rPr>
          <w:rFonts w:hint="eastAsia" w:ascii="仿宋" w:hAnsi="仿宋" w:eastAsia="仿宋"/>
          <w:sz w:val="32"/>
          <w:szCs w:val="32"/>
        </w:rPr>
        <w:t>。</w:t>
      </w:r>
      <w:bookmarkEnd w:id="36"/>
    </w:p>
    <w:p w14:paraId="6FA9BA94">
      <w:pPr>
        <w:spacing w:line="240" w:lineRule="auto"/>
        <w:ind w:firstLine="0"/>
        <w:jc w:val="center"/>
        <w:rPr>
          <w:rFonts w:ascii="仿宋" w:hAnsi="仿宋" w:eastAsia="仿宋"/>
          <w:sz w:val="32"/>
          <w:szCs w:val="32"/>
          <w:shd w:val="pct10" w:color="auto" w:fill="FFFFFF"/>
        </w:rPr>
      </w:pPr>
      <w:r>
        <w:drawing>
          <wp:inline distT="0" distB="0" distL="114300" distR="114300">
            <wp:extent cx="4562475" cy="29051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562475" cy="2905125"/>
                    </a:xfrm>
                    <a:prstGeom prst="rect">
                      <a:avLst/>
                    </a:prstGeom>
                    <a:noFill/>
                    <a:ln>
                      <a:noFill/>
                    </a:ln>
                  </pic:spPr>
                </pic:pic>
              </a:graphicData>
            </a:graphic>
          </wp:inline>
        </w:drawing>
      </w:r>
    </w:p>
    <w:p w14:paraId="1E47110D">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（图3：支出决算结构图）（饼状图）</w:t>
      </w:r>
    </w:p>
    <w:p w14:paraId="3AF99286">
      <w:pPr>
        <w:spacing w:line="600" w:lineRule="exact"/>
        <w:ind w:firstLine="640" w:firstLineChars="200"/>
        <w:rPr>
          <w:rFonts w:ascii="仿宋_GB2312" w:eastAsia="仿宋_GB2312"/>
          <w:sz w:val="32"/>
          <w:szCs w:val="32"/>
        </w:rPr>
      </w:pPr>
    </w:p>
    <w:p w14:paraId="4B3CD5B4">
      <w:pPr>
        <w:spacing w:line="600" w:lineRule="exact"/>
        <w:ind w:firstLine="640" w:firstLineChars="200"/>
        <w:outlineLvl w:val="1"/>
        <w:rPr>
          <w:rStyle w:val="30"/>
          <w:rFonts w:ascii="黑体" w:hAnsi="黑体" w:eastAsia="黑体"/>
          <w:b w:val="0"/>
        </w:rPr>
      </w:pPr>
      <w:bookmarkStart w:id="37" w:name="_Toc22928"/>
      <w:bookmarkStart w:id="38" w:name="_Toc15377208"/>
      <w:bookmarkStart w:id="39" w:name="_Toc15396606"/>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37"/>
      <w:bookmarkEnd w:id="38"/>
      <w:bookmarkEnd w:id="39"/>
    </w:p>
    <w:p w14:paraId="1391F8D4">
      <w:pPr>
        <w:spacing w:line="600" w:lineRule="exact"/>
        <w:ind w:firstLine="640"/>
        <w:rPr>
          <w:rFonts w:hint="default" w:ascii="仿宋" w:hAnsi="仿宋" w:eastAsia="仿宋"/>
          <w:sz w:val="32"/>
          <w:szCs w:val="32"/>
          <w:lang w:val="en-US" w:eastAsia="zh-CN"/>
        </w:rPr>
      </w:pPr>
      <w:r>
        <w:rPr>
          <w:rFonts w:hint="eastAsia" w:ascii="仿宋" w:hAnsi="仿宋" w:eastAsia="仿宋"/>
          <w:sz w:val="32"/>
          <w:szCs w:val="32"/>
        </w:rPr>
        <w:t>2023年度财政拨款收、支总计均为</w:t>
      </w:r>
      <w:r>
        <w:rPr>
          <w:sz w:val="32"/>
          <w:szCs w:val="32"/>
        </w:rPr>
        <w:t>11740.38</w:t>
      </w:r>
      <w:r>
        <w:rPr>
          <w:rFonts w:hint="eastAsia" w:ascii="仿宋" w:hAnsi="仿宋" w:eastAsia="仿宋"/>
          <w:sz w:val="32"/>
          <w:szCs w:val="32"/>
        </w:rPr>
        <w:t>万元。与2022年度相比，财政拨款收、支总计各减少</w:t>
      </w:r>
      <w:r>
        <w:rPr>
          <w:rFonts w:hint="eastAsia" w:ascii="仿宋" w:hAnsi="仿宋" w:eastAsia="仿宋"/>
          <w:sz w:val="32"/>
          <w:szCs w:val="32"/>
          <w:lang w:val="en-US" w:eastAsia="zh-CN"/>
        </w:rPr>
        <w:t>427.42</w:t>
      </w:r>
      <w:r>
        <w:rPr>
          <w:rFonts w:hint="eastAsia" w:ascii="仿宋" w:hAnsi="仿宋" w:eastAsia="仿宋"/>
          <w:sz w:val="32"/>
          <w:szCs w:val="32"/>
        </w:rPr>
        <w:t>万元，下降</w:t>
      </w:r>
      <w:r>
        <w:rPr>
          <w:rFonts w:hint="eastAsia" w:ascii="仿宋" w:hAnsi="仿宋" w:eastAsia="仿宋"/>
          <w:sz w:val="32"/>
          <w:szCs w:val="32"/>
          <w:lang w:val="en-US" w:eastAsia="zh-CN"/>
        </w:rPr>
        <w:t>3.51</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2023年财政项目经费减少。</w:t>
      </w:r>
    </w:p>
    <w:p w14:paraId="0FD5C6C8">
      <w:pPr>
        <w:spacing w:line="240" w:lineRule="auto"/>
        <w:jc w:val="center"/>
        <w:rPr>
          <w:rFonts w:ascii="仿宋" w:hAnsi="仿宋" w:eastAsia="仿宋"/>
          <w:sz w:val="32"/>
          <w:szCs w:val="32"/>
        </w:rPr>
      </w:pPr>
      <w:r>
        <w:drawing>
          <wp:inline distT="0" distB="0" distL="114300" distR="114300">
            <wp:extent cx="4562475" cy="2905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4562475" cy="2905125"/>
                    </a:xfrm>
                    <a:prstGeom prst="rect">
                      <a:avLst/>
                    </a:prstGeom>
                    <a:noFill/>
                    <a:ln>
                      <a:noFill/>
                    </a:ln>
                  </pic:spPr>
                </pic:pic>
              </a:graphicData>
            </a:graphic>
          </wp:inline>
        </w:drawing>
      </w:r>
    </w:p>
    <w:p w14:paraId="678F0B3F">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35BB469F">
      <w:pPr>
        <w:spacing w:line="600" w:lineRule="exact"/>
        <w:ind w:firstLine="640"/>
        <w:rPr>
          <w:rFonts w:ascii="仿宋" w:hAnsi="仿宋" w:eastAsia="仿宋"/>
          <w:b/>
          <w:sz w:val="32"/>
          <w:szCs w:val="32"/>
        </w:rPr>
      </w:pPr>
    </w:p>
    <w:p w14:paraId="6C706403">
      <w:pPr>
        <w:spacing w:line="600" w:lineRule="exact"/>
        <w:ind w:firstLine="640" w:firstLineChars="200"/>
        <w:outlineLvl w:val="1"/>
        <w:rPr>
          <w:rStyle w:val="30"/>
          <w:rFonts w:ascii="黑体" w:hAnsi="黑体" w:eastAsia="黑体"/>
          <w:b w:val="0"/>
        </w:rPr>
      </w:pPr>
      <w:bookmarkStart w:id="40" w:name="_Toc15377209"/>
      <w:bookmarkStart w:id="41" w:name="_Toc4464"/>
      <w:bookmarkStart w:id="42" w:name="_Toc15396607"/>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40"/>
      <w:bookmarkEnd w:id="41"/>
      <w:bookmarkEnd w:id="42"/>
    </w:p>
    <w:p w14:paraId="5FCF4E65">
      <w:pPr>
        <w:spacing w:line="600" w:lineRule="exact"/>
        <w:ind w:firstLine="643" w:firstLineChars="200"/>
        <w:outlineLvl w:val="2"/>
        <w:rPr>
          <w:rFonts w:ascii="仿宋" w:hAnsi="仿宋" w:eastAsia="仿宋"/>
          <w:b/>
          <w:sz w:val="32"/>
          <w:szCs w:val="32"/>
        </w:rPr>
      </w:pPr>
      <w:bookmarkStart w:id="43" w:name="_Toc15377210"/>
      <w:r>
        <w:rPr>
          <w:rFonts w:hint="eastAsia" w:ascii="仿宋" w:hAnsi="仿宋" w:eastAsia="仿宋"/>
          <w:b/>
          <w:sz w:val="32"/>
          <w:szCs w:val="32"/>
        </w:rPr>
        <w:t>（一）一般公共预算财政拨款支出决算总体情况</w:t>
      </w:r>
      <w:bookmarkEnd w:id="43"/>
    </w:p>
    <w:p w14:paraId="4303E637">
      <w:pPr>
        <w:spacing w:line="600" w:lineRule="exact"/>
        <w:ind w:firstLine="640" w:firstLineChars="200"/>
        <w:rPr>
          <w:rFonts w:hint="eastAsia" w:ascii="仿宋" w:hAnsi="仿宋" w:eastAsia="仿宋"/>
          <w:sz w:val="32"/>
          <w:szCs w:val="32"/>
          <w:lang w:val="en-US" w:eastAsia="zh-CN"/>
        </w:rPr>
      </w:pPr>
      <w:r>
        <w:rPr>
          <w:rFonts w:hint="eastAsia" w:ascii="仿宋" w:hAnsi="仿宋" w:eastAsia="仿宋"/>
          <w:sz w:val="32"/>
          <w:szCs w:val="32"/>
        </w:rPr>
        <w:t>2023年度一般公共预算财政拨款支出</w:t>
      </w:r>
      <w:r>
        <w:rPr>
          <w:sz w:val="32"/>
          <w:szCs w:val="32"/>
        </w:rPr>
        <w:t>11592.92</w:t>
      </w:r>
      <w:r>
        <w:rPr>
          <w:rFonts w:hint="eastAsia" w:ascii="仿宋" w:hAnsi="仿宋" w:eastAsia="仿宋"/>
          <w:sz w:val="32"/>
          <w:szCs w:val="32"/>
        </w:rPr>
        <w:t>万元，占本年支出合计的</w:t>
      </w:r>
      <w:r>
        <w:rPr>
          <w:sz w:val="32"/>
          <w:szCs w:val="32"/>
        </w:rPr>
        <w:t>56.67</w:t>
      </w:r>
      <w:r>
        <w:rPr>
          <w:rFonts w:ascii="仿宋" w:hAnsi="仿宋" w:eastAsia="仿宋"/>
          <w:sz w:val="32"/>
          <w:szCs w:val="32"/>
        </w:rPr>
        <w:t>%</w:t>
      </w:r>
      <w:r>
        <w:rPr>
          <w:rFonts w:hint="eastAsia" w:ascii="仿宋" w:hAnsi="仿宋" w:eastAsia="仿宋"/>
          <w:sz w:val="32"/>
          <w:szCs w:val="32"/>
        </w:rPr>
        <w:t>。与2022年度相比，一般公共预算财政拨款支出减少</w:t>
      </w:r>
      <w:r>
        <w:rPr>
          <w:rFonts w:hint="eastAsia" w:ascii="仿宋" w:hAnsi="仿宋" w:eastAsia="仿宋"/>
          <w:sz w:val="32"/>
          <w:szCs w:val="32"/>
          <w:lang w:val="en-US" w:eastAsia="zh-CN"/>
        </w:rPr>
        <w:t>312.16</w:t>
      </w:r>
      <w:r>
        <w:rPr>
          <w:rFonts w:hint="eastAsia" w:ascii="仿宋" w:hAnsi="仿宋" w:eastAsia="仿宋"/>
          <w:sz w:val="32"/>
          <w:szCs w:val="32"/>
        </w:rPr>
        <w:t>万元，下降</w:t>
      </w:r>
      <w:r>
        <w:rPr>
          <w:rFonts w:hint="eastAsia" w:ascii="仿宋" w:hAnsi="仿宋" w:eastAsia="仿宋"/>
          <w:sz w:val="32"/>
          <w:szCs w:val="32"/>
          <w:lang w:val="en-US" w:eastAsia="zh-CN"/>
        </w:rPr>
        <w:t>2.62</w:t>
      </w:r>
      <w:r>
        <w:rPr>
          <w:rFonts w:ascii="仿宋" w:hAnsi="仿宋" w:eastAsia="仿宋"/>
          <w:sz w:val="32"/>
          <w:szCs w:val="32"/>
        </w:rPr>
        <w:t>%</w:t>
      </w:r>
      <w:r>
        <w:rPr>
          <w:rFonts w:hint="eastAsia" w:ascii="仿宋" w:hAnsi="仿宋" w:eastAsia="仿宋"/>
          <w:sz w:val="32"/>
          <w:szCs w:val="32"/>
        </w:rPr>
        <w:t>。主要变动原因是2023年财政项目经费减少</w:t>
      </w:r>
      <w:r>
        <w:rPr>
          <w:rFonts w:hint="eastAsia" w:ascii="仿宋" w:hAnsi="仿宋" w:eastAsia="仿宋"/>
          <w:sz w:val="32"/>
          <w:szCs w:val="32"/>
          <w:lang w:eastAsia="zh-CN"/>
        </w:rPr>
        <w:t>。</w:t>
      </w:r>
    </w:p>
    <w:p w14:paraId="2D28D20E">
      <w:pPr>
        <w:spacing w:line="240" w:lineRule="auto"/>
        <w:ind w:firstLine="0" w:firstLineChars="0"/>
        <w:jc w:val="center"/>
        <w:rPr>
          <w:rFonts w:ascii="仿宋" w:hAnsi="仿宋" w:eastAsia="仿宋"/>
          <w:sz w:val="32"/>
          <w:szCs w:val="32"/>
        </w:rPr>
      </w:pPr>
      <w:r>
        <w:drawing>
          <wp:inline distT="0" distB="0" distL="114300" distR="114300">
            <wp:extent cx="4562475" cy="29051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562475" cy="2905125"/>
                    </a:xfrm>
                    <a:prstGeom prst="rect">
                      <a:avLst/>
                    </a:prstGeom>
                    <a:noFill/>
                    <a:ln>
                      <a:noFill/>
                    </a:ln>
                  </pic:spPr>
                </pic:pic>
              </a:graphicData>
            </a:graphic>
          </wp:inline>
        </w:drawing>
      </w:r>
    </w:p>
    <w:p w14:paraId="2B486F62">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510C4187">
      <w:pPr>
        <w:spacing w:line="600" w:lineRule="exact"/>
        <w:ind w:firstLine="640" w:firstLineChars="200"/>
        <w:rPr>
          <w:rFonts w:ascii="仿宋" w:hAnsi="仿宋" w:eastAsia="仿宋"/>
          <w:sz w:val="32"/>
          <w:szCs w:val="32"/>
        </w:rPr>
      </w:pPr>
    </w:p>
    <w:p w14:paraId="7FBF93E5">
      <w:pPr>
        <w:spacing w:line="600" w:lineRule="exact"/>
        <w:ind w:firstLine="643" w:firstLineChars="200"/>
        <w:outlineLvl w:val="2"/>
        <w:rPr>
          <w:rFonts w:ascii="仿宋" w:hAnsi="仿宋" w:eastAsia="仿宋"/>
          <w:b/>
          <w:sz w:val="32"/>
          <w:szCs w:val="32"/>
        </w:rPr>
      </w:pPr>
      <w:bookmarkStart w:id="44" w:name="_Toc15377211"/>
      <w:r>
        <w:rPr>
          <w:rFonts w:hint="eastAsia" w:ascii="仿宋" w:hAnsi="仿宋" w:eastAsia="仿宋"/>
          <w:b/>
          <w:sz w:val="32"/>
          <w:szCs w:val="32"/>
        </w:rPr>
        <w:t>（二）一般公共预算财政拨款支出决算结构情况</w:t>
      </w:r>
      <w:bookmarkEnd w:id="44"/>
    </w:p>
    <w:p w14:paraId="1F437E72">
      <w:pPr>
        <w:spacing w:line="600" w:lineRule="exact"/>
        <w:ind w:firstLine="64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2023年度一般公共预算财政拨款支出11592.92万元，主要用于以下方面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sz w:val="32"/>
          <w:szCs w:val="32"/>
        </w:rPr>
        <w:t>社会保障和就业</w:t>
      </w:r>
      <w:r>
        <w:rPr>
          <w:rFonts w:hint="eastAsia" w:ascii="仿宋_GB2312" w:hAnsi="仿宋_GB2312" w:eastAsia="仿宋_GB2312" w:cs="仿宋_GB2312"/>
          <w:b/>
          <w:bCs/>
          <w:sz w:val="32"/>
          <w:szCs w:val="32"/>
        </w:rPr>
        <w:t>支出</w:t>
      </w:r>
      <w:r>
        <w:rPr>
          <w:rFonts w:hint="eastAsia" w:ascii="仿宋_GB2312" w:hAnsi="仿宋_GB2312" w:eastAsia="仿宋_GB2312" w:cs="仿宋_GB2312"/>
          <w:sz w:val="32"/>
          <w:szCs w:val="32"/>
          <w:lang w:val="en-US" w:eastAsia="zh-CN"/>
        </w:rPr>
        <w:t>1012.19</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8.73</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卫生健康支出</w:t>
      </w:r>
      <w:r>
        <w:rPr>
          <w:rFonts w:hint="eastAsia" w:ascii="仿宋_GB2312" w:hAnsi="仿宋_GB2312" w:eastAsia="仿宋_GB2312" w:cs="仿宋_GB2312"/>
          <w:sz w:val="32"/>
          <w:szCs w:val="32"/>
          <w:lang w:val="en-US" w:eastAsia="zh-CN"/>
        </w:rPr>
        <w:t>9016.70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77.78</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农林水支出</w:t>
      </w:r>
      <w:r>
        <w:rPr>
          <w:rFonts w:hint="eastAsia" w:ascii="仿宋_GB2312" w:hAnsi="仿宋_GB2312" w:eastAsia="仿宋_GB2312" w:cs="仿宋_GB2312"/>
          <w:sz w:val="32"/>
          <w:szCs w:val="32"/>
          <w:lang w:val="en-US" w:eastAsia="zh-CN"/>
        </w:rPr>
        <w:t>1017.55</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8.78</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住房保障支出</w:t>
      </w:r>
      <w:r>
        <w:rPr>
          <w:rFonts w:hint="eastAsia" w:ascii="仿宋_GB2312" w:hAnsi="仿宋_GB2312" w:eastAsia="仿宋_GB2312" w:cs="仿宋_GB2312"/>
          <w:sz w:val="32"/>
          <w:szCs w:val="32"/>
          <w:lang w:val="en-US" w:eastAsia="zh-CN"/>
        </w:rPr>
        <w:t>546.48</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4.71</w:t>
      </w:r>
      <w:r>
        <w:rPr>
          <w:rFonts w:hint="eastAsia" w:ascii="仿宋_GB2312" w:hAnsi="仿宋_GB2312" w:eastAsia="仿宋_GB2312" w:cs="仿宋_GB2312"/>
          <w:sz w:val="32"/>
          <w:szCs w:val="32"/>
        </w:rPr>
        <w:t>%。</w:t>
      </w:r>
    </w:p>
    <w:p w14:paraId="78103696">
      <w:pPr>
        <w:spacing w:line="240" w:lineRule="auto"/>
        <w:ind w:firstLine="0"/>
        <w:jc w:val="center"/>
        <w:rPr>
          <w:rFonts w:ascii="仿宋" w:hAnsi="仿宋" w:eastAsia="仿宋"/>
          <w:sz w:val="32"/>
          <w:szCs w:val="32"/>
        </w:rPr>
      </w:pPr>
      <w:r>
        <w:drawing>
          <wp:inline distT="0" distB="0" distL="114300" distR="114300">
            <wp:extent cx="4552950" cy="2914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552950" cy="2914650"/>
                    </a:xfrm>
                    <a:prstGeom prst="rect">
                      <a:avLst/>
                    </a:prstGeom>
                    <a:noFill/>
                    <a:ln>
                      <a:noFill/>
                    </a:ln>
                  </pic:spPr>
                </pic:pic>
              </a:graphicData>
            </a:graphic>
          </wp:inline>
        </w:drawing>
      </w:r>
    </w:p>
    <w:p w14:paraId="589701B5">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45863D05">
      <w:pPr>
        <w:spacing w:line="600" w:lineRule="exact"/>
        <w:ind w:firstLine="640" w:firstLineChars="200"/>
        <w:rPr>
          <w:rFonts w:ascii="仿宋" w:hAnsi="仿宋" w:eastAsia="仿宋"/>
          <w:sz w:val="32"/>
          <w:szCs w:val="32"/>
        </w:rPr>
      </w:pPr>
    </w:p>
    <w:p w14:paraId="0B6753DD">
      <w:pPr>
        <w:spacing w:line="600" w:lineRule="exact"/>
        <w:ind w:firstLine="643" w:firstLineChars="200"/>
        <w:outlineLvl w:val="2"/>
        <w:rPr>
          <w:rFonts w:ascii="仿宋" w:hAnsi="仿宋" w:eastAsia="仿宋"/>
          <w:b/>
          <w:sz w:val="32"/>
          <w:szCs w:val="32"/>
        </w:rPr>
      </w:pPr>
      <w:bookmarkStart w:id="45" w:name="_Toc15377212"/>
      <w:r>
        <w:rPr>
          <w:rFonts w:hint="eastAsia" w:ascii="仿宋" w:hAnsi="仿宋" w:eastAsia="仿宋"/>
          <w:b/>
          <w:sz w:val="32"/>
          <w:szCs w:val="32"/>
        </w:rPr>
        <w:t>（三）一般公共预算财政拨款支出决算具体情况</w:t>
      </w:r>
      <w:bookmarkEnd w:id="45"/>
    </w:p>
    <w:p w14:paraId="1295AB15">
      <w:pPr>
        <w:spacing w:line="600" w:lineRule="exact"/>
        <w:ind w:firstLine="640" w:firstLineChars="200"/>
        <w:outlineLvl w:val="2"/>
        <w:rPr>
          <w:rFonts w:hint="eastAsia" w:ascii="仿宋_GB2312" w:hAnsi="仿宋_GB2312" w:eastAsia="仿宋_GB2312" w:cs="仿宋_GB2312"/>
          <w:b w:val="0"/>
          <w:bCs/>
          <w:sz w:val="32"/>
          <w:szCs w:val="32"/>
        </w:rPr>
      </w:pPr>
      <w:bookmarkStart w:id="46" w:name="_Toc15377213"/>
      <w:bookmarkStart w:id="47" w:name="_Toc15378460"/>
      <w:bookmarkStart w:id="48" w:name="_Toc15377444"/>
      <w:r>
        <w:rPr>
          <w:rFonts w:hint="eastAsia" w:ascii="仿宋_GB2312" w:hAnsi="仿宋_GB2312" w:eastAsia="仿宋_GB2312" w:cs="仿宋_GB2312"/>
          <w:b w:val="0"/>
          <w:bCs/>
          <w:sz w:val="32"/>
          <w:szCs w:val="32"/>
        </w:rPr>
        <w:t>2023年度一般公共预算支出决算数为11592.92</w:t>
      </w:r>
      <w:r>
        <w:rPr>
          <w:rFonts w:hint="eastAsia" w:ascii="仿宋_GB2312" w:hAnsi="仿宋_GB2312" w:eastAsia="仿宋_GB2312" w:cs="仿宋_GB2312"/>
          <w:b w:val="0"/>
          <w:bCs/>
          <w:sz w:val="32"/>
          <w:szCs w:val="32"/>
          <w:lang w:val="en-US" w:eastAsia="zh-CN"/>
        </w:rPr>
        <w:t>万元</w:t>
      </w:r>
      <w:r>
        <w:rPr>
          <w:rFonts w:hint="eastAsia" w:ascii="仿宋_GB2312" w:hAnsi="仿宋_GB2312" w:eastAsia="仿宋_GB2312" w:cs="仿宋_GB2312"/>
          <w:b w:val="0"/>
          <w:bCs/>
          <w:sz w:val="32"/>
          <w:szCs w:val="32"/>
        </w:rPr>
        <w:t>，</w:t>
      </w:r>
      <w:r>
        <w:rPr>
          <w:rStyle w:val="18"/>
          <w:rFonts w:hint="eastAsia" w:ascii="仿宋_GB2312" w:hAnsi="仿宋_GB2312" w:eastAsia="仿宋_GB2312" w:cs="仿宋_GB2312"/>
          <w:b w:val="0"/>
          <w:bCs/>
          <w:sz w:val="32"/>
          <w:szCs w:val="32"/>
        </w:rPr>
        <w:t>完成预算</w:t>
      </w:r>
      <w:r>
        <w:rPr>
          <w:rStyle w:val="18"/>
          <w:rFonts w:hint="eastAsia" w:ascii="仿宋_GB2312" w:hAnsi="仿宋_GB2312" w:eastAsia="仿宋_GB2312" w:cs="仿宋_GB2312"/>
          <w:b w:val="0"/>
          <w:bCs/>
          <w:sz w:val="32"/>
          <w:szCs w:val="32"/>
          <w:lang w:val="en-US" w:eastAsia="zh-CN"/>
        </w:rPr>
        <w:t>100</w:t>
      </w:r>
      <w:r>
        <w:rPr>
          <w:rStyle w:val="18"/>
          <w:rFonts w:hint="eastAsia" w:ascii="仿宋_GB2312" w:hAnsi="仿宋_GB2312" w:eastAsia="仿宋_GB2312" w:cs="仿宋_GB2312"/>
          <w:b w:val="0"/>
          <w:bCs/>
          <w:sz w:val="32"/>
          <w:szCs w:val="32"/>
        </w:rPr>
        <w:t>%。其中：</w:t>
      </w:r>
      <w:bookmarkEnd w:id="46"/>
      <w:bookmarkEnd w:id="47"/>
      <w:bookmarkEnd w:id="48"/>
    </w:p>
    <w:p w14:paraId="7682F2DF">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1.社会保障和就业支出（类）行政事业单位养老支出（款）行政单位离退休（项）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w:t>
      </w:r>
      <w:r>
        <w:rPr>
          <w:rFonts w:hint="eastAsia" w:ascii="仿宋_GB2312" w:hAnsi="仿宋_GB2312" w:eastAsia="仿宋_GB2312" w:cs="仿宋_GB2312"/>
          <w:b w:val="0"/>
          <w:bCs/>
          <w:kern w:val="2"/>
          <w:sz w:val="32"/>
          <w:szCs w:val="24"/>
        </w:rPr>
        <w:t>支出决算为1</w:t>
      </w:r>
      <w:r>
        <w:rPr>
          <w:rFonts w:hint="eastAsia" w:ascii="仿宋_GB2312" w:hAnsi="仿宋_GB2312" w:eastAsia="仿宋_GB2312" w:cs="仿宋_GB2312"/>
          <w:b w:val="0"/>
          <w:bCs/>
          <w:kern w:val="2"/>
          <w:sz w:val="32"/>
          <w:szCs w:val="24"/>
          <w:lang w:val="en-US" w:eastAsia="zh-CN"/>
        </w:rPr>
        <w:t>.30</w:t>
      </w:r>
      <w:r>
        <w:rPr>
          <w:rFonts w:hint="eastAsia" w:ascii="仿宋_GB2312" w:hAnsi="仿宋_GB2312" w:eastAsia="仿宋_GB2312" w:cs="仿宋_GB2312"/>
          <w:b w:val="0"/>
          <w:bCs/>
          <w:kern w:val="2"/>
          <w:sz w:val="32"/>
          <w:szCs w:val="24"/>
        </w:rPr>
        <w:t>万元，完成预算100%，决算数与预算数持平。</w:t>
      </w:r>
    </w:p>
    <w:p w14:paraId="195EB740">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2.社会保障和就业支出（类）行政事业单位养老支出（款）事业单位离退休（项）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w:t>
      </w:r>
      <w:r>
        <w:rPr>
          <w:rFonts w:hint="eastAsia" w:ascii="仿宋_GB2312" w:hAnsi="仿宋_GB2312" w:eastAsia="仿宋_GB2312" w:cs="仿宋_GB2312"/>
          <w:b w:val="0"/>
          <w:bCs/>
          <w:kern w:val="2"/>
          <w:sz w:val="32"/>
          <w:szCs w:val="24"/>
        </w:rPr>
        <w:t>支出决算为18.</w:t>
      </w:r>
      <w:r>
        <w:rPr>
          <w:rFonts w:hint="eastAsia" w:ascii="仿宋_GB2312" w:hAnsi="仿宋_GB2312" w:eastAsia="仿宋_GB2312" w:cs="仿宋_GB2312"/>
          <w:b w:val="0"/>
          <w:bCs/>
          <w:kern w:val="2"/>
          <w:sz w:val="32"/>
          <w:szCs w:val="24"/>
          <w:lang w:val="en-US" w:eastAsia="zh-CN"/>
        </w:rPr>
        <w:t>75</w:t>
      </w:r>
      <w:r>
        <w:rPr>
          <w:rFonts w:hint="eastAsia" w:ascii="仿宋_GB2312" w:hAnsi="仿宋_GB2312" w:eastAsia="仿宋_GB2312" w:cs="仿宋_GB2312"/>
          <w:b w:val="0"/>
          <w:bCs/>
          <w:kern w:val="2"/>
          <w:sz w:val="32"/>
          <w:szCs w:val="24"/>
        </w:rPr>
        <w:t>万元，完成预算100%，决算数与预算数持平。</w:t>
      </w:r>
    </w:p>
    <w:p w14:paraId="25AD1A63">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3.</w:t>
      </w:r>
      <w:r>
        <w:rPr>
          <w:rFonts w:hint="eastAsia" w:ascii="仿宋_GB2312" w:hAnsi="仿宋_GB2312" w:eastAsia="仿宋_GB2312" w:cs="仿宋_GB2312"/>
          <w:b w:val="0"/>
          <w:bCs/>
          <w:color w:val="000000"/>
          <w:kern w:val="2"/>
          <w:sz w:val="32"/>
          <w:szCs w:val="24"/>
          <w:lang w:eastAsia="zh-CN"/>
        </w:rPr>
        <w:t>科技</w:t>
      </w:r>
      <w:r>
        <w:rPr>
          <w:rFonts w:hint="eastAsia" w:ascii="仿宋_GB2312" w:hAnsi="仿宋_GB2312" w:eastAsia="仿宋_GB2312" w:cs="仿宋_GB2312"/>
          <w:b w:val="0"/>
          <w:bCs/>
          <w:color w:val="000000"/>
          <w:kern w:val="2"/>
          <w:sz w:val="32"/>
          <w:szCs w:val="24"/>
        </w:rPr>
        <w:t>社会保障和就业支出（类）行政事业单位养老支出（款）机关事业单位基本养老保险缴费支出（项）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w:t>
      </w:r>
      <w:r>
        <w:rPr>
          <w:rFonts w:hint="eastAsia" w:ascii="仿宋_GB2312" w:hAnsi="仿宋_GB2312" w:eastAsia="仿宋_GB2312" w:cs="仿宋_GB2312"/>
          <w:b w:val="0"/>
          <w:bCs/>
          <w:kern w:val="2"/>
          <w:sz w:val="32"/>
          <w:szCs w:val="24"/>
        </w:rPr>
        <w:t>支出决算为</w:t>
      </w:r>
      <w:r>
        <w:rPr>
          <w:rFonts w:hint="eastAsia" w:ascii="仿宋_GB2312" w:hAnsi="仿宋_GB2312" w:eastAsia="仿宋_GB2312" w:cs="仿宋_GB2312"/>
          <w:b w:val="0"/>
          <w:bCs/>
          <w:kern w:val="2"/>
          <w:sz w:val="32"/>
          <w:szCs w:val="24"/>
          <w:lang w:val="en-US" w:eastAsia="zh-CN"/>
        </w:rPr>
        <w:t>536.08</w:t>
      </w:r>
      <w:r>
        <w:rPr>
          <w:rFonts w:hint="eastAsia" w:ascii="仿宋_GB2312" w:hAnsi="仿宋_GB2312" w:eastAsia="仿宋_GB2312" w:cs="仿宋_GB2312"/>
          <w:b w:val="0"/>
          <w:bCs/>
          <w:kern w:val="2"/>
          <w:sz w:val="32"/>
          <w:szCs w:val="24"/>
        </w:rPr>
        <w:t>万元，完成预算100%，决算数与预算数持平。</w:t>
      </w:r>
    </w:p>
    <w:p w14:paraId="1E1CD164">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4.</w:t>
      </w:r>
      <w:r>
        <w:rPr>
          <w:rFonts w:hint="eastAsia" w:ascii="仿宋_GB2312" w:hAnsi="仿宋_GB2312" w:eastAsia="仿宋_GB2312" w:cs="仿宋_GB2312"/>
          <w:b w:val="0"/>
          <w:bCs/>
          <w:color w:val="000000"/>
          <w:kern w:val="2"/>
          <w:sz w:val="32"/>
          <w:szCs w:val="24"/>
          <w:lang w:eastAsia="zh-CN"/>
        </w:rPr>
        <w:t>科技</w:t>
      </w:r>
      <w:r>
        <w:rPr>
          <w:rFonts w:hint="eastAsia" w:ascii="仿宋_GB2312" w:hAnsi="仿宋_GB2312" w:eastAsia="仿宋_GB2312" w:cs="仿宋_GB2312"/>
          <w:b w:val="0"/>
          <w:bCs/>
          <w:color w:val="000000"/>
          <w:kern w:val="2"/>
          <w:sz w:val="32"/>
          <w:szCs w:val="24"/>
        </w:rPr>
        <w:t>社会保障和就业支出（类）行政事业单位养老支出（款）机关事业单位职业年金缴费支出（项）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268.47</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3B93CA79">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5.社会保障和就业支出（类）抚恤（款）死亡抚恤（项）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80.25</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25274801">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6.科社会保障和就业支出（类）其他社会保障和就业支出（款）其他社会保障和就业支出（项）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支出决算为10</w:t>
      </w:r>
      <w:r>
        <w:rPr>
          <w:rFonts w:hint="eastAsia" w:ascii="仿宋_GB2312" w:hAnsi="仿宋_GB2312" w:eastAsia="仿宋_GB2312" w:cs="仿宋_GB2312"/>
          <w:b w:val="0"/>
          <w:bCs/>
          <w:color w:val="000000"/>
          <w:kern w:val="2"/>
          <w:sz w:val="32"/>
          <w:szCs w:val="24"/>
          <w:lang w:val="en-US" w:eastAsia="zh-CN"/>
        </w:rPr>
        <w:t>7.35</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23D0DBEE">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7.卫生健康支出（类）卫生健康管理事务（款）行政运行（项）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支出决算为3</w:t>
      </w:r>
      <w:r>
        <w:rPr>
          <w:rFonts w:hint="eastAsia" w:ascii="仿宋_GB2312" w:hAnsi="仿宋_GB2312" w:eastAsia="仿宋_GB2312" w:cs="仿宋_GB2312"/>
          <w:b w:val="0"/>
          <w:bCs/>
          <w:color w:val="000000"/>
          <w:kern w:val="2"/>
          <w:sz w:val="32"/>
          <w:szCs w:val="24"/>
          <w:lang w:val="en-US" w:eastAsia="zh-CN"/>
        </w:rPr>
        <w:t>64.95</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6428EDCD">
      <w:pPr>
        <w:spacing w:line="576" w:lineRule="exact"/>
        <w:ind w:firstLine="643"/>
        <w:jc w:val="both"/>
        <w:rPr>
          <w:rFonts w:hint="eastAsia" w:ascii="仿宋_GB2312" w:hAnsi="仿宋_GB2312" w:eastAsia="仿宋_GB2312" w:cs="仿宋_GB2312"/>
          <w:b w:val="0"/>
          <w:bCs/>
          <w:color w:val="000000"/>
          <w:kern w:val="2"/>
          <w:sz w:val="32"/>
          <w:szCs w:val="24"/>
        </w:rPr>
      </w:pPr>
      <w:r>
        <w:rPr>
          <w:rFonts w:hint="eastAsia" w:ascii="仿宋_GB2312" w:hAnsi="仿宋_GB2312" w:eastAsia="仿宋_GB2312" w:cs="仿宋_GB2312"/>
          <w:b w:val="0"/>
          <w:bCs/>
          <w:color w:val="000000"/>
          <w:kern w:val="2"/>
          <w:sz w:val="32"/>
          <w:szCs w:val="24"/>
        </w:rPr>
        <w:t>8.卫生健康支出（类）卫生健康管理事务（款）其他卫生健康管理事务支出（项）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308.33</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2A77B688">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9.卫生健康支出（类）公立医院（款）综合医院（项）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支出决算为1</w:t>
      </w:r>
      <w:r>
        <w:rPr>
          <w:rFonts w:hint="eastAsia" w:ascii="仿宋_GB2312" w:hAnsi="仿宋_GB2312" w:eastAsia="仿宋_GB2312" w:cs="仿宋_GB2312"/>
          <w:b w:val="0"/>
          <w:bCs/>
          <w:color w:val="000000"/>
          <w:kern w:val="2"/>
          <w:sz w:val="32"/>
          <w:szCs w:val="24"/>
          <w:lang w:val="en-US" w:eastAsia="zh-CN"/>
        </w:rPr>
        <w:t>226.04</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64127FF0">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10.卫生健康支出（类）公立医院（款）中医（民族）医院（项）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827.98</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500EB4C0">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11.卫生健康支出（类）公立医院（款）其他公立医院支出（项）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140.45</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0DB4EF32">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12.卫生健康支出（类）基层医疗卫生机构（款）乡镇卫生院（项）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2065.92</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67803869">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13.卫生健康支出（类）基层医疗卫生机构（款）其他基层医疗卫生机构支出（项）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413.18</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3A8C366C">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14.卫生健康支出（类）公共卫生（款）疾病预防控制机构（项）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433.39</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45CBAA63">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15.卫生健康支出（类）公共卫生（款）卫生监督机构（项）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110.37</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730C8F53">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16.卫生健康支出（类）公共卫生（款）妇幼保健机构（项）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支出决算为3</w:t>
      </w:r>
      <w:r>
        <w:rPr>
          <w:rFonts w:hint="eastAsia" w:ascii="仿宋_GB2312" w:hAnsi="仿宋_GB2312" w:eastAsia="仿宋_GB2312" w:cs="仿宋_GB2312"/>
          <w:b w:val="0"/>
          <w:bCs/>
          <w:color w:val="000000"/>
          <w:kern w:val="2"/>
          <w:sz w:val="32"/>
          <w:szCs w:val="24"/>
          <w:lang w:val="en-US" w:eastAsia="zh-CN"/>
        </w:rPr>
        <w:t>63.82</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056E25AD">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17.卫生健康支出（类）公共卫生（款）基本公共卫生服务（项）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1061.95</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77B1A318">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18.卫生健康支出（类）公共卫生（款）重大公共卫生服务（项）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334.24</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269A8C71">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19.卫生健康支出（类）公共卫生（款）突发公共卫生事件应急处理（项）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469.30</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01C4A827">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20.卫生健康支出（类）公共卫生（款）其他公共卫生支出（项）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124.33</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337C3E7B">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1</w:t>
      </w:r>
      <w:r>
        <w:rPr>
          <w:rFonts w:hint="eastAsia" w:ascii="仿宋_GB2312" w:hAnsi="仿宋_GB2312" w:eastAsia="仿宋_GB2312" w:cs="仿宋_GB2312"/>
          <w:b w:val="0"/>
          <w:bCs/>
          <w:color w:val="000000"/>
          <w:kern w:val="2"/>
          <w:sz w:val="32"/>
          <w:szCs w:val="24"/>
        </w:rPr>
        <w:t>.卫生健康支出（类）计划生育事务（款）计划生育服务（项）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33.32</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36B7148B">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2</w:t>
      </w:r>
      <w:r>
        <w:rPr>
          <w:rFonts w:hint="eastAsia" w:ascii="仿宋_GB2312" w:hAnsi="仿宋_GB2312" w:eastAsia="仿宋_GB2312" w:cs="仿宋_GB2312"/>
          <w:b w:val="0"/>
          <w:bCs/>
          <w:color w:val="000000"/>
          <w:kern w:val="2"/>
          <w:sz w:val="32"/>
          <w:szCs w:val="24"/>
        </w:rPr>
        <w:t>.卫生健康支出（类）计划生育事务（款）其他计划生育事务支出（项）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173.47</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3C8E3A8D">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3</w:t>
      </w:r>
      <w:r>
        <w:rPr>
          <w:rFonts w:hint="eastAsia" w:ascii="仿宋_GB2312" w:hAnsi="仿宋_GB2312" w:eastAsia="仿宋_GB2312" w:cs="仿宋_GB2312"/>
          <w:b w:val="0"/>
          <w:bCs/>
          <w:color w:val="000000"/>
          <w:kern w:val="2"/>
          <w:sz w:val="32"/>
          <w:szCs w:val="24"/>
        </w:rPr>
        <w:t>.卫生健康支出（类）行政事业单位医疗（款）行政单位医疗（项）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支出决算为1</w:t>
      </w:r>
      <w:r>
        <w:rPr>
          <w:rFonts w:hint="eastAsia" w:ascii="仿宋_GB2312" w:hAnsi="仿宋_GB2312" w:eastAsia="仿宋_GB2312" w:cs="仿宋_GB2312"/>
          <w:b w:val="0"/>
          <w:bCs/>
          <w:color w:val="000000"/>
          <w:kern w:val="2"/>
          <w:sz w:val="32"/>
          <w:szCs w:val="24"/>
          <w:lang w:val="en-US" w:eastAsia="zh-CN"/>
        </w:rPr>
        <w:t>8.41</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022DEB86">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4</w:t>
      </w:r>
      <w:r>
        <w:rPr>
          <w:rFonts w:hint="eastAsia" w:ascii="仿宋_GB2312" w:hAnsi="仿宋_GB2312" w:eastAsia="仿宋_GB2312" w:cs="仿宋_GB2312"/>
          <w:b w:val="0"/>
          <w:bCs/>
          <w:color w:val="000000"/>
          <w:kern w:val="2"/>
          <w:sz w:val="32"/>
          <w:szCs w:val="24"/>
        </w:rPr>
        <w:t>.卫生健康支出（类）行政事业单位医疗（款）事业单位医疗（项）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支出决算为1</w:t>
      </w:r>
      <w:r>
        <w:rPr>
          <w:rFonts w:hint="eastAsia" w:ascii="仿宋_GB2312" w:hAnsi="仿宋_GB2312" w:eastAsia="仿宋_GB2312" w:cs="仿宋_GB2312"/>
          <w:b w:val="0"/>
          <w:bCs/>
          <w:color w:val="000000"/>
          <w:kern w:val="2"/>
          <w:sz w:val="32"/>
          <w:szCs w:val="24"/>
          <w:lang w:val="en-US" w:eastAsia="zh-CN"/>
        </w:rPr>
        <w:t>91.11</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35234D1B">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5</w:t>
      </w:r>
      <w:r>
        <w:rPr>
          <w:rFonts w:hint="eastAsia" w:ascii="仿宋_GB2312" w:hAnsi="仿宋_GB2312" w:eastAsia="仿宋_GB2312" w:cs="仿宋_GB2312"/>
          <w:b w:val="0"/>
          <w:bCs/>
          <w:color w:val="000000"/>
          <w:kern w:val="2"/>
          <w:sz w:val="32"/>
          <w:szCs w:val="24"/>
        </w:rPr>
        <w:t>.卫生健康支出（类）行政事业单位医疗（款）公务员医疗补助（项）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支出决算为4</w:t>
      </w:r>
      <w:r>
        <w:rPr>
          <w:rFonts w:hint="eastAsia" w:ascii="仿宋_GB2312" w:hAnsi="仿宋_GB2312" w:eastAsia="仿宋_GB2312" w:cs="仿宋_GB2312"/>
          <w:b w:val="0"/>
          <w:bCs/>
          <w:color w:val="000000"/>
          <w:kern w:val="2"/>
          <w:sz w:val="32"/>
          <w:szCs w:val="24"/>
          <w:lang w:val="en-US" w:eastAsia="zh-CN"/>
        </w:rPr>
        <w:t>2.78</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0442BB06">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6</w:t>
      </w:r>
      <w:r>
        <w:rPr>
          <w:rFonts w:hint="eastAsia" w:ascii="仿宋_GB2312" w:hAnsi="仿宋_GB2312" w:eastAsia="仿宋_GB2312" w:cs="仿宋_GB2312"/>
          <w:b w:val="0"/>
          <w:bCs/>
          <w:color w:val="000000"/>
          <w:kern w:val="2"/>
          <w:sz w:val="32"/>
          <w:szCs w:val="24"/>
        </w:rPr>
        <w:t>.卫生健康支出（类）其他卫生健康支出（款）其他卫生健康支出（项）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313.34</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0EC281BF">
      <w:pPr>
        <w:spacing w:line="576" w:lineRule="exact"/>
        <w:ind w:firstLine="643"/>
        <w:jc w:val="both"/>
        <w:rPr>
          <w:rFonts w:hint="eastAsia" w:ascii="仿宋_GB2312" w:hAnsi="仿宋_GB2312" w:eastAsia="仿宋_GB2312" w:cs="仿宋_GB2312"/>
          <w:b w:val="0"/>
          <w:bCs/>
          <w:kern w:val="2"/>
          <w:sz w:val="32"/>
          <w:szCs w:val="24"/>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7</w:t>
      </w:r>
      <w:r>
        <w:rPr>
          <w:rFonts w:hint="eastAsia" w:ascii="仿宋_GB2312" w:hAnsi="仿宋_GB2312" w:eastAsia="仿宋_GB2312" w:cs="仿宋_GB2312"/>
          <w:b w:val="0"/>
          <w:bCs/>
          <w:color w:val="000000"/>
          <w:kern w:val="2"/>
          <w:sz w:val="32"/>
          <w:szCs w:val="24"/>
        </w:rPr>
        <w:t>.农林水支出（类）巩固脱贫衔接乡村振兴（款）其他巩固脱贫衔接乡村振兴支出（项）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w:t>
      </w:r>
      <w:r>
        <w:rPr>
          <w:rFonts w:hint="eastAsia" w:ascii="仿宋_GB2312" w:hAnsi="仿宋_GB2312" w:eastAsia="仿宋_GB2312" w:cs="仿宋_GB2312"/>
          <w:b w:val="0"/>
          <w:bCs/>
          <w:color w:val="000000"/>
          <w:kern w:val="2"/>
          <w:sz w:val="32"/>
          <w:szCs w:val="24"/>
          <w:lang w:val="en-US" w:eastAsia="zh-CN"/>
        </w:rPr>
        <w:t>1017.55</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1345D1AD">
      <w:pPr>
        <w:spacing w:line="576" w:lineRule="exact"/>
        <w:ind w:firstLine="643"/>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color w:val="000000"/>
          <w:kern w:val="2"/>
          <w:sz w:val="32"/>
          <w:szCs w:val="24"/>
        </w:rPr>
        <w:t>2</w:t>
      </w:r>
      <w:r>
        <w:rPr>
          <w:rFonts w:hint="eastAsia" w:ascii="仿宋_GB2312" w:hAnsi="仿宋_GB2312" w:eastAsia="仿宋_GB2312" w:cs="仿宋_GB2312"/>
          <w:b w:val="0"/>
          <w:bCs/>
          <w:color w:val="000000"/>
          <w:kern w:val="2"/>
          <w:sz w:val="32"/>
          <w:szCs w:val="24"/>
          <w:lang w:val="en-US" w:eastAsia="zh-CN"/>
        </w:rPr>
        <w:t>8</w:t>
      </w:r>
      <w:r>
        <w:rPr>
          <w:rFonts w:hint="eastAsia" w:ascii="仿宋_GB2312" w:hAnsi="仿宋_GB2312" w:eastAsia="仿宋_GB2312" w:cs="仿宋_GB2312"/>
          <w:b w:val="0"/>
          <w:bCs/>
          <w:color w:val="000000"/>
          <w:kern w:val="2"/>
          <w:sz w:val="32"/>
          <w:szCs w:val="24"/>
        </w:rPr>
        <w:t>.住房保障支出（类）住房改革支出（款）住房公积金（项）</w:t>
      </w:r>
      <w:r>
        <w:rPr>
          <w:rFonts w:hint="eastAsia" w:ascii="仿宋_GB2312" w:hAnsi="仿宋_GB2312" w:eastAsia="仿宋_GB2312" w:cs="仿宋_GB2312"/>
          <w:b w:val="0"/>
          <w:bCs/>
          <w:color w:val="000000"/>
          <w:kern w:val="2"/>
          <w:sz w:val="32"/>
          <w:szCs w:val="24"/>
          <w:lang w:eastAsia="zh-CN"/>
        </w:rPr>
        <w:t>：</w:t>
      </w:r>
      <w:r>
        <w:rPr>
          <w:rFonts w:hint="eastAsia" w:ascii="仿宋_GB2312" w:hAnsi="仿宋_GB2312" w:eastAsia="仿宋_GB2312" w:cs="仿宋_GB2312"/>
          <w:b w:val="0"/>
          <w:bCs/>
          <w:color w:val="000000"/>
          <w:kern w:val="2"/>
          <w:sz w:val="32"/>
          <w:szCs w:val="24"/>
        </w:rPr>
        <w:t xml:space="preserve"> 支出决算为5</w:t>
      </w:r>
      <w:r>
        <w:rPr>
          <w:rFonts w:hint="eastAsia" w:ascii="仿宋_GB2312" w:hAnsi="仿宋_GB2312" w:eastAsia="仿宋_GB2312" w:cs="仿宋_GB2312"/>
          <w:b w:val="0"/>
          <w:bCs/>
          <w:color w:val="000000"/>
          <w:kern w:val="2"/>
          <w:sz w:val="32"/>
          <w:szCs w:val="24"/>
          <w:lang w:val="en-US" w:eastAsia="zh-CN"/>
        </w:rPr>
        <w:t>46.48</w:t>
      </w:r>
      <w:r>
        <w:rPr>
          <w:rFonts w:hint="eastAsia" w:ascii="仿宋_GB2312" w:hAnsi="仿宋_GB2312" w:eastAsia="仿宋_GB2312" w:cs="仿宋_GB2312"/>
          <w:b w:val="0"/>
          <w:bCs/>
          <w:color w:val="000000"/>
          <w:kern w:val="2"/>
          <w:sz w:val="32"/>
          <w:szCs w:val="24"/>
        </w:rPr>
        <w:t>万元，完成预算100%</w:t>
      </w:r>
      <w:r>
        <w:rPr>
          <w:rFonts w:hint="eastAsia" w:ascii="仿宋_GB2312" w:hAnsi="仿宋_GB2312" w:eastAsia="仿宋_GB2312" w:cs="仿宋_GB2312"/>
          <w:b w:val="0"/>
          <w:bCs/>
          <w:kern w:val="2"/>
          <w:sz w:val="32"/>
          <w:szCs w:val="24"/>
        </w:rPr>
        <w:t>，决算数与预算数持平。</w:t>
      </w:r>
    </w:p>
    <w:p w14:paraId="4FFA3BA4">
      <w:pPr>
        <w:tabs>
          <w:tab w:val="right" w:pos="8306"/>
        </w:tabs>
        <w:spacing w:line="600" w:lineRule="exact"/>
        <w:ind w:firstLine="640"/>
        <w:outlineLvl w:val="1"/>
        <w:rPr>
          <w:rStyle w:val="30"/>
          <w:rFonts w:hint="eastAsia" w:ascii="仿宋_GB2312" w:hAnsi="仿宋_GB2312" w:eastAsia="仿宋_GB2312" w:cs="仿宋_GB2312"/>
        </w:rPr>
      </w:pPr>
      <w:bookmarkStart w:id="49" w:name="_Toc15377214"/>
      <w:bookmarkStart w:id="50" w:name="_Toc717"/>
      <w:bookmarkStart w:id="51" w:name="_Toc15396608"/>
      <w:r>
        <w:rPr>
          <w:rFonts w:hint="eastAsia" w:ascii="楷体_GB2312" w:hAnsi="楷体_GB2312" w:eastAsia="楷体_GB2312" w:cs="楷体_GB2312"/>
          <w:sz w:val="32"/>
          <w:szCs w:val="32"/>
        </w:rPr>
        <w:t>六</w:t>
      </w:r>
      <w:r>
        <w:rPr>
          <w:rFonts w:hint="eastAsia" w:ascii="楷体_GB2312" w:hAnsi="楷体_GB2312" w:eastAsia="楷体_GB2312" w:cs="楷体_GB2312"/>
          <w:b/>
          <w:sz w:val="32"/>
          <w:szCs w:val="32"/>
        </w:rPr>
        <w:t>、一</w:t>
      </w:r>
      <w:r>
        <w:rPr>
          <w:rStyle w:val="30"/>
          <w:rFonts w:hint="eastAsia" w:ascii="楷体_GB2312" w:hAnsi="楷体_GB2312" w:eastAsia="楷体_GB2312" w:cs="楷体_GB2312"/>
          <w:b w:val="0"/>
        </w:rPr>
        <w:t>般公共预算财政拨款基本支出决算情况说明</w:t>
      </w:r>
      <w:bookmarkEnd w:id="49"/>
      <w:bookmarkEnd w:id="50"/>
      <w:bookmarkEnd w:id="51"/>
      <w:r>
        <w:rPr>
          <w:rStyle w:val="30"/>
          <w:rFonts w:hint="eastAsia" w:ascii="仿宋_GB2312" w:hAnsi="仿宋_GB2312" w:eastAsia="仿宋_GB2312" w:cs="仿宋_GB2312"/>
          <w:b w:val="0"/>
        </w:rPr>
        <w:tab/>
      </w:r>
    </w:p>
    <w:p w14:paraId="52AC976F">
      <w:pPr>
        <w:spacing w:line="600" w:lineRule="exact"/>
        <w:ind w:firstLine="64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2023年度一般公共预算财政拨款基本支出7032.01万元，其中：</w:t>
      </w:r>
    </w:p>
    <w:p w14:paraId="0AFB2E8D">
      <w:pPr>
        <w:spacing w:line="600" w:lineRule="exact"/>
        <w:ind w:firstLine="645"/>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人员经费6582.8万元，主要包括：基本工资、津贴补贴、奖金、伙食补助费、绩效工资、机关事业单位基本养老保险缴费、职业年金缴费、公务员医疗补助缴费、其他社会保障缴费、住房公积金、其他工资福利支出、离休费、抚恤金、生活补助、其他对个人和家庭的补助支出等。</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公用经费449.21万元，主要包括：办公费、电费、邮电费、差旅费、培训费、公务接待费、工会经费、福利费、公务用车运行维护费、其他交通费、其他商品和服务支出、办公设备购置等。</w:t>
      </w:r>
    </w:p>
    <w:p w14:paraId="19518435">
      <w:pPr>
        <w:spacing w:line="600" w:lineRule="exact"/>
        <w:ind w:firstLine="640"/>
        <w:outlineLvl w:val="1"/>
        <w:rPr>
          <w:rStyle w:val="30"/>
          <w:rFonts w:hint="eastAsia" w:ascii="楷体_GB2312" w:hAnsi="楷体_GB2312" w:eastAsia="楷体_GB2312" w:cs="楷体_GB2312"/>
          <w:b w:val="0"/>
        </w:rPr>
      </w:pPr>
      <w:bookmarkStart w:id="52" w:name="_Toc15377215"/>
      <w:bookmarkStart w:id="53" w:name="_Toc17453"/>
      <w:bookmarkStart w:id="54" w:name="_Toc15396609"/>
      <w:r>
        <w:rPr>
          <w:rFonts w:hint="eastAsia" w:ascii="楷体_GB2312" w:hAnsi="楷体_GB2312" w:eastAsia="楷体_GB2312" w:cs="楷体_GB2312"/>
          <w:sz w:val="32"/>
          <w:szCs w:val="32"/>
        </w:rPr>
        <w:t>七、</w:t>
      </w:r>
      <w:r>
        <w:rPr>
          <w:rStyle w:val="30"/>
          <w:rFonts w:hint="eastAsia" w:ascii="楷体_GB2312" w:hAnsi="楷体_GB2312" w:eastAsia="楷体_GB2312" w:cs="楷体_GB2312"/>
          <w:b w:val="0"/>
        </w:rPr>
        <w:t>财政拨款</w:t>
      </w:r>
      <w:r>
        <w:rPr>
          <w:rStyle w:val="30"/>
          <w:rFonts w:hint="eastAsia" w:ascii="楷体_GB2312" w:hAnsi="楷体_GB2312" w:eastAsia="楷体_GB2312" w:cs="楷体_GB2312"/>
        </w:rPr>
        <w:t>“</w:t>
      </w:r>
      <w:r>
        <w:rPr>
          <w:rStyle w:val="30"/>
          <w:rFonts w:hint="eastAsia" w:ascii="楷体_GB2312" w:hAnsi="楷体_GB2312" w:eastAsia="楷体_GB2312" w:cs="楷体_GB2312"/>
          <w:b w:val="0"/>
        </w:rPr>
        <w:t>三公”经费支出决算情况说明</w:t>
      </w:r>
      <w:bookmarkEnd w:id="52"/>
      <w:bookmarkEnd w:id="53"/>
      <w:bookmarkEnd w:id="54"/>
    </w:p>
    <w:p w14:paraId="52518275">
      <w:pPr>
        <w:spacing w:line="600" w:lineRule="exact"/>
        <w:ind w:firstLine="640"/>
        <w:outlineLvl w:val="2"/>
        <w:rPr>
          <w:rFonts w:hint="eastAsia" w:ascii="楷体_GB2312" w:hAnsi="楷体_GB2312" w:eastAsia="楷体_GB2312" w:cs="楷体_GB2312"/>
          <w:b w:val="0"/>
          <w:bCs/>
          <w:sz w:val="32"/>
          <w:szCs w:val="32"/>
        </w:rPr>
      </w:pPr>
      <w:bookmarkStart w:id="55" w:name="_Toc15377216"/>
      <w:r>
        <w:rPr>
          <w:rFonts w:hint="eastAsia" w:ascii="楷体_GB2312" w:hAnsi="楷体_GB2312" w:eastAsia="楷体_GB2312" w:cs="楷体_GB2312"/>
          <w:b w:val="0"/>
          <w:bCs/>
          <w:sz w:val="32"/>
          <w:szCs w:val="32"/>
        </w:rPr>
        <w:t>（一）“三公”经费财政拨款支出决算总体情况说明</w:t>
      </w:r>
      <w:bookmarkEnd w:id="55"/>
    </w:p>
    <w:p w14:paraId="749B6C03">
      <w:pPr>
        <w:spacing w:line="600" w:lineRule="exact"/>
        <w:ind w:firstLine="64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2023年度“三公”经费财政拨款支出决算为53.67万元，完成预算100%，较上年度减少</w:t>
      </w:r>
      <w:r>
        <w:rPr>
          <w:rFonts w:hint="eastAsia" w:ascii="仿宋_GB2312" w:hAnsi="仿宋_GB2312" w:eastAsia="仿宋_GB2312" w:cs="仿宋_GB2312"/>
          <w:b w:val="0"/>
          <w:bCs/>
          <w:sz w:val="32"/>
          <w:szCs w:val="32"/>
          <w:lang w:val="en-US" w:eastAsia="zh-CN"/>
        </w:rPr>
        <w:t>47.73</w:t>
      </w:r>
      <w:r>
        <w:rPr>
          <w:rFonts w:hint="eastAsia" w:ascii="仿宋_GB2312" w:hAnsi="仿宋_GB2312" w:eastAsia="仿宋_GB2312" w:cs="仿宋_GB2312"/>
          <w:b w:val="0"/>
          <w:bCs/>
          <w:sz w:val="32"/>
          <w:szCs w:val="32"/>
        </w:rPr>
        <w:t>万元，下降</w:t>
      </w:r>
      <w:r>
        <w:rPr>
          <w:rFonts w:hint="eastAsia" w:ascii="仿宋_GB2312" w:hAnsi="仿宋_GB2312" w:eastAsia="仿宋_GB2312" w:cs="仿宋_GB2312"/>
          <w:b w:val="0"/>
          <w:bCs/>
          <w:sz w:val="32"/>
          <w:szCs w:val="32"/>
          <w:lang w:val="en-US" w:eastAsia="zh-CN"/>
        </w:rPr>
        <w:t>47.07</w:t>
      </w:r>
      <w:r>
        <w:rPr>
          <w:rFonts w:hint="eastAsia" w:ascii="仿宋_GB2312" w:hAnsi="仿宋_GB2312" w:eastAsia="仿宋_GB2312" w:cs="仿宋_GB2312"/>
          <w:b w:val="0"/>
          <w:bCs/>
          <w:sz w:val="32"/>
          <w:szCs w:val="32"/>
        </w:rPr>
        <w:t>%。决算数与预算数持平的主要原因是合理安排三公经费开支。</w:t>
      </w:r>
    </w:p>
    <w:p w14:paraId="3173683F">
      <w:pPr>
        <w:spacing w:line="600" w:lineRule="exact"/>
        <w:ind w:firstLine="640"/>
        <w:outlineLvl w:val="2"/>
        <w:rPr>
          <w:rFonts w:hint="eastAsia" w:ascii="楷体_GB2312" w:hAnsi="楷体_GB2312" w:eastAsia="楷体_GB2312" w:cs="楷体_GB2312"/>
          <w:b w:val="0"/>
          <w:bCs/>
          <w:sz w:val="32"/>
          <w:szCs w:val="32"/>
        </w:rPr>
      </w:pPr>
      <w:bookmarkStart w:id="56" w:name="_Toc15377217"/>
      <w:r>
        <w:rPr>
          <w:rFonts w:hint="eastAsia" w:ascii="楷体_GB2312" w:hAnsi="楷体_GB2312" w:eastAsia="楷体_GB2312" w:cs="楷体_GB2312"/>
          <w:b w:val="0"/>
          <w:bCs/>
          <w:sz w:val="32"/>
          <w:szCs w:val="32"/>
        </w:rPr>
        <w:t>（二）“三公”经费财政拨款支出决算具体情况说明</w:t>
      </w:r>
      <w:bookmarkEnd w:id="56"/>
    </w:p>
    <w:p w14:paraId="463BBC75">
      <w:pPr>
        <w:spacing w:line="600" w:lineRule="exact"/>
        <w:ind w:firstLine="640"/>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2023年度“三公”经费财政拨款支出决算中，因公出国（境）费支出决算0万元，占0%；公务用车购置及运行维护费支出决算52.44万元，占97.69%；公务接待费支出决算1.24万元，占2.3</w:t>
      </w:r>
      <w:r>
        <w:rPr>
          <w:rFonts w:hint="eastAsia" w:ascii="仿宋_GB2312" w:hAnsi="仿宋_GB2312" w:eastAsia="仿宋_GB2312" w:cs="仿宋_GB2312"/>
          <w:b w:val="0"/>
          <w:bCs/>
          <w:sz w:val="32"/>
          <w:szCs w:val="32"/>
          <w:lang w:val="en-US" w:eastAsia="zh-CN"/>
        </w:rPr>
        <w:t>1</w:t>
      </w:r>
      <w:r>
        <w:rPr>
          <w:rFonts w:hint="eastAsia" w:ascii="仿宋_GB2312" w:hAnsi="仿宋_GB2312" w:eastAsia="仿宋_GB2312" w:cs="仿宋_GB2312"/>
          <w:b w:val="0"/>
          <w:bCs/>
          <w:sz w:val="32"/>
          <w:szCs w:val="32"/>
        </w:rPr>
        <w:t>%。具体情况如下：</w:t>
      </w:r>
    </w:p>
    <w:p w14:paraId="60E0AAE0">
      <w:pPr>
        <w:spacing w:line="240" w:lineRule="auto"/>
        <w:ind w:firstLine="0"/>
        <w:jc w:val="center"/>
        <w:rPr>
          <w:rFonts w:hint="eastAsia" w:ascii="仿宋" w:hAnsi="仿宋" w:eastAsia="仿宋"/>
          <w:sz w:val="32"/>
          <w:szCs w:val="32"/>
        </w:rPr>
      </w:pPr>
      <w:r>
        <w:drawing>
          <wp:inline distT="0" distB="0" distL="114300" distR="114300">
            <wp:extent cx="4552950" cy="29051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552950" cy="2905125"/>
                    </a:xfrm>
                    <a:prstGeom prst="rect">
                      <a:avLst/>
                    </a:prstGeom>
                    <a:noFill/>
                    <a:ln>
                      <a:noFill/>
                    </a:ln>
                  </pic:spPr>
                </pic:pic>
              </a:graphicData>
            </a:graphic>
          </wp:inline>
        </w:drawing>
      </w:r>
    </w:p>
    <w:p w14:paraId="030077E8">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6E2D0B03">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sz w:val="32"/>
          <w:szCs w:val="32"/>
        </w:rPr>
        <w:t>0</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sz w:val="32"/>
          <w:szCs w:val="32"/>
        </w:rPr>
        <w:t>0</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全年安排因公出国（境）团组</w:t>
      </w:r>
      <w:r>
        <w:rPr>
          <w:sz w:val="32"/>
          <w:szCs w:val="32"/>
        </w:rPr>
        <w:t>0</w:t>
      </w:r>
      <w:r>
        <w:rPr>
          <w:rFonts w:hint="eastAsia" w:ascii="仿宋_GB2312" w:eastAsia="仿宋_GB2312"/>
          <w:sz w:val="32"/>
          <w:szCs w:val="32"/>
        </w:rPr>
        <w:t>次，出国（境）</w:t>
      </w:r>
      <w:r>
        <w:rPr>
          <w:sz w:val="32"/>
          <w:szCs w:val="32"/>
        </w:rPr>
        <w:t>0</w:t>
      </w:r>
      <w:r>
        <w:rPr>
          <w:rFonts w:hint="eastAsia" w:ascii="仿宋_GB2312" w:eastAsia="仿宋_GB2312"/>
          <w:sz w:val="32"/>
          <w:szCs w:val="32"/>
        </w:rPr>
        <w:t>人。因公出国（境）支出决算比2022年增加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515FEE82">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52.44</w:t>
      </w:r>
      <w:r>
        <w:rPr>
          <w:rFonts w:hint="eastAsia" w:ascii="仿宋_GB2312" w:eastAsia="仿宋_GB2312"/>
          <w:sz w:val="32"/>
          <w:szCs w:val="32"/>
        </w:rPr>
        <w:t>万元</w:t>
      </w:r>
      <w:r>
        <w:rPr>
          <w:rFonts w:hint="eastAsia" w:ascii="仿宋_GB2312" w:eastAsia="仿宋_GB2312"/>
          <w:sz w:val="32"/>
          <w:szCs w:val="32"/>
          <w:lang w:eastAsia="zh-CN"/>
        </w:rPr>
        <w:t>，</w:t>
      </w:r>
      <w:r>
        <w:rPr>
          <w:rStyle w:val="18"/>
          <w:rFonts w:hint="eastAsia" w:ascii="仿宋" w:hAnsi="仿宋" w:eastAsia="仿宋"/>
          <w:b w:val="0"/>
          <w:bCs/>
          <w:sz w:val="32"/>
          <w:szCs w:val="32"/>
        </w:rPr>
        <w:t>完成预算</w:t>
      </w:r>
      <w:r>
        <w:rPr>
          <w:sz w:val="32"/>
          <w:szCs w:val="32"/>
        </w:rPr>
        <w:t>100</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公务用车购置及运行维护费支出决算比2022年度减少</w:t>
      </w:r>
      <w:r>
        <w:rPr>
          <w:rFonts w:hint="eastAsia" w:ascii="仿宋_GB2312" w:eastAsia="仿宋_GB2312"/>
          <w:sz w:val="32"/>
          <w:szCs w:val="32"/>
          <w:lang w:val="en-US" w:eastAsia="zh-CN"/>
        </w:rPr>
        <w:t>42.65</w:t>
      </w:r>
      <w:r>
        <w:rPr>
          <w:rFonts w:hint="eastAsia" w:ascii="仿宋_GB2312" w:eastAsia="仿宋_GB2312"/>
          <w:sz w:val="32"/>
          <w:szCs w:val="32"/>
        </w:rPr>
        <w:t>万元，下降</w:t>
      </w:r>
      <w:r>
        <w:rPr>
          <w:rFonts w:hint="eastAsia" w:ascii="仿宋_GB2312" w:eastAsia="仿宋_GB2312"/>
          <w:sz w:val="32"/>
          <w:szCs w:val="32"/>
          <w:lang w:val="en-US" w:eastAsia="zh-CN"/>
        </w:rPr>
        <w:t>44.85</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由财政安排的公车运行维护经费预算减少</w:t>
      </w:r>
      <w:r>
        <w:rPr>
          <w:rFonts w:hint="eastAsia" w:ascii="仿宋_GB2312" w:eastAsia="仿宋_GB2312"/>
          <w:sz w:val="32"/>
          <w:szCs w:val="32"/>
        </w:rPr>
        <w:t>。</w:t>
      </w:r>
    </w:p>
    <w:p w14:paraId="2B78DEFE">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26</w:t>
      </w:r>
      <w:r>
        <w:rPr>
          <w:rFonts w:hint="eastAsia" w:ascii="仿宋_GB2312" w:eastAsia="仿宋_GB2312"/>
          <w:sz w:val="32"/>
          <w:szCs w:val="32"/>
        </w:rPr>
        <w:t>辆，其中：轿车2辆、越野车3辆、小型载客汽车1辆、其他车型</w:t>
      </w:r>
      <w:r>
        <w:rPr>
          <w:rFonts w:hint="eastAsia" w:ascii="仿宋_GB2312" w:eastAsia="仿宋_GB2312"/>
          <w:sz w:val="32"/>
          <w:szCs w:val="32"/>
          <w:lang w:val="en-US" w:eastAsia="zh-CN"/>
        </w:rPr>
        <w:t>20</w:t>
      </w:r>
      <w:r>
        <w:rPr>
          <w:rFonts w:hint="eastAsia" w:ascii="仿宋_GB2312" w:eastAsia="仿宋_GB2312"/>
          <w:sz w:val="32"/>
          <w:szCs w:val="32"/>
        </w:rPr>
        <w:t>辆。</w:t>
      </w:r>
    </w:p>
    <w:p w14:paraId="087F089E">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sz w:val="32"/>
          <w:szCs w:val="32"/>
        </w:rPr>
        <w:t>52.44</w:t>
      </w:r>
      <w:r>
        <w:rPr>
          <w:rFonts w:hint="eastAsia" w:ascii="仿宋_GB2312" w:eastAsia="仿宋_GB2312"/>
          <w:sz w:val="32"/>
          <w:szCs w:val="32"/>
        </w:rPr>
        <w:t>万元。主要用于开展卫生、医疗业务工作等所需的公务用车燃料费、维修费、过路过桥费、保险费等支出。</w:t>
      </w:r>
    </w:p>
    <w:p w14:paraId="244BE080">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1.24</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sz w:val="32"/>
          <w:szCs w:val="32"/>
        </w:rPr>
        <w:t>100%</w:t>
      </w:r>
      <w:r>
        <w:rPr>
          <w:rStyle w:val="18"/>
          <w:rFonts w:hint="eastAsia" w:ascii="仿宋" w:hAnsi="仿宋" w:eastAsia="仿宋"/>
          <w:b w:val="0"/>
          <w:bCs/>
          <w:sz w:val="32"/>
          <w:szCs w:val="32"/>
        </w:rPr>
        <w:t>。</w:t>
      </w:r>
      <w:r>
        <w:rPr>
          <w:rFonts w:hint="eastAsia" w:ascii="仿宋_GB2312" w:eastAsia="仿宋_GB2312"/>
          <w:sz w:val="32"/>
          <w:szCs w:val="32"/>
        </w:rPr>
        <w:t>公务接待费支出决算比2022年度减少</w:t>
      </w:r>
      <w:r>
        <w:rPr>
          <w:rFonts w:hint="eastAsia" w:ascii="仿宋_GB2312" w:eastAsia="仿宋_GB2312"/>
          <w:sz w:val="32"/>
          <w:szCs w:val="32"/>
          <w:lang w:val="en-US" w:eastAsia="zh-CN"/>
        </w:rPr>
        <w:t>5.07</w:t>
      </w:r>
      <w:r>
        <w:rPr>
          <w:rFonts w:hint="eastAsia" w:ascii="仿宋_GB2312" w:eastAsia="仿宋_GB2312"/>
          <w:sz w:val="32"/>
          <w:szCs w:val="32"/>
        </w:rPr>
        <w:t>万元，</w:t>
      </w:r>
      <w:r>
        <w:rPr>
          <w:rFonts w:hint="eastAsia" w:ascii="仿宋_GB2312" w:eastAsia="仿宋_GB2312"/>
          <w:sz w:val="32"/>
          <w:szCs w:val="32"/>
          <w:lang w:val="en-US" w:eastAsia="zh-CN"/>
        </w:rPr>
        <w:t>80.35</w:t>
      </w:r>
      <w:r>
        <w:rPr>
          <w:rFonts w:ascii="仿宋_GB2312" w:eastAsia="仿宋_GB2312"/>
          <w:sz w:val="32"/>
          <w:szCs w:val="32"/>
        </w:rPr>
        <w:t>%</w:t>
      </w:r>
      <w:r>
        <w:rPr>
          <w:rFonts w:hint="eastAsia" w:ascii="仿宋_GB2312" w:eastAsia="仿宋_GB2312"/>
          <w:sz w:val="32"/>
          <w:szCs w:val="32"/>
        </w:rPr>
        <w:t>。主要原因是厉行节约，合理开支公务接待费用。其中：</w:t>
      </w:r>
    </w:p>
    <w:p w14:paraId="67CB4B36">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b/>
          <w:sz w:val="32"/>
          <w:szCs w:val="32"/>
          <w:lang w:val="en-US" w:eastAsia="zh-CN"/>
        </w:rPr>
        <w:t>1.24</w:t>
      </w:r>
      <w:r>
        <w:rPr>
          <w:rFonts w:hint="eastAsia" w:ascii="仿宋_GB2312" w:eastAsia="仿宋_GB2312"/>
          <w:sz w:val="32"/>
          <w:szCs w:val="32"/>
        </w:rPr>
        <w:t>万元，主要用于执行公务、开展业务活动开支的交通费、住宿费、用餐费等。国内公务接待</w:t>
      </w:r>
      <w:r>
        <w:rPr>
          <w:rFonts w:hint="eastAsia" w:ascii="仿宋_GB2312" w:eastAsia="仿宋_GB2312"/>
          <w:sz w:val="32"/>
          <w:szCs w:val="32"/>
          <w:lang w:val="en-US" w:eastAsia="zh-CN"/>
        </w:rPr>
        <w:t>22</w:t>
      </w:r>
      <w:r>
        <w:rPr>
          <w:rFonts w:hint="eastAsia" w:ascii="仿宋_GB2312" w:eastAsia="仿宋_GB2312"/>
          <w:sz w:val="32"/>
          <w:szCs w:val="32"/>
        </w:rPr>
        <w:t>批次，</w:t>
      </w:r>
      <w:r>
        <w:rPr>
          <w:rFonts w:hint="eastAsia" w:ascii="仿宋_GB2312" w:eastAsia="仿宋_GB2312"/>
          <w:sz w:val="32"/>
          <w:szCs w:val="32"/>
          <w:lang w:val="en-US" w:eastAsia="zh-CN"/>
        </w:rPr>
        <w:t>175</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1.24</w:t>
      </w:r>
      <w:r>
        <w:rPr>
          <w:rFonts w:hint="eastAsia" w:ascii="仿宋_GB2312" w:eastAsia="仿宋_GB2312"/>
          <w:sz w:val="32"/>
          <w:szCs w:val="32"/>
        </w:rPr>
        <w:t>万元。</w:t>
      </w:r>
    </w:p>
    <w:p w14:paraId="5177E0F6">
      <w:pPr>
        <w:spacing w:line="600" w:lineRule="exact"/>
        <w:ind w:firstLine="643" w:firstLineChars="200"/>
        <w:rPr>
          <w:rFonts w:ascii="黑体" w:eastAsia="黑体"/>
          <w:sz w:val="32"/>
          <w:szCs w:val="32"/>
        </w:rPr>
      </w:pPr>
      <w:r>
        <w:rPr>
          <w:rFonts w:hint="eastAsia" w:ascii="仿宋" w:hAnsi="仿宋" w:eastAsia="仿宋"/>
          <w:b/>
          <w:sz w:val="32"/>
          <w:szCs w:val="32"/>
        </w:rPr>
        <w:t>外事接待支出</w:t>
      </w:r>
      <w:r>
        <w:rPr>
          <w:rFonts w:hint="eastAsia" w:ascii="仿宋" w:hAnsi="仿宋" w:eastAsia="仿宋"/>
          <w:b/>
          <w:sz w:val="32"/>
          <w:szCs w:val="32"/>
          <w:lang w:val="en-US" w:eastAsia="zh-CN"/>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bookmarkStart w:id="57" w:name="_Toc15396610"/>
      <w:bookmarkStart w:id="58" w:name="_Toc15377218"/>
    </w:p>
    <w:p w14:paraId="1D2BBD90">
      <w:pPr>
        <w:spacing w:line="600" w:lineRule="exact"/>
        <w:ind w:firstLine="640"/>
        <w:outlineLvl w:val="1"/>
        <w:rPr>
          <w:rStyle w:val="30"/>
          <w:rFonts w:ascii="黑体" w:hAnsi="黑体" w:eastAsia="黑体"/>
        </w:rPr>
      </w:pPr>
      <w:bookmarkStart w:id="59" w:name="_Toc24149"/>
      <w:r>
        <w:rPr>
          <w:rFonts w:hint="eastAsia" w:ascii="黑体" w:eastAsia="黑体"/>
          <w:sz w:val="32"/>
          <w:szCs w:val="32"/>
        </w:rPr>
        <w:t>八、</w:t>
      </w:r>
      <w:r>
        <w:rPr>
          <w:rStyle w:val="30"/>
          <w:rFonts w:hint="eastAsia" w:ascii="黑体" w:hAnsi="黑体" w:eastAsia="黑体"/>
          <w:b w:val="0"/>
        </w:rPr>
        <w:t>政府性基金预算支出决算情况说明</w:t>
      </w:r>
      <w:bookmarkEnd w:id="57"/>
      <w:bookmarkEnd w:id="58"/>
      <w:bookmarkEnd w:id="59"/>
    </w:p>
    <w:p w14:paraId="12E59B98">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147.46</w:t>
      </w:r>
      <w:r>
        <w:rPr>
          <w:rFonts w:hint="eastAsia" w:ascii="仿宋_GB2312" w:eastAsia="仿宋_GB2312"/>
          <w:sz w:val="32"/>
          <w:szCs w:val="32"/>
        </w:rPr>
        <w:t>万元。</w:t>
      </w:r>
    </w:p>
    <w:p w14:paraId="42255125">
      <w:pPr>
        <w:numPr>
          <w:ilvl w:val="0"/>
          <w:numId w:val="2"/>
        </w:numPr>
        <w:spacing w:line="600" w:lineRule="exact"/>
        <w:ind w:firstLine="640"/>
        <w:outlineLvl w:val="1"/>
        <w:rPr>
          <w:rStyle w:val="30"/>
          <w:rFonts w:ascii="黑体" w:hAnsi="黑体" w:eastAsia="黑体"/>
          <w:b w:val="0"/>
        </w:rPr>
      </w:pPr>
      <w:bookmarkStart w:id="60" w:name="_Toc15396611"/>
      <w:bookmarkStart w:id="61" w:name="_Toc22773"/>
      <w:bookmarkStart w:id="62" w:name="_Toc15377219"/>
      <w:r>
        <w:rPr>
          <w:rStyle w:val="30"/>
          <w:rFonts w:hint="eastAsia" w:ascii="黑体" w:hAnsi="黑体" w:eastAsia="黑体"/>
          <w:b w:val="0"/>
        </w:rPr>
        <w:t>国有资本经营预算支出决算情况说明</w:t>
      </w:r>
      <w:bookmarkEnd w:id="60"/>
      <w:bookmarkEnd w:id="61"/>
      <w:bookmarkEnd w:id="62"/>
    </w:p>
    <w:p w14:paraId="58996E17">
      <w:pPr>
        <w:spacing w:line="600" w:lineRule="exact"/>
        <w:ind w:firstLine="640"/>
        <w:rPr>
          <w:rFonts w:ascii="方正小标宋简体" w:hAnsi="方正小标宋简体" w:eastAsia="方正小标宋简体" w:cs="方正小标宋简体"/>
          <w:sz w:val="44"/>
          <w:szCs w:val="44"/>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6905559D">
      <w:pPr>
        <w:numPr>
          <w:ilvl w:val="0"/>
          <w:numId w:val="2"/>
        </w:numPr>
        <w:spacing w:line="600" w:lineRule="exact"/>
        <w:ind w:firstLine="640"/>
        <w:outlineLvl w:val="1"/>
        <w:rPr>
          <w:rStyle w:val="30"/>
          <w:rFonts w:ascii="黑体" w:hAnsi="黑体" w:eastAsia="黑体"/>
          <w:b w:val="0"/>
        </w:rPr>
      </w:pPr>
      <w:bookmarkStart w:id="63" w:name="_Toc15377221"/>
      <w:bookmarkStart w:id="64" w:name="_Toc8704"/>
      <w:bookmarkStart w:id="65" w:name="_Toc15396612"/>
      <w:r>
        <w:rPr>
          <w:rStyle w:val="30"/>
          <w:rFonts w:hint="eastAsia" w:ascii="黑体" w:hAnsi="黑体" w:eastAsia="黑体"/>
          <w:b w:val="0"/>
        </w:rPr>
        <w:t>其他重要事项的情况说明</w:t>
      </w:r>
      <w:bookmarkEnd w:id="63"/>
      <w:bookmarkEnd w:id="64"/>
      <w:bookmarkEnd w:id="65"/>
    </w:p>
    <w:p w14:paraId="6F9C45A4">
      <w:pPr>
        <w:spacing w:line="600" w:lineRule="exact"/>
        <w:ind w:firstLine="643" w:firstLineChars="200"/>
        <w:outlineLvl w:val="2"/>
        <w:rPr>
          <w:rFonts w:ascii="仿宋" w:hAnsi="仿宋" w:eastAsia="仿宋"/>
          <w:sz w:val="32"/>
          <w:szCs w:val="32"/>
        </w:rPr>
      </w:pPr>
      <w:bookmarkStart w:id="66" w:name="_Toc15377222"/>
      <w:r>
        <w:rPr>
          <w:rFonts w:hint="eastAsia" w:ascii="仿宋" w:hAnsi="仿宋" w:eastAsia="仿宋"/>
          <w:b/>
          <w:sz w:val="32"/>
          <w:szCs w:val="32"/>
        </w:rPr>
        <w:t>（一）机关运行经费支出情况</w:t>
      </w:r>
      <w:bookmarkEnd w:id="66"/>
    </w:p>
    <w:p w14:paraId="46030E81">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2023年度，峨边彝族自治县卫生健康局机关运行经费支出</w:t>
      </w:r>
      <w:r>
        <w:rPr>
          <w:sz w:val="32"/>
          <w:szCs w:val="32"/>
        </w:rPr>
        <w:t>118.3</w:t>
      </w:r>
      <w:r>
        <w:rPr>
          <w:rFonts w:hint="eastAsia" w:ascii="仿宋_GB2312" w:eastAsia="仿宋_GB2312"/>
          <w:sz w:val="32"/>
          <w:szCs w:val="32"/>
        </w:rPr>
        <w:t>万元，比2022年度减少</w:t>
      </w:r>
      <w:r>
        <w:rPr>
          <w:rFonts w:hint="eastAsia" w:ascii="仿宋_GB2312" w:eastAsia="仿宋_GB2312"/>
          <w:sz w:val="32"/>
          <w:szCs w:val="32"/>
          <w:lang w:val="en-US" w:eastAsia="zh-CN"/>
        </w:rPr>
        <w:t>6.83</w:t>
      </w:r>
      <w:r>
        <w:rPr>
          <w:rFonts w:hint="eastAsia" w:ascii="仿宋_GB2312" w:eastAsia="仿宋_GB2312"/>
          <w:sz w:val="32"/>
          <w:szCs w:val="32"/>
        </w:rPr>
        <w:t>万元，下降</w:t>
      </w:r>
      <w:r>
        <w:rPr>
          <w:rFonts w:hint="eastAsia" w:ascii="仿宋_GB2312" w:eastAsia="仿宋_GB2312"/>
          <w:sz w:val="32"/>
          <w:szCs w:val="32"/>
          <w:lang w:val="en-US" w:eastAsia="zh-CN"/>
        </w:rPr>
        <w:t>5.53</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2023年办公经费预算减少</w:t>
      </w:r>
      <w:r>
        <w:rPr>
          <w:rFonts w:hint="eastAsia" w:ascii="仿宋_GB2312" w:eastAsia="仿宋_GB2312"/>
          <w:sz w:val="32"/>
          <w:szCs w:val="32"/>
        </w:rPr>
        <w:t>。</w:t>
      </w:r>
    </w:p>
    <w:p w14:paraId="7C70D201">
      <w:pPr>
        <w:autoSpaceDE w:val="0"/>
        <w:autoSpaceDN w:val="0"/>
        <w:adjustRightInd w:val="0"/>
        <w:spacing w:line="600" w:lineRule="exact"/>
        <w:ind w:firstLine="643" w:firstLineChars="200"/>
        <w:jc w:val="left"/>
        <w:outlineLvl w:val="2"/>
        <w:rPr>
          <w:rFonts w:ascii="仿宋" w:hAnsi="仿宋" w:eastAsia="仿宋"/>
          <w:b/>
          <w:sz w:val="32"/>
          <w:szCs w:val="32"/>
        </w:rPr>
      </w:pPr>
      <w:bookmarkStart w:id="67" w:name="_Toc15377223"/>
      <w:r>
        <w:rPr>
          <w:rFonts w:hint="eastAsia" w:ascii="仿宋" w:hAnsi="仿宋" w:eastAsia="仿宋"/>
          <w:b/>
          <w:sz w:val="32"/>
          <w:szCs w:val="32"/>
        </w:rPr>
        <w:t>（二）政府采购支出情况</w:t>
      </w:r>
      <w:bookmarkEnd w:id="67"/>
    </w:p>
    <w:p w14:paraId="337D804A">
      <w:pPr>
        <w:spacing w:line="600" w:lineRule="exact"/>
        <w:ind w:firstLine="640" w:firstLineChars="200"/>
        <w:rPr>
          <w:rFonts w:ascii="仿宋" w:hAnsi="仿宋" w:eastAsia="仿宋"/>
          <w:b/>
          <w:sz w:val="32"/>
          <w:szCs w:val="32"/>
        </w:rPr>
      </w:pPr>
      <w:r>
        <w:rPr>
          <w:rFonts w:hint="eastAsia" w:ascii="仿宋_GB2312" w:eastAsia="仿宋_GB2312"/>
          <w:sz w:val="32"/>
          <w:szCs w:val="32"/>
        </w:rPr>
        <w:t>2023年度，峨边彝族自治县卫生健康局政府采购支出总额</w:t>
      </w:r>
      <w:r>
        <w:rPr>
          <w:sz w:val="32"/>
          <w:szCs w:val="32"/>
        </w:rPr>
        <w:t>1.37</w:t>
      </w:r>
      <w:r>
        <w:rPr>
          <w:rFonts w:hint="eastAsia" w:ascii="仿宋_GB2312" w:eastAsia="仿宋_GB2312"/>
          <w:sz w:val="32"/>
          <w:szCs w:val="32"/>
        </w:rPr>
        <w:t>万元，其中：政府采购货物支出</w:t>
      </w:r>
      <w:r>
        <w:rPr>
          <w:sz w:val="32"/>
          <w:szCs w:val="32"/>
        </w:rPr>
        <w:t>1.37</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0</w:t>
      </w:r>
      <w:r>
        <w:rPr>
          <w:rFonts w:hint="eastAsia" w:ascii="仿宋_GB2312" w:eastAsia="仿宋_GB2312"/>
          <w:sz w:val="32"/>
          <w:szCs w:val="32"/>
        </w:rPr>
        <w:t>万元。主要用于开展公共卫生服务工作。授予中小企业合同金额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362AB97A">
      <w:pPr>
        <w:autoSpaceDE w:val="0"/>
        <w:autoSpaceDN w:val="0"/>
        <w:adjustRightInd w:val="0"/>
        <w:spacing w:line="600" w:lineRule="exact"/>
        <w:ind w:firstLine="643" w:firstLineChars="200"/>
        <w:jc w:val="left"/>
        <w:outlineLvl w:val="2"/>
        <w:rPr>
          <w:rFonts w:ascii="仿宋" w:hAnsi="仿宋" w:eastAsia="仿宋"/>
          <w:b/>
          <w:sz w:val="32"/>
          <w:szCs w:val="32"/>
        </w:rPr>
      </w:pPr>
      <w:bookmarkStart w:id="68" w:name="_Toc15377224"/>
      <w:r>
        <w:rPr>
          <w:rFonts w:hint="eastAsia" w:ascii="仿宋" w:hAnsi="仿宋" w:eastAsia="仿宋"/>
          <w:b/>
          <w:sz w:val="32"/>
          <w:szCs w:val="32"/>
        </w:rPr>
        <w:t>（三）国有资产占有使用情况</w:t>
      </w:r>
      <w:bookmarkEnd w:id="68"/>
    </w:p>
    <w:p w14:paraId="1E772BDE">
      <w:pPr>
        <w:autoSpaceDE w:val="0"/>
        <w:autoSpaceDN w:val="0"/>
        <w:adjustRightInd w:val="0"/>
        <w:spacing w:line="600" w:lineRule="exact"/>
        <w:ind w:firstLine="640" w:firstLineChars="200"/>
        <w:jc w:val="left"/>
        <w:rPr>
          <w:rFonts w:ascii="仿宋" w:hAnsi="仿宋" w:eastAsia="仿宋"/>
          <w:b/>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日，峨边彝族自治县卫生健康局共有车辆</w:t>
      </w:r>
      <w:r>
        <w:rPr>
          <w:rFonts w:ascii="仿宋_GB2312" w:eastAsia="仿宋_GB2312"/>
          <w:sz w:val="32"/>
          <w:szCs w:val="32"/>
        </w:rPr>
        <w:t>2</w:t>
      </w:r>
      <w:r>
        <w:rPr>
          <w:rFonts w:hint="eastAsia" w:ascii="仿宋_GB2312" w:eastAsia="仿宋_GB2312"/>
          <w:sz w:val="32"/>
          <w:szCs w:val="32"/>
          <w:lang w:val="en-US" w:eastAsia="zh-CN"/>
        </w:rPr>
        <w:t>6</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3</w:t>
      </w:r>
      <w:r>
        <w:rPr>
          <w:rFonts w:hint="eastAsia" w:ascii="仿宋_GB2312" w:eastAsia="仿宋_GB2312"/>
          <w:sz w:val="32"/>
          <w:szCs w:val="32"/>
        </w:rPr>
        <w:t>辆、特种专业技术用车10辆</w:t>
      </w:r>
      <w:r>
        <w:rPr>
          <w:rFonts w:hint="eastAsia" w:ascii="仿宋_GB2312" w:eastAsia="仿宋_GB2312"/>
          <w:sz w:val="32"/>
          <w:szCs w:val="32"/>
          <w:lang w:eastAsia="zh-CN"/>
        </w:rPr>
        <w:t>、</w:t>
      </w:r>
      <w:r>
        <w:rPr>
          <w:rFonts w:hint="eastAsia" w:ascii="仿宋_GB2312" w:eastAsia="仿宋_GB2312"/>
          <w:sz w:val="32"/>
          <w:szCs w:val="32"/>
        </w:rPr>
        <w:t>其他用车</w:t>
      </w:r>
      <w:r>
        <w:rPr>
          <w:rFonts w:hint="eastAsia" w:ascii="仿宋_GB2312" w:eastAsia="仿宋_GB2312"/>
          <w:sz w:val="32"/>
          <w:szCs w:val="32"/>
          <w:lang w:val="en-US" w:eastAsia="zh-CN"/>
        </w:rPr>
        <w:t>13</w:t>
      </w:r>
      <w:r>
        <w:rPr>
          <w:rFonts w:hint="eastAsia" w:ascii="仿宋_GB2312" w:eastAsia="仿宋_GB2312"/>
          <w:sz w:val="32"/>
          <w:szCs w:val="32"/>
        </w:rPr>
        <w:t>辆，其他用车主要是用于开展医疗卫生服务工作。单价</w:t>
      </w:r>
      <w:r>
        <w:rPr>
          <w:rFonts w:ascii="仿宋_GB2312" w:eastAsia="仿宋_GB2312"/>
          <w:sz w:val="32"/>
          <w:szCs w:val="32"/>
        </w:rPr>
        <w:t>100</w:t>
      </w:r>
      <w:r>
        <w:rPr>
          <w:rFonts w:hint="eastAsia" w:ascii="仿宋_GB2312" w:eastAsia="仿宋_GB2312"/>
          <w:sz w:val="32"/>
          <w:szCs w:val="32"/>
        </w:rPr>
        <w:t>万元以上设备（不含车辆）</w:t>
      </w:r>
      <w:r>
        <w:rPr>
          <w:sz w:val="32"/>
          <w:szCs w:val="32"/>
        </w:rPr>
        <w:t>1</w:t>
      </w:r>
      <w:r>
        <w:rPr>
          <w:rFonts w:hint="eastAsia" w:ascii="仿宋_GB2312" w:eastAsia="仿宋_GB2312"/>
          <w:sz w:val="32"/>
          <w:szCs w:val="32"/>
        </w:rPr>
        <w:t>台（套）。</w:t>
      </w:r>
    </w:p>
    <w:p w14:paraId="42B6C9A6">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50F242BC">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根据预算绩效管理要求，本部门在2023年度预算编制阶段，组织对艾滋病生活补助项目等</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个项目开展了预算事前绩效评估，对</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个项目开展绩效监控。</w:t>
      </w:r>
    </w:p>
    <w:p w14:paraId="02820708">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2023年度一般公共预算、政府性基金预算、国有资本经营预算、社会保险基金预算以及资本资产、债券资金等全面开展绩效自评，形成峨边彝族自治县卫生健康局部门整体（含部门预算项目）绩效自评报告、艾滋病感染者生活补助等专项预算项目绩效自评报告，其中，峨边彝族自治县卫生健康局部门整体（含部门预算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综述：2023年我局整体支出绩效评价自查自评结果良好，全年基本支出保证了部门的正常运行和日常工作的正常开展，项目支出保障了重点工作的开展，达到预期绩效目标；艾滋病感染者生活补助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分，绩效自评综述：本项目为县级一般公共预算资金，项目资金专款专用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资金的使用、支付及时、会计核算规范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通过项目实施，艾滋病感染者及病人生存生活质量得到了一定提高，病人生产生活和入托入学就医得到了基本保障，从而社会矛盾相对减少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“9+3”免费教育体检专项预算项目绩效自评得分为100分，绩效自评综述：按照“9+3”免费教育入学体检要求，县招办和医院制定了工作方案，并按工作方案有效实施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完成157位学生中职教育入学体检，实际使用专项资金3.14万元，执行率100%</w:t>
      </w:r>
      <w:r>
        <w:rPr>
          <w:rFonts w:hint="eastAsia" w:ascii="仿宋_GB2312" w:hAnsi="仿宋_GB2312" w:eastAsia="仿宋_GB2312" w:cs="仿宋_GB2312"/>
          <w:sz w:val="32"/>
          <w:szCs w:val="32"/>
          <w:lang w:eastAsia="zh-CN"/>
        </w:rPr>
        <w:t>；爱国卫生运动创卫工作专项预算项目绩效自评得分为100分，绩效自评综述：完成除四害药物投放，通过国家卫生城市的验收，完成率100%；2023年东西协作项目专项预算项目绩效自评得分为100分，绩效自评综述：县人民医院新建重症监护室（ICU）、血透中心能力提升，采购X射线DR一台，县中医院采购彩超一台，配备除颤仪10个，完成率100%，该项目具有很好的及时性和社会性，能促进医疗机构进一步提高医疗水平，对社会稳定、和谐发展起到一定作用；2023年公共卫生补助专项预算项目绩效自评得分为100分，绩效自评综述：</w:t>
      </w:r>
      <w:r>
        <w:rPr>
          <w:rFonts w:hint="eastAsia" w:ascii="仿宋_GB2312" w:hAnsi="仿宋_GB2312" w:eastAsia="仿宋_GB2312" w:cs="仿宋_GB2312"/>
          <w:sz w:val="32"/>
          <w:szCs w:val="32"/>
          <w:lang w:val="en-US" w:eastAsia="zh-CN"/>
        </w:rPr>
        <w:t>项目各项实施任务完成情况优良，项目经济效益、社会效益、生态效益优良，但在基层卫生机构执行层面上也存在服务意识不强，服务能力欠缺等问题，有待加强科学管理和能力提升</w:t>
      </w:r>
      <w:r>
        <w:rPr>
          <w:rFonts w:hint="eastAsia" w:ascii="仿宋_GB2312" w:hAnsi="仿宋_GB2312" w:eastAsia="仿宋_GB2312" w:cs="仿宋_GB2312"/>
          <w:sz w:val="32"/>
          <w:szCs w:val="32"/>
          <w:lang w:eastAsia="zh-CN"/>
        </w:rPr>
        <w:t>；医疗机构基药补助专项预算项目绩效自评得分为100分，绩效自评综述：该项目具有很好的及时性和社会性，对医疗机构的基药补助，能促进医疗机构进一步降低患者费用，对社会稳定、和谐发展起到一定作用；计划生育资金专项预算项目绩效自评得分为100分，绩效自评综述：对全县计划生育奖特扶对象的补助，共计补偿250.36万元，完成率100%，补助对象满意度进一步提升，促进了社会稳定；2023年医疗服务与保障能力提升专项预算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lang w:eastAsia="zh-CN"/>
        </w:rPr>
        <w:t>分，绩效自评综述：通过项目实施丰富了公立医院科室的诊疗项目，满足了患者的就医需求，提高了科室的诊疗人次和诊疗水平，提升了患者的就医体验感，为医院打造优质服务提供了有利条件和保障；疫情防控经费、医务人员工作补助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分，绩效自评综述：通过项目实施稳定了医疗队伍，充分让医务人员得到了心理安慰。减轻了疫情期间医疗机构垫付的费用，促进医疗机构的健康发展；重大公共卫生项目专项预算项目绩效自评得分为</w:t>
      </w:r>
      <w:r>
        <w:rPr>
          <w:rFonts w:hint="eastAsia" w:ascii="仿宋_GB2312" w:hAnsi="仿宋_GB2312" w:eastAsia="仿宋_GB2312" w:cs="仿宋_GB2312"/>
          <w:sz w:val="32"/>
          <w:szCs w:val="32"/>
          <w:lang w:val="en-US" w:eastAsia="zh-CN"/>
        </w:rPr>
        <w:t>99</w:t>
      </w:r>
      <w:r>
        <w:rPr>
          <w:rFonts w:hint="eastAsia" w:ascii="仿宋_GB2312" w:hAnsi="仿宋_GB2312" w:eastAsia="仿宋_GB2312" w:cs="仿宋_GB2312"/>
          <w:sz w:val="32"/>
          <w:szCs w:val="32"/>
          <w:lang w:eastAsia="zh-CN"/>
        </w:rPr>
        <w:t>分，绩效自评综述：本项目为县级一般公共预算资金，项目资金专款专用，资金的使用、支付及时、会计核算规范，通过项目实施，保障了群众身体健康；峨边彝族自治县人民医院四川省“组团式”帮扶乡村振兴重点帮扶专项预算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lang w:eastAsia="zh-CN"/>
        </w:rPr>
        <w:t>分，绩效自评综述：全面、规范完成乡村巡回义诊、人员培训、业务研讨工作，实际使用专项资金20万元，执行率100%，</w:t>
      </w:r>
      <w:r>
        <w:rPr>
          <w:rFonts w:hint="eastAsia" w:ascii="仿宋_GB2312" w:hAnsi="仿宋_GB2312" w:eastAsia="仿宋_GB2312" w:cs="仿宋_GB2312"/>
          <w:sz w:val="32"/>
          <w:szCs w:val="32"/>
          <w:lang w:val="en-US" w:eastAsia="zh-CN"/>
        </w:rPr>
        <w:t>社会效益良好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绩效自评报告详见附件。</w:t>
      </w:r>
    </w:p>
    <w:p w14:paraId="1DD59E1D">
      <w:pPr>
        <w:pStyle w:val="2"/>
        <w:jc w:val="center"/>
      </w:pPr>
      <w:bookmarkStart w:id="69" w:name="_Toc8080"/>
      <w:r>
        <w:rPr>
          <w:rFonts w:hint="eastAsia"/>
        </w:rPr>
        <w:t>第三部分 名词解释</w:t>
      </w:r>
      <w:bookmarkEnd w:id="69"/>
    </w:p>
    <w:p w14:paraId="4731D87F">
      <w:pPr>
        <w:pStyle w:val="27"/>
        <w:spacing w:line="560" w:lineRule="exact"/>
        <w:ind w:firstLine="640" w:firstLineChars="200"/>
        <w:outlineLvl w:val="1"/>
        <w:rPr>
          <w:rFonts w:hint="eastAsia" w:ascii="仿宋_GB2312" w:eastAsia="仿宋_GB2312"/>
          <w:color w:val="auto"/>
          <w:sz w:val="32"/>
          <w:szCs w:val="24"/>
        </w:rPr>
      </w:pPr>
      <w:bookmarkStart w:id="70" w:name="_Toc21115"/>
      <w:r>
        <w:rPr>
          <w:rFonts w:hint="eastAsia" w:ascii="仿宋_GB2312" w:eastAsia="仿宋_GB2312"/>
          <w:color w:val="auto"/>
          <w:sz w:val="32"/>
          <w:szCs w:val="24"/>
        </w:rPr>
        <w:t>1.财政拨款收入：指单位从同级财政部门取得的财政预算资金。</w:t>
      </w:r>
      <w:bookmarkEnd w:id="70"/>
    </w:p>
    <w:p w14:paraId="4464CF7C">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 xml:space="preserve">2.事业收入：指事业单位开展专业业务活动及辅助活动取得的收入。如卫生院医疗收入等。 </w:t>
      </w:r>
    </w:p>
    <w:p w14:paraId="570C1137">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 xml:space="preserve">3.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20D5DA72">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 xml:space="preserve">4.年初结转和结余：指以前年度尚未完成、结转到本年按有关规定继续使用的资金。 </w:t>
      </w:r>
    </w:p>
    <w:p w14:paraId="0EEF0358">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5.结余分配：指事业单位按照事业单位会计制度的规定从非财政补助结余中分配的事业基金和职工福利基金等。</w:t>
      </w:r>
    </w:p>
    <w:p w14:paraId="22D78DDB">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6.年末结转和结余：指单位按有关规定结转到下年或以后年度继续使用的资金。</w:t>
      </w:r>
    </w:p>
    <w:p w14:paraId="10F6AFD2">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7.社会保障和就业支出（类）行政事业单位养老支出（款）行政单位离退休（项）：指反映行政单位（包括实行公务员管理的事业单位）开支的离退休经费。</w:t>
      </w:r>
    </w:p>
    <w:p w14:paraId="6A7C9665">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8.社会保障和就业支出（类）行政事业单位养老支出（款）事业单位离退休（项）：指反映事业单位开支的离退休经费。</w:t>
      </w:r>
    </w:p>
    <w:p w14:paraId="56ED1476">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9.社会保障和就业支出（类）行政事业单位养老支出（款） 机关事业单位基本养老保险缴费支出（项）：指反映机关事业单位实施养老保险制度由单位缴纳的基本养老保险费支出。</w:t>
      </w:r>
    </w:p>
    <w:p w14:paraId="5E26EEE4">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10.社会保障和就业支出（类）行政事业单位养老支出（款）机关事业单位职业年金缴费支出（项）：指反映机关事业单位实施养老保险制度由单位实际缴纳的职业年金支出。</w:t>
      </w:r>
    </w:p>
    <w:p w14:paraId="07C6A015">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11.社会保障和就业支出（类）抚恤（款）死亡抚恤（项）：反映按规定用于烈士和牺牲、病故人员家属的一次性和定期抚恤金以及丧葬补助费。</w:t>
      </w:r>
    </w:p>
    <w:p w14:paraId="15DC90A8">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12.社会保障和就业支出（类）其他社会保障和就业支出（款）其他社会保障和就业支出（项）：指反映除上述项目以外用于社会保障和就业方面的支出。</w:t>
      </w:r>
    </w:p>
    <w:p w14:paraId="58B5EDA9">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13.卫生健康支出（类）卫生健康管理事务（款）行政运行（项）：指反映行政单位（包括实行公务员管理的事业单位）的基本支出。</w:t>
      </w:r>
    </w:p>
    <w:p w14:paraId="7B0AE52D">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14.卫生健康支出（类）卫生健康管理事务（款）其他卫生健康管理事务支出（项）：指反映除上述项目外</w:t>
      </w:r>
      <w:r>
        <w:rPr>
          <w:rFonts w:hint="eastAsia" w:ascii="仿宋_GB2312" w:eastAsia="仿宋_GB2312"/>
          <w:color w:val="auto"/>
          <w:sz w:val="32"/>
          <w:szCs w:val="24"/>
          <w:lang w:eastAsia="zh-CN"/>
        </w:rPr>
        <w:t>其他</w:t>
      </w:r>
      <w:r>
        <w:rPr>
          <w:rFonts w:hint="eastAsia" w:ascii="仿宋_GB2312" w:eastAsia="仿宋_GB2312"/>
          <w:color w:val="auto"/>
          <w:sz w:val="32"/>
          <w:szCs w:val="24"/>
        </w:rPr>
        <w:t>健康卫生管理事务方面的支出。</w:t>
      </w:r>
    </w:p>
    <w:p w14:paraId="6AC17033">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15.卫生健康支出（类）公立医院（款）综合医院（项）：指反映卫生健康、中医部门所属的城市综合性医院、独立门诊、教学医院、疗养院和县医院的支出。</w:t>
      </w:r>
    </w:p>
    <w:p w14:paraId="6A5C30FA">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16.卫生健康支出（类）公立医院（款）中医</w:t>
      </w:r>
      <w:r>
        <w:rPr>
          <w:rFonts w:hint="eastAsia" w:ascii="仿宋_GB2312" w:eastAsia="仿宋_GB2312"/>
          <w:color w:val="auto"/>
          <w:sz w:val="32"/>
          <w:szCs w:val="24"/>
          <w:lang w:eastAsia="zh-CN"/>
        </w:rPr>
        <w:t>（</w:t>
      </w:r>
      <w:r>
        <w:rPr>
          <w:rFonts w:hint="eastAsia" w:ascii="仿宋_GB2312" w:eastAsia="仿宋_GB2312"/>
          <w:color w:val="auto"/>
          <w:sz w:val="32"/>
          <w:szCs w:val="24"/>
        </w:rPr>
        <w:t>民族</w:t>
      </w:r>
      <w:r>
        <w:rPr>
          <w:rFonts w:hint="eastAsia" w:ascii="仿宋_GB2312" w:eastAsia="仿宋_GB2312"/>
          <w:color w:val="auto"/>
          <w:sz w:val="32"/>
          <w:szCs w:val="24"/>
          <w:lang w:eastAsia="zh-CN"/>
        </w:rPr>
        <w:t>）</w:t>
      </w:r>
      <w:r>
        <w:rPr>
          <w:rFonts w:hint="eastAsia" w:ascii="仿宋_GB2312" w:eastAsia="仿宋_GB2312"/>
          <w:color w:val="auto"/>
          <w:sz w:val="32"/>
          <w:szCs w:val="24"/>
        </w:rPr>
        <w:t>医院（项）：指反映卫生健康、中医部门所属的中医院、中西医结合医院、民族医院的支出。</w:t>
      </w:r>
    </w:p>
    <w:p w14:paraId="282D7B2B">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17.卫生健康支出（类）公立医院（款）其他公立医院支出（项）：指反映除上述项目以外的其他用于公立医院方面的支出。</w:t>
      </w:r>
    </w:p>
    <w:p w14:paraId="677CDFF4">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18.卫生健康支出（类）基层医疗卫生机构（款）乡镇卫生院（项）：指反映乡镇卫生院的支出。</w:t>
      </w:r>
    </w:p>
    <w:p w14:paraId="13063512">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19.卫生健康支出（类）基层医疗卫生机构（款）其他基层医疗卫生机构支出（项）：指反映除以上项目以外的其他用于基层医疗卫生机构的支出。</w:t>
      </w:r>
    </w:p>
    <w:p w14:paraId="61DF921A">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20.卫生健康支出（类）公共卫生（款）疾病预防控制机构（项）：反映卫生健康部门所属疾病预防控制机构的支出。</w:t>
      </w:r>
    </w:p>
    <w:p w14:paraId="6A597C12">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21.卫生健康支出（类）公共卫生（款）卫生监督机构（项）：反映卫生健康部门所属卫生监督机构的支出。</w:t>
      </w:r>
    </w:p>
    <w:p w14:paraId="2B681CC3">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22.卫生健康支出（类）公共卫生（款）妇幼保健机构（项）：反映卫生健康部门所属妇幼保健机构的支出。</w:t>
      </w:r>
    </w:p>
    <w:p w14:paraId="5EF40B29">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23.卫生健康支出（类）公共卫生（款）基本公共卫生服务（项）：指反映基本公共卫生服务支出。</w:t>
      </w:r>
    </w:p>
    <w:p w14:paraId="576A96AE">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24.卫生健康支出（类）公共卫生（款）重大公共卫生专项（项）：指反映重大疾病、重大传染病预防控制等重大公共卫生服务项目支出。</w:t>
      </w:r>
    </w:p>
    <w:p w14:paraId="4D647033">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25.卫生健康支出（类）公共卫生（款）突发公共卫生事件应急处理（项）：指反映用于突发公共卫生事件应急处理的支出。</w:t>
      </w:r>
    </w:p>
    <w:p w14:paraId="6BA372F5">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26.卫生健康支出（类）公共卫生（款）其他公共卫生支出（项）：指其他公共卫生支出反映除上述项目以外的其他用于公共卫生方面的支出。</w:t>
      </w:r>
    </w:p>
    <w:p w14:paraId="133D8890">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27.卫生健康支出（类）中医药（款）中医（民族医）药专项（项）：反映中医（民族医）药方面的专项支出。</w:t>
      </w:r>
    </w:p>
    <w:p w14:paraId="68C2C95B">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28.卫生健康支出（类）计划生育事务（款）计划生育服务（项）：指反映计划生育服务支出。</w:t>
      </w:r>
    </w:p>
    <w:p w14:paraId="66F0D8A4">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29.卫生健康支出（类）计划生育事务（款）其他计划生育事务支出（项）：指反映除上述项目以外其他用于计划生育管理实务方面的支出。</w:t>
      </w:r>
    </w:p>
    <w:p w14:paraId="3B1A403F">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30.卫生健康支出（类）行政事业单位医疗（款）行政单位医疗（项）：指反映财政部门安排的行政单位（包括实行公务员管理的事业单位）基本医疗保险缴费经费，未参加医疗保险的行政单位的公费医疗经费，按国家规定享受离休人员、红军老战士待遇人员的医疗经费。</w:t>
      </w:r>
    </w:p>
    <w:p w14:paraId="5D01D094">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31.卫生健康支出（类）行政事业单位医疗（款）公务员医疗补助（项）：反映财政部门安排的公务员医疗补助经费。</w:t>
      </w:r>
    </w:p>
    <w:p w14:paraId="540BB21E">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32.卫生健康支出（类）其他卫生健康支出（款）其他卫生健康支出（项）：指上述项目以外用于卫生健康方面的支出。</w:t>
      </w:r>
    </w:p>
    <w:p w14:paraId="45CCFF51">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33.城乡社区支出（类）国有土地使用权出让收入安排的支出（款）其他国有土地使用权出让收入安排的支出（项）：反映土地出让收入用于其他方面的支出。</w:t>
      </w:r>
    </w:p>
    <w:p w14:paraId="51ED642B">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34.农林水支出（类）巩固脱贫衔接乡村振兴（款）其他巩固脱贫衔接乡村振兴支出（项）：指上述项目以外其他用于巩固拓展脱贫攻坚成果同乡村振兴有效衔接方面的支出。</w:t>
      </w:r>
    </w:p>
    <w:p w14:paraId="72704F5D">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35.住房保障支出（类）住房改革支出（款）住房公积金（项）：指反映行政事业单位按人力资源和社会保障部、财政部规定的基本工资和津贴补贴以及规定比例为职工缴纳的住房公积金。</w:t>
      </w:r>
    </w:p>
    <w:p w14:paraId="340975AD">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36.基本支出：指为保障机构正常运转、完成日常工作任务而发生的人员支出和公用支出。</w:t>
      </w:r>
    </w:p>
    <w:p w14:paraId="6C816E38">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 xml:space="preserve">37.项目支出：指在基本支出之外为完成特定行政任务和事业发展目标所发生的支出。 </w:t>
      </w:r>
    </w:p>
    <w:p w14:paraId="722EDE22">
      <w:pPr>
        <w:pStyle w:val="27"/>
        <w:spacing w:line="56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38.“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114AABB">
      <w:pPr>
        <w:ind w:firstLine="640" w:firstLineChars="200"/>
        <w:rPr>
          <w:rFonts w:ascii="仿宋_GB2312" w:eastAsia="仿宋_GB2312"/>
          <w:spacing w:val="-17"/>
          <w:sz w:val="32"/>
          <w:szCs w:val="32"/>
        </w:rPr>
      </w:pPr>
      <w:r>
        <w:rPr>
          <w:rFonts w:hint="eastAsia" w:ascii="仿宋_GB2312" w:eastAsia="仿宋_GB2312"/>
          <w:color w:val="auto"/>
          <w:sz w:val="32"/>
          <w:szCs w:val="24"/>
        </w:rPr>
        <w:t>39.</w:t>
      </w:r>
      <w:r>
        <w:rPr>
          <w:rFonts w:hint="eastAsia" w:ascii="仿宋_GB2312" w:eastAsia="仿宋_GB2312"/>
          <w:color w:val="auto"/>
          <w:spacing w:val="-17"/>
          <w:sz w:val="32"/>
          <w:szCs w:val="24"/>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ascii="仿宋_GB2312" w:eastAsia="仿宋_GB2312"/>
          <w:spacing w:val="-17"/>
          <w:sz w:val="32"/>
          <w:szCs w:val="32"/>
        </w:rPr>
        <w:t>。</w:t>
      </w:r>
    </w:p>
    <w:p w14:paraId="17DE8755">
      <w:pPr>
        <w:pStyle w:val="2"/>
        <w:jc w:val="center"/>
        <w:rPr>
          <w:rFonts w:ascii="黑体" w:hAnsi="黑体" w:eastAsia="黑体"/>
          <w:b w:val="0"/>
        </w:rPr>
      </w:pPr>
      <w:bookmarkStart w:id="71" w:name="_Toc21976"/>
      <w:r>
        <w:rPr>
          <w:rFonts w:hint="eastAsia" w:ascii="黑体" w:hAnsi="黑体" w:eastAsia="黑体"/>
          <w:b w:val="0"/>
        </w:rPr>
        <w:t>第四部分 附件</w:t>
      </w:r>
      <w:bookmarkEnd w:id="71"/>
    </w:p>
    <w:p w14:paraId="558A9CA3"/>
    <w:p w14:paraId="56FE4AE8">
      <w:pPr>
        <w:outlineLvl w:val="1"/>
        <w:rPr>
          <w:rFonts w:ascii="黑体" w:hAnsi="黑体" w:eastAsia="黑体"/>
          <w:sz w:val="32"/>
          <w:szCs w:val="32"/>
        </w:rPr>
      </w:pPr>
      <w:bookmarkStart w:id="72" w:name="_Toc23189"/>
      <w:r>
        <w:rPr>
          <w:rFonts w:hint="eastAsia" w:ascii="黑体" w:hAnsi="黑体" w:eastAsia="黑体"/>
          <w:sz w:val="32"/>
          <w:szCs w:val="32"/>
        </w:rPr>
        <w:t>附件1</w:t>
      </w:r>
      <w:bookmarkEnd w:id="72"/>
    </w:p>
    <w:p w14:paraId="32DED57A">
      <w:pPr>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峨边彝族自治县卫生健康局</w:t>
      </w:r>
    </w:p>
    <w:p w14:paraId="0C0EB5A5">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2023整体支出绩效自评报告</w:t>
      </w:r>
    </w:p>
    <w:p w14:paraId="14FB6885">
      <w:pPr>
        <w:jc w:val="center"/>
        <w:rPr>
          <w:rFonts w:ascii="仿宋_GB2312" w:eastAsia="仿宋_GB2312"/>
          <w:sz w:val="32"/>
          <w:szCs w:val="32"/>
        </w:rPr>
      </w:pPr>
      <w:r>
        <w:rPr>
          <w:rFonts w:hint="eastAsia" w:ascii="仿宋_GB2312" w:eastAsia="仿宋_GB2312"/>
          <w:sz w:val="32"/>
          <w:szCs w:val="32"/>
        </w:rPr>
        <w:t>（报告范围包括机关和下属单位）</w:t>
      </w:r>
    </w:p>
    <w:p w14:paraId="615469B2"/>
    <w:p w14:paraId="0526AD57">
      <w:pPr>
        <w:widowControl/>
        <w:adjustRightInd w:val="0"/>
        <w:snapToGrid w:val="0"/>
        <w:spacing w:line="580" w:lineRule="exact"/>
        <w:ind w:firstLine="640" w:firstLineChars="200"/>
        <w:contextualSpacing/>
        <w:jc w:val="left"/>
        <w:outlineLvl w:val="1"/>
        <w:rPr>
          <w:rFonts w:ascii="黑体" w:hAnsi="黑体" w:eastAsia="黑体" w:cs="宋体"/>
          <w:color w:val="000000"/>
          <w:kern w:val="0"/>
          <w:sz w:val="32"/>
          <w:szCs w:val="32"/>
          <w:shd w:val="clear" w:color="auto" w:fill="FFFFFF"/>
          <w:lang w:val="zh-CN"/>
        </w:rPr>
      </w:pPr>
      <w:bookmarkStart w:id="73" w:name="_Toc13908"/>
      <w:r>
        <w:rPr>
          <w:rFonts w:hint="eastAsia" w:ascii="黑体" w:hAnsi="黑体" w:eastAsia="黑体" w:cs="宋体"/>
          <w:color w:val="000000"/>
          <w:kern w:val="0"/>
          <w:sz w:val="32"/>
          <w:szCs w:val="32"/>
          <w:shd w:val="clear" w:color="auto" w:fill="FFFFFF"/>
        </w:rPr>
        <w:t>一、</w:t>
      </w:r>
      <w:r>
        <w:rPr>
          <w:rFonts w:hint="eastAsia" w:ascii="黑体" w:hAnsi="黑体" w:eastAsia="黑体" w:cs="宋体"/>
          <w:color w:val="000000"/>
          <w:kern w:val="0"/>
          <w:sz w:val="32"/>
          <w:szCs w:val="32"/>
          <w:shd w:val="clear" w:color="auto" w:fill="FFFFFF"/>
          <w:lang w:val="zh-CN"/>
        </w:rPr>
        <w:t>部门（单位）概况</w:t>
      </w:r>
      <w:bookmarkEnd w:id="73"/>
    </w:p>
    <w:p w14:paraId="3224E2B0">
      <w:pPr>
        <w:widowControl/>
        <w:adjustRightInd w:val="0"/>
        <w:snapToGrid w:val="0"/>
        <w:spacing w:line="580" w:lineRule="exact"/>
        <w:ind w:firstLine="640" w:firstLineChars="200"/>
        <w:contextualSpacing/>
        <w:jc w:val="left"/>
        <w:rPr>
          <w:rFonts w:ascii="仿宋_GB2312" w:hAnsi="宋体" w:cs="宋体"/>
          <w:color w:val="000000"/>
          <w:kern w:val="0"/>
          <w:sz w:val="32"/>
          <w:szCs w:val="32"/>
          <w:shd w:val="clear" w:color="auto" w:fill="FFFFFF"/>
          <w:lang w:val="zh-CN"/>
        </w:rPr>
      </w:pPr>
      <w:r>
        <w:rPr>
          <w:rFonts w:hint="eastAsia" w:ascii="仿宋_GB2312" w:hAnsi="宋体" w:cs="宋体"/>
          <w:color w:val="000000"/>
          <w:kern w:val="0"/>
          <w:sz w:val="32"/>
          <w:szCs w:val="32"/>
          <w:shd w:val="clear" w:color="auto" w:fill="FFFFFF"/>
          <w:lang w:val="zh-CN"/>
        </w:rPr>
        <w:t>（一）机构组成。</w:t>
      </w:r>
    </w:p>
    <w:p w14:paraId="6C0B0EFF">
      <w:pPr>
        <w:spacing w:line="600" w:lineRule="exact"/>
        <w:ind w:firstLine="640" w:firstLineChars="200"/>
        <w:rPr>
          <w:rFonts w:ascii="仿宋" w:hAnsi="仿宋" w:eastAsia="仿宋"/>
          <w:sz w:val="32"/>
          <w:szCs w:val="32"/>
        </w:rPr>
      </w:pPr>
      <w:r>
        <w:rPr>
          <w:rFonts w:hint="eastAsia" w:ascii="仿宋" w:hAnsi="仿宋" w:eastAsia="仿宋"/>
          <w:sz w:val="32"/>
          <w:szCs w:val="32"/>
          <w:lang w:eastAsia="zh-CN"/>
        </w:rPr>
        <w:t>峨边彝族自治县</w:t>
      </w:r>
      <w:r>
        <w:rPr>
          <w:rFonts w:hint="eastAsia" w:ascii="仿宋" w:hAnsi="仿宋" w:eastAsia="仿宋"/>
          <w:sz w:val="32"/>
          <w:szCs w:val="32"/>
        </w:rPr>
        <w:t>卫生健康局一级预算单位1个，下属二级预算单位19个，其中行政单位1个，参照公务员法管理的事业单位1个，其他事业单位17个。主要包括：峨边彝族自治县卫生健康局、峨边彝族自治县卫生和计划生育监督执法大队、峨边彝族自治县疾病预防控制中心、峨边彝族自治县妇幼保健计划生育服务中心、峨边彝族自治县人民医院、峨边彝族自治县中医医院、峨边彝族自治县14个乡镇卫生院。</w:t>
      </w:r>
    </w:p>
    <w:p w14:paraId="700B1AC0">
      <w:pPr>
        <w:spacing w:line="600" w:lineRule="exact"/>
        <w:ind w:firstLine="640" w:firstLineChars="200"/>
        <w:rPr>
          <w:rFonts w:ascii="仿宋_GB2312" w:hAnsi="宋体" w:cs="宋体"/>
          <w:color w:val="000000"/>
          <w:kern w:val="0"/>
          <w:sz w:val="32"/>
          <w:szCs w:val="32"/>
          <w:shd w:val="clear" w:color="auto" w:fill="FFFFFF"/>
          <w:lang w:val="zh-CN"/>
        </w:rPr>
      </w:pPr>
      <w:r>
        <w:rPr>
          <w:rFonts w:hint="eastAsia" w:ascii="仿宋_GB2312" w:hAnsi="宋体" w:cs="宋体"/>
          <w:color w:val="000000"/>
          <w:kern w:val="0"/>
          <w:sz w:val="32"/>
          <w:szCs w:val="32"/>
          <w:shd w:val="clear" w:color="auto" w:fill="FFFFFF"/>
          <w:lang w:val="zh-CN"/>
        </w:rPr>
        <w:t>（二）机构职能。</w:t>
      </w:r>
    </w:p>
    <w:p w14:paraId="1F1F2496">
      <w:pPr>
        <w:spacing w:line="600" w:lineRule="exact"/>
        <w:ind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lang w:val="en-US" w:eastAsia="zh-CN"/>
        </w:rPr>
        <w:t>.</w:t>
      </w:r>
      <w:r>
        <w:rPr>
          <w:rFonts w:hint="eastAsia" w:ascii="仿宋" w:hAnsi="仿宋" w:eastAsia="仿宋"/>
          <w:sz w:val="32"/>
          <w:szCs w:val="32"/>
        </w:rPr>
        <w:t>深化公立医院改革</w:t>
      </w:r>
      <w:r>
        <w:rPr>
          <w:rFonts w:hint="eastAsia" w:ascii="仿宋" w:hAnsi="仿宋" w:eastAsia="仿宋"/>
          <w:sz w:val="32"/>
          <w:szCs w:val="32"/>
          <w:lang w:eastAsia="zh-CN"/>
        </w:rPr>
        <w:t>，</w:t>
      </w:r>
      <w:r>
        <w:rPr>
          <w:rFonts w:hint="eastAsia" w:ascii="仿宋" w:hAnsi="仿宋" w:eastAsia="仿宋"/>
          <w:sz w:val="32"/>
          <w:szCs w:val="32"/>
        </w:rPr>
        <w:t>完善分级诊疗制度。2</w:t>
      </w:r>
      <w:r>
        <w:rPr>
          <w:rFonts w:hint="eastAsia" w:ascii="仿宋" w:hAnsi="仿宋" w:eastAsia="仿宋"/>
          <w:sz w:val="32"/>
          <w:szCs w:val="32"/>
          <w:lang w:val="en-US" w:eastAsia="zh-CN"/>
        </w:rPr>
        <w:t>.</w:t>
      </w:r>
      <w:r>
        <w:rPr>
          <w:rFonts w:hint="eastAsia" w:ascii="仿宋" w:hAnsi="仿宋" w:eastAsia="仿宋"/>
          <w:sz w:val="32"/>
          <w:szCs w:val="32"/>
        </w:rPr>
        <w:t>构建全民医疗保险体系</w:t>
      </w:r>
      <w:r>
        <w:rPr>
          <w:rFonts w:hint="eastAsia" w:ascii="仿宋" w:hAnsi="仿宋" w:eastAsia="仿宋"/>
          <w:sz w:val="32"/>
          <w:szCs w:val="32"/>
          <w:lang w:eastAsia="zh-CN"/>
        </w:rPr>
        <w:t>，</w:t>
      </w:r>
      <w:r>
        <w:rPr>
          <w:rFonts w:hint="eastAsia" w:ascii="仿宋" w:hAnsi="仿宋" w:eastAsia="仿宋"/>
          <w:sz w:val="32"/>
          <w:szCs w:val="32"/>
        </w:rPr>
        <w:t>巩固基层运行新机制。3</w:t>
      </w:r>
      <w:r>
        <w:rPr>
          <w:rFonts w:hint="eastAsia" w:ascii="仿宋" w:hAnsi="仿宋" w:eastAsia="仿宋"/>
          <w:sz w:val="32"/>
          <w:szCs w:val="32"/>
          <w:lang w:val="en-US" w:eastAsia="zh-CN"/>
        </w:rPr>
        <w:t>.</w:t>
      </w:r>
      <w:r>
        <w:rPr>
          <w:rFonts w:hint="eastAsia" w:ascii="仿宋" w:hAnsi="仿宋" w:eastAsia="仿宋"/>
          <w:sz w:val="32"/>
          <w:szCs w:val="32"/>
        </w:rPr>
        <w:t>推进人才队伍建设</w:t>
      </w:r>
      <w:r>
        <w:rPr>
          <w:rFonts w:hint="eastAsia" w:ascii="仿宋" w:hAnsi="仿宋" w:eastAsia="仿宋"/>
          <w:sz w:val="32"/>
          <w:szCs w:val="32"/>
          <w:lang w:eastAsia="zh-CN"/>
        </w:rPr>
        <w:t>，</w:t>
      </w:r>
      <w:r>
        <w:rPr>
          <w:rFonts w:hint="eastAsia" w:ascii="仿宋" w:hAnsi="仿宋" w:eastAsia="仿宋"/>
          <w:sz w:val="32"/>
          <w:szCs w:val="32"/>
        </w:rPr>
        <w:t>巩固完善基层综合改革。4</w:t>
      </w:r>
      <w:r>
        <w:rPr>
          <w:rFonts w:hint="eastAsia" w:ascii="仿宋" w:hAnsi="仿宋" w:eastAsia="仿宋"/>
          <w:sz w:val="32"/>
          <w:szCs w:val="32"/>
          <w:lang w:val="en-US" w:eastAsia="zh-CN"/>
        </w:rPr>
        <w:t>.</w:t>
      </w:r>
      <w:r>
        <w:rPr>
          <w:rFonts w:hint="eastAsia" w:ascii="仿宋" w:hAnsi="仿宋" w:eastAsia="仿宋"/>
          <w:sz w:val="32"/>
          <w:szCs w:val="32"/>
        </w:rPr>
        <w:t>规范医院绩效分配方案。5</w:t>
      </w:r>
      <w:r>
        <w:rPr>
          <w:rFonts w:hint="eastAsia" w:ascii="仿宋" w:hAnsi="仿宋" w:eastAsia="仿宋"/>
          <w:sz w:val="32"/>
          <w:szCs w:val="32"/>
          <w:lang w:val="en-US" w:eastAsia="zh-CN"/>
        </w:rPr>
        <w:t>.</w:t>
      </w:r>
      <w:r>
        <w:rPr>
          <w:rFonts w:hint="eastAsia" w:ascii="仿宋" w:hAnsi="仿宋" w:eastAsia="仿宋"/>
          <w:sz w:val="32"/>
          <w:szCs w:val="32"/>
        </w:rPr>
        <w:t>做好疾病预防控制，提升卫生应急能力。6</w:t>
      </w:r>
      <w:r>
        <w:rPr>
          <w:rFonts w:hint="eastAsia" w:ascii="仿宋" w:hAnsi="仿宋" w:eastAsia="仿宋"/>
          <w:sz w:val="32"/>
          <w:szCs w:val="32"/>
          <w:lang w:val="en-US" w:eastAsia="zh-CN"/>
        </w:rPr>
        <w:t>.</w:t>
      </w:r>
      <w:r>
        <w:rPr>
          <w:rFonts w:hint="eastAsia" w:ascii="仿宋" w:hAnsi="仿宋" w:eastAsia="仿宋"/>
          <w:sz w:val="32"/>
          <w:szCs w:val="32"/>
        </w:rPr>
        <w:t>提升全县妇幼健康体系服务能力。7</w:t>
      </w:r>
      <w:r>
        <w:rPr>
          <w:rFonts w:hint="eastAsia" w:ascii="仿宋" w:hAnsi="仿宋" w:eastAsia="仿宋"/>
          <w:sz w:val="32"/>
          <w:szCs w:val="32"/>
          <w:lang w:val="en-US" w:eastAsia="zh-CN"/>
        </w:rPr>
        <w:t>.</w:t>
      </w:r>
      <w:r>
        <w:rPr>
          <w:rFonts w:hint="eastAsia" w:ascii="仿宋" w:hAnsi="仿宋" w:eastAsia="仿宋"/>
          <w:sz w:val="32"/>
          <w:szCs w:val="32"/>
        </w:rPr>
        <w:t>推进爱国卫生工作。8</w:t>
      </w:r>
      <w:r>
        <w:rPr>
          <w:rFonts w:hint="eastAsia" w:ascii="仿宋" w:hAnsi="仿宋" w:eastAsia="仿宋"/>
          <w:sz w:val="32"/>
          <w:szCs w:val="32"/>
          <w:lang w:val="en-US" w:eastAsia="zh-CN"/>
        </w:rPr>
        <w:t>.</w:t>
      </w:r>
      <w:r>
        <w:rPr>
          <w:rFonts w:hint="eastAsia" w:ascii="仿宋" w:hAnsi="仿宋" w:eastAsia="仿宋"/>
          <w:sz w:val="32"/>
          <w:szCs w:val="32"/>
        </w:rPr>
        <w:t>完善计划生育目标管理责任制。</w:t>
      </w:r>
    </w:p>
    <w:p w14:paraId="45536AAC">
      <w:pPr>
        <w:spacing w:line="600" w:lineRule="exact"/>
        <w:ind w:left="638" w:leftChars="304"/>
        <w:rPr>
          <w:rFonts w:ascii="仿宋_GB2312" w:hAnsi="宋体" w:cs="宋体"/>
          <w:color w:val="000000"/>
          <w:kern w:val="0"/>
          <w:sz w:val="32"/>
          <w:szCs w:val="32"/>
          <w:shd w:val="clear" w:color="auto" w:fill="FFFFFF"/>
          <w:lang w:val="zh-CN"/>
        </w:rPr>
      </w:pPr>
      <w:r>
        <w:rPr>
          <w:rFonts w:hint="eastAsia" w:ascii="仿宋_GB2312" w:hAnsi="宋体" w:cs="宋体"/>
          <w:color w:val="000000"/>
          <w:kern w:val="0"/>
          <w:sz w:val="32"/>
          <w:szCs w:val="32"/>
          <w:shd w:val="clear" w:color="auto" w:fill="FFFFFF"/>
          <w:lang w:val="zh-CN"/>
        </w:rPr>
        <w:t>（三）人员概况。</w:t>
      </w:r>
    </w:p>
    <w:p w14:paraId="20D109F6">
      <w:pPr>
        <w:spacing w:line="600" w:lineRule="exact"/>
        <w:ind w:firstLine="640" w:firstLineChars="200"/>
        <w:rPr>
          <w:rFonts w:ascii="楷体_GB2312" w:hAnsi="宋体" w:eastAsia="楷体_GB2312" w:cs="宋体"/>
          <w:color w:val="000000"/>
          <w:kern w:val="0"/>
          <w:sz w:val="32"/>
          <w:szCs w:val="32"/>
          <w:shd w:val="clear" w:color="auto" w:fill="FFFFFF"/>
        </w:rPr>
      </w:pPr>
      <w:r>
        <w:rPr>
          <w:rFonts w:hint="eastAsia" w:ascii="仿宋" w:hAnsi="仿宋" w:eastAsia="仿宋"/>
          <w:sz w:val="32"/>
          <w:szCs w:val="32"/>
        </w:rPr>
        <w:t>2023年度，部门人员编制为511人，其中：行政编制15人，事业编制496人。部门年末实有人数465人，其中：行政编制人员10人，事业编制人员455人。离休人员1人。</w:t>
      </w:r>
    </w:p>
    <w:p w14:paraId="68B6D544">
      <w:pPr>
        <w:widowControl/>
        <w:adjustRightInd w:val="0"/>
        <w:snapToGrid w:val="0"/>
        <w:spacing w:line="580" w:lineRule="exact"/>
        <w:ind w:firstLine="640" w:firstLineChars="200"/>
        <w:contextualSpacing/>
        <w:jc w:val="left"/>
        <w:outlineLvl w:val="1"/>
        <w:rPr>
          <w:rFonts w:ascii="黑体" w:hAnsi="黑体" w:eastAsia="黑体" w:cs="宋体"/>
          <w:color w:val="000000"/>
          <w:kern w:val="0"/>
          <w:sz w:val="32"/>
          <w:szCs w:val="32"/>
          <w:shd w:val="clear" w:color="auto" w:fill="FFFFFF"/>
        </w:rPr>
      </w:pPr>
      <w:bookmarkStart w:id="74" w:name="_Toc25056"/>
      <w:r>
        <w:rPr>
          <w:rFonts w:hint="eastAsia" w:ascii="黑体" w:hAnsi="黑体" w:eastAsia="黑体" w:cs="宋体"/>
          <w:color w:val="000000"/>
          <w:kern w:val="0"/>
          <w:sz w:val="32"/>
          <w:szCs w:val="32"/>
          <w:shd w:val="clear" w:color="auto" w:fill="FFFFFF"/>
        </w:rPr>
        <w:t>二、部门财政资金收支情况</w:t>
      </w:r>
      <w:bookmarkEnd w:id="74"/>
    </w:p>
    <w:p w14:paraId="41EC6453">
      <w:pPr>
        <w:widowControl/>
        <w:adjustRightInd w:val="0"/>
        <w:snapToGrid w:val="0"/>
        <w:spacing w:line="580" w:lineRule="exact"/>
        <w:ind w:firstLine="640" w:firstLineChars="200"/>
        <w:contextualSpacing/>
        <w:jc w:val="left"/>
        <w:rPr>
          <w:rFonts w:ascii="仿宋_GB2312" w:hAnsi="宋体" w:cs="宋体"/>
          <w:color w:val="000000"/>
          <w:kern w:val="0"/>
          <w:sz w:val="32"/>
          <w:szCs w:val="32"/>
          <w:shd w:val="clear" w:color="auto" w:fill="FFFFFF"/>
          <w:lang w:val="zh-CN"/>
        </w:rPr>
      </w:pPr>
      <w:r>
        <w:rPr>
          <w:rFonts w:hint="eastAsia" w:ascii="仿宋_GB2312" w:hAnsi="宋体" w:cs="宋体"/>
          <w:color w:val="000000"/>
          <w:kern w:val="0"/>
          <w:sz w:val="32"/>
          <w:szCs w:val="32"/>
          <w:shd w:val="clear" w:color="auto" w:fill="FFFFFF"/>
          <w:lang w:val="zh-CN"/>
        </w:rPr>
        <w:t>（一）部门财政资金收入情况。</w:t>
      </w:r>
    </w:p>
    <w:p w14:paraId="1F03D227">
      <w:pPr>
        <w:widowControl/>
        <w:adjustRightInd w:val="0"/>
        <w:snapToGrid w:val="0"/>
        <w:spacing w:line="580" w:lineRule="exact"/>
        <w:ind w:firstLine="640" w:firstLineChars="200"/>
        <w:contextualSpacing/>
        <w:jc w:val="left"/>
        <w:rPr>
          <w:rFonts w:ascii="仿宋" w:hAnsi="仿宋" w:eastAsia="仿宋"/>
          <w:sz w:val="32"/>
          <w:szCs w:val="32"/>
        </w:rPr>
      </w:pPr>
      <w:r>
        <w:rPr>
          <w:rFonts w:hint="eastAsia" w:ascii="仿宋" w:hAnsi="仿宋" w:eastAsia="仿宋"/>
          <w:sz w:val="32"/>
          <w:szCs w:val="32"/>
        </w:rPr>
        <w:t>2023年财政拨款收入决算总额为11740.4万元。</w:t>
      </w:r>
    </w:p>
    <w:p w14:paraId="26C2DE6B">
      <w:pPr>
        <w:widowControl/>
        <w:adjustRightInd w:val="0"/>
        <w:snapToGrid w:val="0"/>
        <w:spacing w:line="580" w:lineRule="exact"/>
        <w:ind w:firstLine="640" w:firstLineChars="200"/>
        <w:contextualSpacing/>
        <w:jc w:val="left"/>
        <w:rPr>
          <w:rFonts w:ascii="仿宋_GB2312" w:hAnsi="宋体" w:cs="宋体"/>
          <w:color w:val="000000"/>
          <w:kern w:val="0"/>
          <w:sz w:val="32"/>
          <w:szCs w:val="32"/>
          <w:shd w:val="clear" w:color="auto" w:fill="FFFFFF"/>
          <w:lang w:val="zh-CN"/>
        </w:rPr>
      </w:pPr>
      <w:r>
        <w:rPr>
          <w:rFonts w:hint="eastAsia" w:ascii="仿宋_GB2312" w:hAnsi="宋体" w:cs="宋体"/>
          <w:color w:val="000000"/>
          <w:kern w:val="0"/>
          <w:sz w:val="32"/>
          <w:szCs w:val="32"/>
          <w:shd w:val="clear" w:color="auto" w:fill="FFFFFF"/>
          <w:lang w:val="zh-CN"/>
        </w:rPr>
        <w:t>（二）部门财政资金支出情况。</w:t>
      </w:r>
    </w:p>
    <w:p w14:paraId="188F6BDF">
      <w:pPr>
        <w:widowControl/>
        <w:adjustRightInd w:val="0"/>
        <w:snapToGrid w:val="0"/>
        <w:spacing w:line="580" w:lineRule="exact"/>
        <w:ind w:firstLine="640" w:firstLineChars="200"/>
        <w:contextualSpacing/>
        <w:jc w:val="left"/>
        <w:rPr>
          <w:rFonts w:ascii="仿宋" w:hAnsi="仿宋" w:eastAsia="仿宋"/>
          <w:sz w:val="32"/>
          <w:szCs w:val="32"/>
        </w:rPr>
      </w:pPr>
      <w:r>
        <w:rPr>
          <w:rFonts w:hint="eastAsia" w:ascii="仿宋" w:hAnsi="仿宋" w:eastAsia="仿宋"/>
          <w:sz w:val="32"/>
          <w:szCs w:val="32"/>
        </w:rPr>
        <w:t>2023年财政拨款支出决算11740.4 万元。财政拨款支出中人员经费支出 6582.8万元，日常公用经费支出 449.2万元，项目支出 4708.4万元。</w:t>
      </w:r>
    </w:p>
    <w:p w14:paraId="23B302D2">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（三）部门财政资金结转结余情况</w:t>
      </w:r>
    </w:p>
    <w:p w14:paraId="3D558744">
      <w:pPr>
        <w:widowControl/>
        <w:adjustRightInd w:val="0"/>
        <w:snapToGrid w:val="0"/>
        <w:spacing w:line="580" w:lineRule="exact"/>
        <w:ind w:firstLine="640" w:firstLineChars="200"/>
        <w:contextualSpacing/>
        <w:jc w:val="left"/>
        <w:rPr>
          <w:rFonts w:ascii="仿宋_GB2312" w:hAnsi="宋体" w:cs="宋体"/>
          <w:color w:val="000000"/>
          <w:kern w:val="0"/>
          <w:sz w:val="32"/>
          <w:szCs w:val="32"/>
          <w:shd w:val="clear" w:color="auto" w:fill="FFFFFF"/>
        </w:rPr>
      </w:pPr>
      <w:r>
        <w:rPr>
          <w:rFonts w:hint="eastAsia" w:ascii="楷体_GB2312" w:hAnsi="宋体" w:eastAsia="楷体_GB2312" w:cs="宋体"/>
          <w:color w:val="000000"/>
          <w:kern w:val="0"/>
          <w:sz w:val="32"/>
          <w:szCs w:val="32"/>
          <w:shd w:val="clear" w:color="auto" w:fill="FFFFFF"/>
          <w:lang w:val="zh-CN"/>
        </w:rPr>
        <w:t>本年无结转结余</w:t>
      </w:r>
    </w:p>
    <w:p w14:paraId="34E26C83">
      <w:pPr>
        <w:widowControl/>
        <w:adjustRightInd w:val="0"/>
        <w:snapToGrid w:val="0"/>
        <w:spacing w:line="580" w:lineRule="exact"/>
        <w:ind w:firstLine="640" w:firstLineChars="200"/>
        <w:contextualSpacing/>
        <w:jc w:val="left"/>
        <w:outlineLvl w:val="1"/>
        <w:rPr>
          <w:rFonts w:ascii="黑体" w:hAnsi="黑体" w:eastAsia="黑体" w:cs="宋体"/>
          <w:color w:val="000000"/>
          <w:kern w:val="0"/>
          <w:sz w:val="32"/>
          <w:szCs w:val="32"/>
          <w:shd w:val="clear" w:color="auto" w:fill="FFFFFF"/>
        </w:rPr>
      </w:pPr>
      <w:bookmarkStart w:id="75" w:name="_Toc27856"/>
      <w:r>
        <w:rPr>
          <w:rFonts w:hint="eastAsia" w:ascii="黑体" w:hAnsi="黑体" w:eastAsia="黑体" w:cs="宋体"/>
          <w:color w:val="000000"/>
          <w:kern w:val="0"/>
          <w:sz w:val="32"/>
          <w:szCs w:val="32"/>
          <w:shd w:val="clear" w:color="auto" w:fill="FFFFFF"/>
        </w:rPr>
        <w:t>三、部门整体预算绩效管理情况</w:t>
      </w:r>
      <w:bookmarkEnd w:id="75"/>
    </w:p>
    <w:p w14:paraId="4A8ABF26">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（一）部门整体履职绩效分析</w:t>
      </w:r>
    </w:p>
    <w:p w14:paraId="0855F3C4">
      <w:pPr>
        <w:widowControl/>
        <w:adjustRightInd w:val="0"/>
        <w:snapToGrid w:val="0"/>
        <w:spacing w:line="580" w:lineRule="exact"/>
        <w:ind w:firstLine="640" w:firstLineChars="200"/>
        <w:contextualSpacing/>
        <w:jc w:val="left"/>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23</w:t>
      </w:r>
      <w:r>
        <w:rPr>
          <w:rFonts w:ascii="仿宋" w:hAnsi="仿宋" w:eastAsia="仿宋"/>
          <w:sz w:val="32"/>
          <w:szCs w:val="32"/>
        </w:rPr>
        <w:t>年，我单位积极履职，强化管理，较好地完成了年度工作目标。通过加强预算收支管理，不断建立健全内部管理制度，梳理内部管理流程，部门整体支出管理水平得到提升。根据部门整体支出绩效评价指标体系，我单位20</w:t>
      </w:r>
      <w:r>
        <w:rPr>
          <w:rFonts w:hint="eastAsia" w:ascii="仿宋" w:hAnsi="仿宋" w:eastAsia="仿宋"/>
          <w:sz w:val="32"/>
          <w:szCs w:val="32"/>
        </w:rPr>
        <w:t>23</w:t>
      </w:r>
      <w:r>
        <w:rPr>
          <w:rFonts w:ascii="仿宋" w:hAnsi="仿宋" w:eastAsia="仿宋"/>
          <w:sz w:val="32"/>
          <w:szCs w:val="32"/>
        </w:rPr>
        <w:t>年度评价得分为</w:t>
      </w:r>
      <w:r>
        <w:rPr>
          <w:rFonts w:hint="eastAsia" w:ascii="仿宋" w:hAnsi="仿宋" w:eastAsia="仿宋"/>
          <w:sz w:val="32"/>
          <w:szCs w:val="32"/>
        </w:rPr>
        <w:t>95</w:t>
      </w:r>
      <w:r>
        <w:rPr>
          <w:rFonts w:ascii="仿宋" w:hAnsi="仿宋" w:eastAsia="仿宋"/>
          <w:sz w:val="32"/>
          <w:szCs w:val="32"/>
        </w:rPr>
        <w:t>分</w:t>
      </w:r>
    </w:p>
    <w:p w14:paraId="21E13663">
      <w:pPr>
        <w:spacing w:line="590" w:lineRule="exact"/>
        <w:ind w:firstLine="640" w:firstLineChars="200"/>
        <w:rPr>
          <w:rFonts w:ascii="宋体" w:hAnsi="宋体" w:cs="宋体"/>
          <w:sz w:val="32"/>
          <w:szCs w:val="32"/>
        </w:rPr>
      </w:pPr>
      <w:r>
        <w:rPr>
          <w:rFonts w:hint="eastAsia" w:ascii="仿宋" w:hAnsi="仿宋" w:eastAsia="仿宋"/>
          <w:sz w:val="32"/>
          <w:szCs w:val="32"/>
        </w:rPr>
        <w:t>2023年卫生健康工作在县委、县政府的坚强领导和市卫健委的正确指导下，突出重点，统筹兼顾，较好地完成县委</w:t>
      </w:r>
      <w:r>
        <w:rPr>
          <w:rFonts w:hint="eastAsia" w:ascii="仿宋" w:hAnsi="仿宋" w:eastAsia="仿宋"/>
          <w:sz w:val="32"/>
          <w:szCs w:val="32"/>
          <w:lang w:eastAsia="zh-CN"/>
        </w:rPr>
        <w:t>、县</w:t>
      </w:r>
      <w:r>
        <w:rPr>
          <w:rFonts w:hint="eastAsia" w:ascii="仿宋" w:hAnsi="仿宋" w:eastAsia="仿宋"/>
          <w:sz w:val="32"/>
          <w:szCs w:val="32"/>
        </w:rPr>
        <w:t>政府和上级卫健部门下达的各项任务。扎实推进新冠疫情防控工作，进一步加大健康扶贫工作力度，完成基本公共卫生服务各项工作，提高医疗服务质量和管理水平，进一步推进医药卫生体制综合改革，加强卫生、计生监督执法力度，落实各项计生惠民政策，持续推进行风建设专项整治和计划生育秩序专项整治工作。</w:t>
      </w:r>
    </w:p>
    <w:p w14:paraId="4C6DB83B">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（二）特定目标类项目绩效分析。</w:t>
      </w:r>
    </w:p>
    <w:p w14:paraId="2F925B0C">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1.整体情况</w:t>
      </w:r>
    </w:p>
    <w:p w14:paraId="28B8D989">
      <w:pPr>
        <w:widowControl/>
        <w:adjustRightInd w:val="0"/>
        <w:snapToGrid w:val="0"/>
        <w:spacing w:line="580" w:lineRule="exact"/>
        <w:ind w:firstLine="640" w:firstLineChars="200"/>
        <w:contextualSpacing/>
        <w:jc w:val="left"/>
        <w:rPr>
          <w:rFonts w:ascii="仿宋" w:hAnsi="仿宋" w:eastAsia="仿宋" w:cs="宋体"/>
          <w:color w:val="000000"/>
          <w:kern w:val="0"/>
          <w:sz w:val="32"/>
          <w:szCs w:val="32"/>
          <w:shd w:val="clear" w:color="auto" w:fill="FFFFFF"/>
          <w:lang w:val="zh-CN"/>
        </w:rPr>
      </w:pPr>
      <w:r>
        <w:rPr>
          <w:rFonts w:ascii="仿宋" w:hAnsi="仿宋" w:eastAsia="仿宋" w:cs="宋体"/>
          <w:color w:val="000000"/>
          <w:kern w:val="0"/>
          <w:sz w:val="32"/>
          <w:szCs w:val="32"/>
          <w:shd w:val="clear" w:color="auto" w:fill="FFFFFF"/>
          <w:lang w:val="zh-CN"/>
        </w:rPr>
        <w:t>预算编制明确和细化，预算执行力度进一步加强</w:t>
      </w:r>
      <w:r>
        <w:rPr>
          <w:rFonts w:hint="eastAsia" w:ascii="仿宋" w:hAnsi="仿宋" w:eastAsia="仿宋" w:cs="宋体"/>
          <w:color w:val="000000"/>
          <w:kern w:val="0"/>
          <w:sz w:val="32"/>
          <w:szCs w:val="32"/>
          <w:shd w:val="clear" w:color="auto" w:fill="FFFFFF"/>
          <w:lang w:val="zh-CN"/>
        </w:rPr>
        <w:t>。</w:t>
      </w:r>
      <w:r>
        <w:rPr>
          <w:rFonts w:ascii="仿宋" w:hAnsi="仿宋" w:eastAsia="仿宋" w:cs="宋体"/>
          <w:color w:val="000000"/>
          <w:kern w:val="0"/>
          <w:sz w:val="32"/>
          <w:szCs w:val="32"/>
          <w:shd w:val="clear" w:color="auto" w:fill="FFFFFF"/>
          <w:lang w:val="zh-CN"/>
        </w:rPr>
        <w:t>细化预算编制工作，认真做好预算的编制。进一步加强单位内部机构各股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14:paraId="10623E1C">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 100万以上项目：</w:t>
      </w:r>
    </w:p>
    <w:p w14:paraId="38533387">
      <w:pPr>
        <w:widowControl/>
        <w:adjustRightInd w:val="0"/>
        <w:snapToGrid w:val="0"/>
        <w:spacing w:line="580" w:lineRule="exact"/>
        <w:ind w:firstLine="640" w:firstLineChars="200"/>
        <w:contextualSpacing/>
        <w:jc w:val="left"/>
        <w:outlineLvl w:val="1"/>
        <w:rPr>
          <w:rFonts w:ascii="仿宋_GB2312" w:hAnsi="宋体" w:eastAsia="仿宋_GB2312" w:cs="宋体"/>
          <w:color w:val="000000"/>
          <w:kern w:val="0"/>
          <w:sz w:val="32"/>
          <w:szCs w:val="32"/>
          <w:shd w:val="clear" w:color="auto" w:fill="FFFFFF"/>
          <w:lang w:val="zh-CN"/>
        </w:rPr>
      </w:pPr>
      <w:bookmarkStart w:id="76" w:name="_Toc1401"/>
      <w:r>
        <w:rPr>
          <w:rFonts w:hint="eastAsia" w:ascii="仿宋_GB2312" w:hAnsi="宋体" w:eastAsia="仿宋_GB2312" w:cs="宋体"/>
          <w:color w:val="000000"/>
          <w:kern w:val="0"/>
          <w:sz w:val="32"/>
          <w:szCs w:val="32"/>
          <w:shd w:val="clear" w:color="auto" w:fill="FFFFFF"/>
          <w:lang w:val="zh-CN"/>
        </w:rPr>
        <w:t>项目1：基层医疗机构基药补助</w:t>
      </w:r>
      <w:bookmarkEnd w:id="76"/>
    </w:p>
    <w:p w14:paraId="6D6B7D71">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项目2：基本公共卫生服务</w:t>
      </w:r>
    </w:p>
    <w:p w14:paraId="6D043410">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项目3：东西协作</w:t>
      </w:r>
    </w:p>
    <w:p w14:paraId="67894667">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项目4：疫情防控资金</w:t>
      </w:r>
    </w:p>
    <w:p w14:paraId="532D9887">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项目5：计划生育资金</w:t>
      </w:r>
    </w:p>
    <w:p w14:paraId="1A02A489">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项目6：医疗服务与保障能力提升</w:t>
      </w:r>
    </w:p>
    <w:p w14:paraId="6D9EB81C">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项目7：重大公共卫生服务</w:t>
      </w:r>
    </w:p>
    <w:p w14:paraId="45FAEDF6">
      <w:pPr>
        <w:spacing w:line="590" w:lineRule="exact"/>
        <w:ind w:firstLine="640" w:firstLineChars="200"/>
        <w:rPr>
          <w:rFonts w:ascii="宋体" w:hAnsi="宋体" w:cs="宋体"/>
          <w:sz w:val="32"/>
          <w:szCs w:val="32"/>
        </w:rPr>
      </w:pPr>
      <w:r>
        <w:rPr>
          <w:rFonts w:hint="eastAsia" w:ascii="宋体" w:hAnsi="宋体" w:cs="宋体"/>
          <w:sz w:val="32"/>
          <w:szCs w:val="32"/>
        </w:rPr>
        <w:t>自评表和绩效报告附后</w:t>
      </w:r>
    </w:p>
    <w:p w14:paraId="20E60598">
      <w:pPr>
        <w:widowControl/>
        <w:adjustRightInd w:val="0"/>
        <w:snapToGrid w:val="0"/>
        <w:spacing w:line="580" w:lineRule="exact"/>
        <w:ind w:firstLine="640" w:firstLineChars="200"/>
        <w:contextualSpacing/>
        <w:jc w:val="left"/>
        <w:outlineLvl w:val="1"/>
        <w:rPr>
          <w:rFonts w:ascii="黑体" w:hAnsi="黑体" w:eastAsia="黑体" w:cs="宋体"/>
          <w:color w:val="000000"/>
          <w:kern w:val="0"/>
          <w:sz w:val="32"/>
          <w:szCs w:val="32"/>
          <w:shd w:val="clear" w:color="auto" w:fill="FFFFFF"/>
        </w:rPr>
      </w:pPr>
      <w:bookmarkStart w:id="77" w:name="_Toc10374"/>
      <w:r>
        <w:rPr>
          <w:rFonts w:hint="eastAsia" w:ascii="黑体" w:hAnsi="黑体" w:eastAsia="黑体" w:cs="宋体"/>
          <w:color w:val="000000"/>
          <w:kern w:val="0"/>
          <w:sz w:val="32"/>
          <w:szCs w:val="32"/>
          <w:shd w:val="clear" w:color="auto" w:fill="FFFFFF"/>
        </w:rPr>
        <w:t>四、评价结论及建议</w:t>
      </w:r>
      <w:bookmarkEnd w:id="77"/>
    </w:p>
    <w:p w14:paraId="4CCE9E04">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（一）评价结论。</w:t>
      </w:r>
    </w:p>
    <w:p w14:paraId="22A2C8F8">
      <w:pPr>
        <w:widowControl/>
        <w:adjustRightInd w:val="0"/>
        <w:snapToGrid w:val="0"/>
        <w:spacing w:line="580" w:lineRule="exact"/>
        <w:ind w:firstLine="640" w:firstLineChars="200"/>
        <w:contextualSpacing/>
        <w:jc w:val="left"/>
        <w:rPr>
          <w:rFonts w:ascii="仿宋_GB2312" w:hAnsi="宋体" w:cs="宋体"/>
          <w:color w:val="000000"/>
          <w:kern w:val="0"/>
          <w:sz w:val="32"/>
          <w:szCs w:val="32"/>
          <w:shd w:val="clear" w:color="auto" w:fill="FFFFFF"/>
          <w:lang w:val="zh-CN"/>
        </w:rPr>
      </w:pPr>
      <w:r>
        <w:rPr>
          <w:rFonts w:hint="eastAsia" w:ascii="仿宋" w:hAnsi="仿宋" w:eastAsia="仿宋"/>
          <w:sz w:val="32"/>
          <w:szCs w:val="32"/>
        </w:rPr>
        <w:t>2023年我局整体支出绩效评价自查自评结果良好，全年基本支出保证了部门的正常运行和日常工作的正常开展，项目支出保障了重点工作的开展，达到预期绩效目标。</w:t>
      </w:r>
    </w:p>
    <w:p w14:paraId="401E121F">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（二）存在问题。</w:t>
      </w:r>
    </w:p>
    <w:p w14:paraId="461CCC5C">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个别直达资金项目支付率在前半年进度稍慢。</w:t>
      </w:r>
    </w:p>
    <w:p w14:paraId="33663174">
      <w:pPr>
        <w:widowControl/>
        <w:adjustRightInd w:val="0"/>
        <w:snapToGrid w:val="0"/>
        <w:spacing w:line="580" w:lineRule="exact"/>
        <w:ind w:firstLine="640" w:firstLineChars="200"/>
        <w:contextualSpacing/>
        <w:jc w:val="left"/>
        <w:rPr>
          <w:rFonts w:ascii="楷体_GB2312" w:hAnsi="宋体" w:eastAsia="楷体_GB2312" w:cs="宋体"/>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（三）改进建议。</w:t>
      </w:r>
    </w:p>
    <w:p w14:paraId="43D95A24">
      <w:pPr>
        <w:ind w:firstLine="640" w:firstLineChars="200"/>
        <w:rPr>
          <w:rFonts w:eastAsia="仿宋_GB2312"/>
          <w:sz w:val="32"/>
          <w:szCs w:val="32"/>
          <w:lang w:val="zh-CN"/>
        </w:rPr>
      </w:pPr>
      <w:r>
        <w:rPr>
          <w:rFonts w:hint="eastAsia" w:ascii="仿宋" w:hAnsi="仿宋" w:eastAsia="仿宋"/>
          <w:sz w:val="32"/>
          <w:szCs w:val="32"/>
        </w:rPr>
        <w:t>继续完善内控制度工作基础上，将进一步加强内控信息化建设，梳理细化工作流程及风险点，将各项财经</w:t>
      </w:r>
      <w:r>
        <w:rPr>
          <w:rFonts w:hint="eastAsia" w:ascii="仿宋" w:hAnsi="仿宋" w:eastAsia="仿宋"/>
          <w:sz w:val="32"/>
          <w:szCs w:val="32"/>
          <w:lang w:eastAsia="zh-CN"/>
        </w:rPr>
        <w:t>法律法规</w:t>
      </w:r>
      <w:r>
        <w:rPr>
          <w:rFonts w:hint="eastAsia" w:ascii="仿宋" w:hAnsi="仿宋" w:eastAsia="仿宋"/>
          <w:sz w:val="32"/>
          <w:szCs w:val="32"/>
        </w:rPr>
        <w:t>以及中央、省各项规章制度与经费支出衔接，实现预设标准、范围，做到提前预警控制。强化内控信息化数据分析，发挥信息化管理数据分析优势，并将内控分析结果运用于预算安排、绩效目标编报、资产配置管理等方面</w:t>
      </w:r>
      <w:r>
        <w:rPr>
          <w:rFonts w:hint="eastAsia" w:eastAsia="仿宋_GB2312"/>
          <w:sz w:val="32"/>
          <w:szCs w:val="32"/>
          <w:lang w:val="zh-CN"/>
        </w:rPr>
        <w:t>。</w:t>
      </w:r>
    </w:p>
    <w:p w14:paraId="6C1B9F0F">
      <w:pPr>
        <w:ind w:firstLine="640" w:firstLineChars="200"/>
        <w:rPr>
          <w:rFonts w:eastAsia="仿宋_GB2312"/>
          <w:sz w:val="32"/>
          <w:szCs w:val="32"/>
          <w:lang w:val="zh-CN"/>
        </w:rPr>
      </w:pPr>
    </w:p>
    <w:p w14:paraId="2CFC8F90">
      <w:pPr>
        <w:ind w:left="0" w:leftChars="0" w:firstLine="0" w:firstLineChars="0"/>
        <w:jc w:val="center"/>
      </w:pPr>
    </w:p>
    <w:p w14:paraId="4FEAA8CA">
      <w:pPr>
        <w:ind w:left="0" w:leftChars="0" w:firstLine="0" w:firstLineChars="0"/>
        <w:jc w:val="center"/>
      </w:pPr>
    </w:p>
    <w:p w14:paraId="62B885C8">
      <w:pPr>
        <w:ind w:left="0" w:leftChars="0" w:firstLine="0" w:firstLineChars="0"/>
        <w:jc w:val="center"/>
      </w:pPr>
    </w:p>
    <w:p w14:paraId="5EABB768">
      <w:pPr>
        <w:ind w:left="0" w:leftChars="0" w:firstLine="0" w:firstLineChars="0"/>
        <w:jc w:val="center"/>
      </w:pPr>
    </w:p>
    <w:p w14:paraId="1472099B">
      <w:pPr>
        <w:ind w:left="0" w:leftChars="0" w:firstLine="0" w:firstLineChars="0"/>
        <w:jc w:val="center"/>
      </w:pPr>
    </w:p>
    <w:p w14:paraId="0DC98458">
      <w:pPr>
        <w:ind w:left="0" w:leftChars="0" w:firstLine="0" w:firstLineChars="0"/>
        <w:jc w:val="center"/>
      </w:pPr>
    </w:p>
    <w:p w14:paraId="4376499A">
      <w:pPr>
        <w:ind w:left="0" w:leftChars="0" w:firstLine="0" w:firstLineChars="0"/>
        <w:jc w:val="center"/>
      </w:pPr>
    </w:p>
    <w:p w14:paraId="0D247260">
      <w:pPr>
        <w:ind w:left="0" w:leftChars="0" w:firstLine="0" w:firstLineChars="0"/>
        <w:jc w:val="center"/>
      </w:pPr>
    </w:p>
    <w:p w14:paraId="6AB54F0D">
      <w:pPr>
        <w:ind w:left="0" w:leftChars="0" w:firstLine="0" w:firstLineChars="0"/>
        <w:jc w:val="center"/>
      </w:pPr>
    </w:p>
    <w:p w14:paraId="581EA7C7">
      <w:pPr>
        <w:ind w:left="0" w:leftChars="0" w:firstLine="0" w:firstLineChars="0"/>
        <w:jc w:val="center"/>
      </w:pPr>
    </w:p>
    <w:p w14:paraId="30C08551">
      <w:pPr>
        <w:ind w:left="0" w:leftChars="0" w:firstLine="0" w:firstLineChars="0"/>
        <w:jc w:val="center"/>
      </w:pPr>
    </w:p>
    <w:p w14:paraId="451F3164">
      <w:pPr>
        <w:ind w:left="0" w:leftChars="0" w:firstLine="0" w:firstLineChars="0"/>
        <w:jc w:val="center"/>
      </w:pPr>
    </w:p>
    <w:p w14:paraId="57B5F7AD">
      <w:pPr>
        <w:ind w:left="0" w:leftChars="0" w:firstLine="0" w:firstLineChars="0"/>
        <w:jc w:val="center"/>
      </w:pPr>
    </w:p>
    <w:p w14:paraId="1B582F01">
      <w:pPr>
        <w:ind w:left="0" w:leftChars="0" w:firstLine="0" w:firstLineChars="0"/>
        <w:jc w:val="center"/>
      </w:pPr>
    </w:p>
    <w:p w14:paraId="6B6FB5CF">
      <w:pPr>
        <w:ind w:left="0" w:leftChars="0" w:firstLine="0" w:firstLineChars="0"/>
        <w:jc w:val="center"/>
      </w:pPr>
      <w:r>
        <w:rPr>
          <w:rFonts w:hint="eastAsia"/>
        </w:rPr>
        <w:t>县级部门整体绩效自评打分表</w:t>
      </w:r>
    </w:p>
    <w:p w14:paraId="2DA3AA51">
      <w:pPr>
        <w:ind w:left="0" w:leftChars="0" w:firstLine="0" w:firstLineChars="0"/>
        <w:jc w:val="center"/>
        <w:rPr>
          <w:rFonts w:eastAsia="仿宋_GB2312"/>
          <w:sz w:val="32"/>
          <w:szCs w:val="32"/>
          <w:lang w:val="zh-CN"/>
        </w:rPr>
      </w:pPr>
      <w:r>
        <w:drawing>
          <wp:inline distT="0" distB="0" distL="114300" distR="114300">
            <wp:extent cx="5257800" cy="7691755"/>
            <wp:effectExtent l="0" t="0" r="0"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257800" cy="7691755"/>
                    </a:xfrm>
                    <a:prstGeom prst="rect">
                      <a:avLst/>
                    </a:prstGeom>
                    <a:noFill/>
                    <a:ln>
                      <a:noFill/>
                    </a:ln>
                  </pic:spPr>
                </pic:pic>
              </a:graphicData>
            </a:graphic>
          </wp:inline>
        </w:drawing>
      </w:r>
    </w:p>
    <w:p w14:paraId="71128BC0">
      <w:pPr>
        <w:ind w:firstLine="640" w:firstLineChars="200"/>
        <w:rPr>
          <w:rFonts w:eastAsia="仿宋_GB2312"/>
          <w:sz w:val="32"/>
          <w:szCs w:val="32"/>
          <w:lang w:val="zh-CN"/>
        </w:rPr>
      </w:pPr>
    </w:p>
    <w:p w14:paraId="1C178CAA">
      <w:pPr>
        <w:rPr>
          <w:rFonts w:eastAsia="仿宋_GB2312"/>
          <w:sz w:val="32"/>
          <w:szCs w:val="32"/>
          <w:lang w:val="zh-CN"/>
        </w:rPr>
      </w:pPr>
    </w:p>
    <w:p w14:paraId="0997C4D8">
      <w:pPr>
        <w:ind w:firstLine="640" w:firstLineChars="200"/>
        <w:rPr>
          <w:rFonts w:asciiTheme="minorEastAsia" w:hAnsiTheme="minorEastAsia" w:eastAsiaTheme="minorEastAsia"/>
          <w:sz w:val="32"/>
          <w:szCs w:val="32"/>
          <w:lang w:val="zh-CN"/>
        </w:rPr>
      </w:pPr>
      <w:r>
        <w:rPr>
          <w:rFonts w:hint="eastAsia" w:asciiTheme="minorEastAsia" w:hAnsiTheme="minorEastAsia" w:eastAsiaTheme="minorEastAsia"/>
          <w:sz w:val="32"/>
          <w:szCs w:val="32"/>
          <w:lang w:val="zh-CN"/>
        </w:rPr>
        <w:t>附表：</w:t>
      </w:r>
      <w:r>
        <w:rPr>
          <w:rFonts w:hint="eastAsia" w:asciiTheme="minorEastAsia" w:hAnsiTheme="minorEastAsia" w:eastAsiaTheme="minorEastAsia"/>
          <w:sz w:val="32"/>
          <w:szCs w:val="32"/>
        </w:rPr>
        <w:t>部门</w:t>
      </w:r>
      <w:r>
        <w:rPr>
          <w:rFonts w:hint="eastAsia" w:asciiTheme="minorEastAsia" w:hAnsiTheme="minorEastAsia" w:eastAsiaTheme="minorEastAsia"/>
          <w:sz w:val="32"/>
          <w:szCs w:val="32"/>
          <w:lang w:val="zh-CN"/>
        </w:rPr>
        <w:t>预算项目支出绩效自评表（2023年度）</w:t>
      </w:r>
    </w:p>
    <w:p w14:paraId="186AE1B8">
      <w:pPr>
        <w:ind w:firstLine="420" w:firstLineChars="200"/>
      </w:pPr>
      <w:r>
        <w:drawing>
          <wp:inline distT="0" distB="0" distL="114300" distR="114300">
            <wp:extent cx="5272405" cy="7082155"/>
            <wp:effectExtent l="0" t="0" r="444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272405" cy="7082155"/>
                    </a:xfrm>
                    <a:prstGeom prst="rect">
                      <a:avLst/>
                    </a:prstGeom>
                    <a:noFill/>
                    <a:ln>
                      <a:noFill/>
                    </a:ln>
                  </pic:spPr>
                </pic:pic>
              </a:graphicData>
            </a:graphic>
          </wp:inline>
        </w:drawing>
      </w:r>
    </w:p>
    <w:p w14:paraId="228BC607">
      <w:pPr>
        <w:ind w:firstLine="420" w:firstLineChars="200"/>
      </w:pPr>
    </w:p>
    <w:p w14:paraId="101F9622">
      <w:pPr>
        <w:ind w:firstLine="420" w:firstLineChars="200"/>
      </w:pPr>
    </w:p>
    <w:p w14:paraId="0EDE3D90">
      <w:pPr>
        <w:ind w:firstLine="420" w:firstLineChars="200"/>
      </w:pPr>
    </w:p>
    <w:p w14:paraId="1F29C14B">
      <w:pPr>
        <w:ind w:firstLine="420" w:firstLineChars="200"/>
      </w:pPr>
    </w:p>
    <w:p w14:paraId="5DCD9AC8">
      <w:pPr>
        <w:ind w:firstLine="420" w:firstLineChars="200"/>
      </w:pPr>
    </w:p>
    <w:p w14:paraId="5EF07FE2">
      <w:pPr>
        <w:ind w:firstLine="420" w:firstLineChars="200"/>
      </w:pPr>
    </w:p>
    <w:p w14:paraId="5BC49247">
      <w:pPr>
        <w:ind w:firstLine="420" w:firstLineChars="200"/>
        <w:rPr>
          <w:lang w:val="zh-CN"/>
        </w:rPr>
      </w:pPr>
    </w:p>
    <w:p w14:paraId="0E5DB012">
      <w:r>
        <w:drawing>
          <wp:inline distT="0" distB="0" distL="114300" distR="114300">
            <wp:extent cx="5271135" cy="7446645"/>
            <wp:effectExtent l="0" t="0" r="5715"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71135" cy="7446645"/>
                    </a:xfrm>
                    <a:prstGeom prst="rect">
                      <a:avLst/>
                    </a:prstGeom>
                    <a:noFill/>
                    <a:ln>
                      <a:noFill/>
                    </a:ln>
                  </pic:spPr>
                </pic:pic>
              </a:graphicData>
            </a:graphic>
          </wp:inline>
        </w:drawing>
      </w:r>
    </w:p>
    <w:p w14:paraId="676BB54A"/>
    <w:p w14:paraId="6E3CE33E"/>
    <w:p w14:paraId="049B7A53"/>
    <w:p w14:paraId="26FA9787"/>
    <w:p w14:paraId="433143D5"/>
    <w:p w14:paraId="59503D77">
      <w:r>
        <w:drawing>
          <wp:inline distT="0" distB="0" distL="114300" distR="114300">
            <wp:extent cx="5266055" cy="7240905"/>
            <wp:effectExtent l="0" t="0" r="10795" b="171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5266055" cy="7240905"/>
                    </a:xfrm>
                    <a:prstGeom prst="rect">
                      <a:avLst/>
                    </a:prstGeom>
                    <a:noFill/>
                    <a:ln>
                      <a:noFill/>
                    </a:ln>
                  </pic:spPr>
                </pic:pic>
              </a:graphicData>
            </a:graphic>
          </wp:inline>
        </w:drawing>
      </w:r>
    </w:p>
    <w:p w14:paraId="6D1D5A7F"/>
    <w:p w14:paraId="285B8B79"/>
    <w:p w14:paraId="669C0757"/>
    <w:p w14:paraId="03CED29C"/>
    <w:p w14:paraId="58983218"/>
    <w:p w14:paraId="7317D00A"/>
    <w:p w14:paraId="3D974B0B"/>
    <w:p w14:paraId="23D1EAA5">
      <w:r>
        <w:drawing>
          <wp:inline distT="0" distB="0" distL="114300" distR="114300">
            <wp:extent cx="5266055" cy="7334250"/>
            <wp:effectExtent l="0" t="0" r="1079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5266055" cy="7334250"/>
                    </a:xfrm>
                    <a:prstGeom prst="rect">
                      <a:avLst/>
                    </a:prstGeom>
                    <a:noFill/>
                    <a:ln>
                      <a:noFill/>
                    </a:ln>
                  </pic:spPr>
                </pic:pic>
              </a:graphicData>
            </a:graphic>
          </wp:inline>
        </w:drawing>
      </w:r>
    </w:p>
    <w:p w14:paraId="3A27EA0B"/>
    <w:p w14:paraId="23FEF148"/>
    <w:p w14:paraId="3C01B422"/>
    <w:p w14:paraId="21659AB1"/>
    <w:p w14:paraId="3E7D91B6"/>
    <w:p w14:paraId="78E258D1">
      <w:r>
        <w:drawing>
          <wp:inline distT="0" distB="0" distL="114300" distR="114300">
            <wp:extent cx="5267960" cy="8593455"/>
            <wp:effectExtent l="0" t="0" r="8890" b="171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5267960" cy="8593455"/>
                    </a:xfrm>
                    <a:prstGeom prst="rect">
                      <a:avLst/>
                    </a:prstGeom>
                    <a:noFill/>
                    <a:ln>
                      <a:noFill/>
                    </a:ln>
                  </pic:spPr>
                </pic:pic>
              </a:graphicData>
            </a:graphic>
          </wp:inline>
        </w:drawing>
      </w:r>
    </w:p>
    <w:p w14:paraId="4C619716">
      <w:r>
        <w:drawing>
          <wp:inline distT="0" distB="0" distL="114300" distR="114300">
            <wp:extent cx="5266055" cy="7061200"/>
            <wp:effectExtent l="0" t="0" r="10795" b="635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a:stretch>
                      <a:fillRect/>
                    </a:stretch>
                  </pic:blipFill>
                  <pic:spPr>
                    <a:xfrm>
                      <a:off x="0" y="0"/>
                      <a:ext cx="5266055" cy="7061200"/>
                    </a:xfrm>
                    <a:prstGeom prst="rect">
                      <a:avLst/>
                    </a:prstGeom>
                    <a:noFill/>
                    <a:ln>
                      <a:noFill/>
                    </a:ln>
                  </pic:spPr>
                </pic:pic>
              </a:graphicData>
            </a:graphic>
          </wp:inline>
        </w:drawing>
      </w:r>
    </w:p>
    <w:p w14:paraId="2543BC50"/>
    <w:p w14:paraId="384A6C88"/>
    <w:p w14:paraId="7F729A01"/>
    <w:p w14:paraId="3E307E78"/>
    <w:p w14:paraId="3A0FC53B"/>
    <w:p w14:paraId="41F23244"/>
    <w:p w14:paraId="6D3CA401"/>
    <w:p w14:paraId="48AB7142"/>
    <w:p w14:paraId="5B53BF70">
      <w:r>
        <w:drawing>
          <wp:inline distT="0" distB="0" distL="114300" distR="114300">
            <wp:extent cx="5266055" cy="5800725"/>
            <wp:effectExtent l="0" t="0" r="10795"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tretch>
                      <a:fillRect/>
                    </a:stretch>
                  </pic:blipFill>
                  <pic:spPr>
                    <a:xfrm>
                      <a:off x="0" y="0"/>
                      <a:ext cx="5266055" cy="5800725"/>
                    </a:xfrm>
                    <a:prstGeom prst="rect">
                      <a:avLst/>
                    </a:prstGeom>
                    <a:noFill/>
                    <a:ln>
                      <a:noFill/>
                    </a:ln>
                  </pic:spPr>
                </pic:pic>
              </a:graphicData>
            </a:graphic>
          </wp:inline>
        </w:drawing>
      </w:r>
    </w:p>
    <w:p w14:paraId="28C65B04"/>
    <w:p w14:paraId="3067596D"/>
    <w:p w14:paraId="4B6D33F1">
      <w:r>
        <w:drawing>
          <wp:inline distT="0" distB="0" distL="114300" distR="114300">
            <wp:extent cx="5271135" cy="7265035"/>
            <wp:effectExtent l="0" t="0" r="5715" b="1206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a:stretch>
                      <a:fillRect/>
                    </a:stretch>
                  </pic:blipFill>
                  <pic:spPr>
                    <a:xfrm>
                      <a:off x="0" y="0"/>
                      <a:ext cx="5271135" cy="7265035"/>
                    </a:xfrm>
                    <a:prstGeom prst="rect">
                      <a:avLst/>
                    </a:prstGeom>
                    <a:noFill/>
                    <a:ln>
                      <a:noFill/>
                    </a:ln>
                  </pic:spPr>
                </pic:pic>
              </a:graphicData>
            </a:graphic>
          </wp:inline>
        </w:drawing>
      </w:r>
    </w:p>
    <w:p w14:paraId="23244FCA"/>
    <w:p w14:paraId="32384420"/>
    <w:p w14:paraId="2CD5D720"/>
    <w:p w14:paraId="340C209E"/>
    <w:p w14:paraId="5C40943C"/>
    <w:p w14:paraId="13200374"/>
    <w:p w14:paraId="007FE4FD"/>
    <w:p w14:paraId="1F1A8D16">
      <w:r>
        <w:drawing>
          <wp:inline distT="0" distB="0" distL="114300" distR="114300">
            <wp:extent cx="5266055" cy="7334250"/>
            <wp:effectExtent l="0" t="0" r="1079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5266055" cy="7334250"/>
                    </a:xfrm>
                    <a:prstGeom prst="rect">
                      <a:avLst/>
                    </a:prstGeom>
                    <a:noFill/>
                    <a:ln>
                      <a:noFill/>
                    </a:ln>
                  </pic:spPr>
                </pic:pic>
              </a:graphicData>
            </a:graphic>
          </wp:inline>
        </w:drawing>
      </w:r>
    </w:p>
    <w:p w14:paraId="2E87A237"/>
    <w:p w14:paraId="5A027D77"/>
    <w:p w14:paraId="12EC608F"/>
    <w:p w14:paraId="3242C2C8"/>
    <w:p w14:paraId="521A4BB2"/>
    <w:p w14:paraId="509948B8"/>
    <w:p w14:paraId="2782DAAB">
      <w:r>
        <w:drawing>
          <wp:inline distT="0" distB="0" distL="114300" distR="114300">
            <wp:extent cx="5271135" cy="7704455"/>
            <wp:effectExtent l="0" t="0" r="5715" b="1079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3"/>
                    <a:stretch>
                      <a:fillRect/>
                    </a:stretch>
                  </pic:blipFill>
                  <pic:spPr>
                    <a:xfrm>
                      <a:off x="0" y="0"/>
                      <a:ext cx="5271135" cy="7704455"/>
                    </a:xfrm>
                    <a:prstGeom prst="rect">
                      <a:avLst/>
                    </a:prstGeom>
                    <a:noFill/>
                    <a:ln>
                      <a:noFill/>
                    </a:ln>
                  </pic:spPr>
                </pic:pic>
              </a:graphicData>
            </a:graphic>
          </wp:inline>
        </w:drawing>
      </w:r>
    </w:p>
    <w:p w14:paraId="7A33216F"/>
    <w:p w14:paraId="6AFC30F9"/>
    <w:p w14:paraId="263292F2"/>
    <w:p w14:paraId="676BFA22"/>
    <w:p w14:paraId="445D3E3D"/>
    <w:p w14:paraId="4D216B60">
      <w:r>
        <w:drawing>
          <wp:inline distT="0" distB="0" distL="114300" distR="114300">
            <wp:extent cx="5274310" cy="7138035"/>
            <wp:effectExtent l="0" t="0" r="2540" b="571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5274310" cy="7138035"/>
                    </a:xfrm>
                    <a:prstGeom prst="rect">
                      <a:avLst/>
                    </a:prstGeom>
                    <a:noFill/>
                    <a:ln>
                      <a:noFill/>
                    </a:ln>
                  </pic:spPr>
                </pic:pic>
              </a:graphicData>
            </a:graphic>
          </wp:inline>
        </w:drawing>
      </w:r>
    </w:p>
    <w:p w14:paraId="6BD09E44"/>
    <w:p w14:paraId="32CD0ABA"/>
    <w:p w14:paraId="61139E1A"/>
    <w:p w14:paraId="64F5CE34"/>
    <w:p w14:paraId="606F50D6"/>
    <w:p w14:paraId="2C595727"/>
    <w:p w14:paraId="053DB45E"/>
    <w:p w14:paraId="3CFA9266">
      <w:pPr>
        <w:outlineLvl w:val="1"/>
        <w:rPr>
          <w:rFonts w:ascii="黑体" w:hAnsi="黑体" w:eastAsia="黑体"/>
          <w:sz w:val="32"/>
          <w:szCs w:val="32"/>
        </w:rPr>
      </w:pPr>
      <w:bookmarkStart w:id="78" w:name="_Toc27636"/>
      <w:r>
        <w:rPr>
          <w:rFonts w:hint="eastAsia" w:ascii="黑体" w:hAnsi="黑体" w:eastAsia="黑体"/>
          <w:sz w:val="32"/>
          <w:szCs w:val="32"/>
        </w:rPr>
        <w:t>附件2</w:t>
      </w:r>
      <w:bookmarkEnd w:id="78"/>
    </w:p>
    <w:p w14:paraId="6BB6114A">
      <w:pPr>
        <w:pStyle w:val="35"/>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峨边彝族自治县人民医院</w:t>
      </w:r>
    </w:p>
    <w:p w14:paraId="3AC17B13">
      <w:pPr>
        <w:pStyle w:val="35"/>
        <w:spacing w:line="600" w:lineRule="exact"/>
        <w:jc w:val="center"/>
        <w:rPr>
          <w:rFonts w:ascii="仿宋_GB2312" w:hAnsi="宋体" w:eastAsia="仿宋_GB2312"/>
          <w:color w:val="auto"/>
          <w:kern w:val="2"/>
          <w:sz w:val="32"/>
          <w:szCs w:val="32"/>
        </w:rPr>
      </w:pPr>
      <w:r>
        <w:rPr>
          <w:rFonts w:hint="eastAsia" w:ascii="方正小标宋简体" w:hAnsi="宋体" w:eastAsia="方正小标宋简体"/>
          <w:sz w:val="44"/>
          <w:szCs w:val="44"/>
        </w:rPr>
        <w:t>“9+3”免费教育体检项目绩效自评报告</w:t>
      </w:r>
    </w:p>
    <w:p w14:paraId="67D273A7">
      <w:pPr>
        <w:pStyle w:val="35"/>
        <w:spacing w:line="560" w:lineRule="exact"/>
        <w:ind w:firstLine="640"/>
        <w:jc w:val="center"/>
        <w:rPr>
          <w:rFonts w:ascii="宋体" w:hAnsi="宋体"/>
          <w:color w:val="auto"/>
          <w:kern w:val="2"/>
          <w:sz w:val="32"/>
          <w:szCs w:val="32"/>
        </w:rPr>
      </w:pPr>
    </w:p>
    <w:p w14:paraId="72A73F41">
      <w:pPr>
        <w:widowControl/>
        <w:adjustRightInd w:val="0"/>
        <w:snapToGrid w:val="0"/>
        <w:spacing w:line="560" w:lineRule="exact"/>
        <w:ind w:firstLine="640" w:firstLineChars="200"/>
        <w:jc w:val="left"/>
        <w:outlineLvl w:val="1"/>
        <w:rPr>
          <w:rFonts w:ascii="仿宋" w:hAnsi="仿宋" w:eastAsia="仿宋" w:cs="仿宋"/>
          <w:sz w:val="32"/>
          <w:szCs w:val="32"/>
        </w:rPr>
      </w:pPr>
      <w:bookmarkStart w:id="79" w:name="_Toc220"/>
      <w:r>
        <w:rPr>
          <w:rFonts w:hint="eastAsia" w:ascii="仿宋" w:hAnsi="仿宋" w:eastAsia="仿宋" w:cs="仿宋"/>
          <w:sz w:val="32"/>
          <w:szCs w:val="32"/>
        </w:rPr>
        <w:t>一、项目概况</w:t>
      </w:r>
      <w:bookmarkEnd w:id="79"/>
    </w:p>
    <w:p w14:paraId="7A0043C3">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按照“9+3”免费教育入学体检要求，医院申报该项目资金3.14万元，县级财政预算并下达“9+3”免费教育体检专项资金3.14万元；预算编制合理，资金使用管理规范，符合专项资金管理办法。 </w:t>
      </w:r>
    </w:p>
    <w:p w14:paraId="26ED15E5">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按照“9+3”免费教育入学体检安排， 完成157</w:t>
      </w:r>
      <w:r>
        <w:rPr>
          <w:rFonts w:hint="eastAsia" w:ascii="仿宋" w:hAnsi="仿宋" w:eastAsia="仿宋" w:cs="仿宋"/>
          <w:sz w:val="32"/>
          <w:szCs w:val="32"/>
          <w:lang w:eastAsia="zh-CN"/>
        </w:rPr>
        <w:t>名</w:t>
      </w:r>
      <w:r>
        <w:rPr>
          <w:rFonts w:hint="eastAsia" w:ascii="仿宋" w:hAnsi="仿宋" w:eastAsia="仿宋" w:cs="仿宋"/>
          <w:sz w:val="32"/>
          <w:szCs w:val="32"/>
        </w:rPr>
        <w:t>学生中职教育入学体检。</w:t>
      </w:r>
    </w:p>
    <w:p w14:paraId="0D5F5C57">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“9+3”免费教育入学体检申报与实施相符，申报目标合理可行。</w:t>
      </w:r>
    </w:p>
    <w:p w14:paraId="09AC6038">
      <w:pPr>
        <w:widowControl/>
        <w:adjustRightInd w:val="0"/>
        <w:snapToGrid w:val="0"/>
        <w:spacing w:line="560" w:lineRule="exact"/>
        <w:ind w:firstLine="640" w:firstLineChars="200"/>
        <w:jc w:val="left"/>
        <w:outlineLvl w:val="1"/>
        <w:rPr>
          <w:rFonts w:ascii="仿宋" w:hAnsi="仿宋" w:eastAsia="仿宋" w:cs="仿宋"/>
          <w:sz w:val="32"/>
          <w:szCs w:val="32"/>
        </w:rPr>
      </w:pPr>
      <w:bookmarkStart w:id="80" w:name="_Toc13756"/>
      <w:r>
        <w:rPr>
          <w:rFonts w:hint="eastAsia" w:ascii="仿宋" w:hAnsi="仿宋" w:eastAsia="仿宋" w:cs="仿宋"/>
          <w:sz w:val="32"/>
          <w:szCs w:val="32"/>
        </w:rPr>
        <w:t>二、项目实施及管理情况</w:t>
      </w:r>
      <w:bookmarkEnd w:id="80"/>
    </w:p>
    <w:p w14:paraId="3BB3AD77">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（一）项目资金计划、到位及使用情况</w:t>
      </w:r>
    </w:p>
    <w:p w14:paraId="2EBEEBA9">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“9+3”免费教育入学体检预算资金3.14万元，到位3.14万元。</w:t>
      </w:r>
    </w:p>
    <w:p w14:paraId="29434CE6">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资金使用情况</w:t>
      </w:r>
    </w:p>
    <w:p w14:paraId="3482E851">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完成157位学生中职教育入学体检，实际使用专项资金3.14万元，执行率100%。</w:t>
      </w:r>
    </w:p>
    <w:p w14:paraId="62CFE85E">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（二）项目财务管理情况</w:t>
      </w:r>
    </w:p>
    <w:p w14:paraId="668B822D">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在资金管理上强化责任意识，建立健全管理制度，专款专用，执行情况良好，提高了资金使用效益，确保了财政资金使用安全。</w:t>
      </w:r>
    </w:p>
    <w:p w14:paraId="163ECB8A">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（三）项目组织实施情况</w:t>
      </w:r>
    </w:p>
    <w:p w14:paraId="34259785">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按照“9+3”免费教育入学体检要求，县招办和医院制定了工作方案，并按工作方案有效实施。</w:t>
      </w:r>
    </w:p>
    <w:p w14:paraId="00264422">
      <w:pPr>
        <w:widowControl/>
        <w:adjustRightInd w:val="0"/>
        <w:snapToGrid w:val="0"/>
        <w:spacing w:line="560" w:lineRule="exact"/>
        <w:ind w:firstLine="640" w:firstLineChars="200"/>
        <w:jc w:val="left"/>
        <w:outlineLvl w:val="1"/>
        <w:rPr>
          <w:rFonts w:ascii="仿宋" w:hAnsi="仿宋" w:eastAsia="仿宋" w:cs="仿宋"/>
          <w:sz w:val="32"/>
          <w:szCs w:val="32"/>
        </w:rPr>
      </w:pPr>
      <w:bookmarkStart w:id="81" w:name="_Toc18626"/>
      <w:r>
        <w:rPr>
          <w:rFonts w:hint="eastAsia" w:ascii="仿宋" w:hAnsi="仿宋" w:eastAsia="仿宋" w:cs="仿宋"/>
          <w:sz w:val="32"/>
          <w:szCs w:val="32"/>
        </w:rPr>
        <w:t>三、项目绩效完成情况</w:t>
      </w:r>
      <w:bookmarkEnd w:id="81"/>
    </w:p>
    <w:p w14:paraId="02B0254A">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数量指标：按照“9+3”免费教育入学体检安排， 完成157</w:t>
      </w:r>
      <w:r>
        <w:rPr>
          <w:rFonts w:hint="eastAsia" w:ascii="仿宋" w:hAnsi="仿宋" w:eastAsia="仿宋" w:cs="仿宋"/>
          <w:sz w:val="32"/>
          <w:szCs w:val="32"/>
          <w:lang w:eastAsia="zh-CN"/>
        </w:rPr>
        <w:t>名</w:t>
      </w:r>
      <w:r>
        <w:rPr>
          <w:rFonts w:hint="eastAsia" w:ascii="仿宋" w:hAnsi="仿宋" w:eastAsia="仿宋" w:cs="仿宋"/>
          <w:sz w:val="32"/>
          <w:szCs w:val="32"/>
        </w:rPr>
        <w:t>学生中职教育入学体检，完成率100%。</w:t>
      </w:r>
    </w:p>
    <w:p w14:paraId="1BD8E9EA">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质量指标：体检完成合格率目标100%，实际完成100%。</w:t>
      </w:r>
    </w:p>
    <w:p w14:paraId="29447980">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时效指标：按要求2023年完成，实际按时完成。</w:t>
      </w:r>
    </w:p>
    <w:p w14:paraId="31472A22">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效益指标：持续、高效提供“9+3”免费教育体检，满足中职教育需求。</w:t>
      </w:r>
    </w:p>
    <w:p w14:paraId="33FD9B3D">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满意度指标：逐步提高社会满意度，力争达到95%，实际达到95.3%。</w:t>
      </w:r>
    </w:p>
    <w:p w14:paraId="3390906F">
      <w:pPr>
        <w:widowControl/>
        <w:adjustRightInd w:val="0"/>
        <w:snapToGrid w:val="0"/>
        <w:spacing w:line="560" w:lineRule="exact"/>
        <w:ind w:firstLine="640" w:firstLineChars="200"/>
        <w:jc w:val="left"/>
        <w:outlineLvl w:val="1"/>
        <w:rPr>
          <w:rFonts w:ascii="仿宋" w:hAnsi="仿宋" w:eastAsia="仿宋" w:cs="仿宋"/>
          <w:sz w:val="32"/>
          <w:szCs w:val="32"/>
        </w:rPr>
      </w:pPr>
      <w:bookmarkStart w:id="82" w:name="_Toc5485"/>
      <w:r>
        <w:rPr>
          <w:rFonts w:hint="eastAsia" w:ascii="仿宋" w:hAnsi="仿宋" w:eastAsia="仿宋" w:cs="仿宋"/>
          <w:sz w:val="32"/>
          <w:szCs w:val="32"/>
        </w:rPr>
        <w:t>四、其他需要说明的问题</w:t>
      </w:r>
      <w:bookmarkEnd w:id="82"/>
    </w:p>
    <w:p w14:paraId="4A387140">
      <w:pPr>
        <w:widowControl/>
        <w:adjustRightInd w:val="0"/>
        <w:snapToGrid w:val="0"/>
        <w:spacing w:line="560" w:lineRule="exact"/>
        <w:ind w:firstLine="640" w:firstLineChars="200"/>
        <w:jc w:val="left"/>
        <w:rPr>
          <w:rFonts w:ascii="仿宋" w:hAnsi="仿宋" w:eastAsia="仿宋" w:cs="仿宋"/>
        </w:rPr>
      </w:pPr>
      <w:r>
        <w:rPr>
          <w:rFonts w:hint="eastAsia" w:ascii="仿宋" w:hAnsi="仿宋" w:eastAsia="仿宋" w:cs="仿宋"/>
          <w:sz w:val="32"/>
          <w:szCs w:val="32"/>
        </w:rPr>
        <w:t>无。</w:t>
      </w:r>
    </w:p>
    <w:p w14:paraId="07E7BCD3">
      <w:pPr>
        <w:ind w:firstLine="640" w:firstLineChars="200"/>
        <w:rPr>
          <w:rFonts w:hint="eastAsia" w:eastAsia="仿宋_GB2312"/>
          <w:sz w:val="32"/>
          <w:szCs w:val="32"/>
          <w:lang w:val="zh-CN"/>
        </w:rPr>
      </w:pPr>
    </w:p>
    <w:p w14:paraId="4CE3318E">
      <w:pPr>
        <w:ind w:firstLine="640" w:firstLineChars="200"/>
        <w:rPr>
          <w:rFonts w:hint="eastAsia" w:eastAsia="仿宋_GB2312"/>
          <w:sz w:val="32"/>
          <w:szCs w:val="32"/>
          <w:lang w:val="zh-CN"/>
        </w:rPr>
      </w:pPr>
    </w:p>
    <w:p w14:paraId="03F7E60A">
      <w:pPr>
        <w:ind w:firstLine="640" w:firstLineChars="200"/>
        <w:rPr>
          <w:rFonts w:hint="eastAsia" w:eastAsia="仿宋_GB2312"/>
          <w:sz w:val="32"/>
          <w:szCs w:val="32"/>
          <w:lang w:val="zh-CN"/>
        </w:rPr>
      </w:pPr>
    </w:p>
    <w:p w14:paraId="001C9EBF">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峨边彝族自治县疾病预防控制中心</w:t>
      </w:r>
    </w:p>
    <w:p w14:paraId="1AB12DC7">
      <w:pPr>
        <w:pStyle w:val="35"/>
        <w:spacing w:line="600" w:lineRule="exact"/>
        <w:jc w:val="center"/>
        <w:rPr>
          <w:rFonts w:hint="eastAsia" w:ascii="方正小标宋简体" w:hAnsi="宋体" w:eastAsia="方正小标宋简体" w:cs="Times New Roman"/>
          <w:sz w:val="44"/>
          <w:szCs w:val="44"/>
          <w:lang w:val="en-US" w:eastAsia="zh-CN"/>
        </w:rPr>
      </w:pPr>
      <w:r>
        <w:rPr>
          <w:rFonts w:hint="eastAsia" w:ascii="方正小标宋简体" w:hAnsi="宋体" w:eastAsia="方正小标宋简体" w:cs="Times New Roman"/>
          <w:sz w:val="44"/>
          <w:szCs w:val="44"/>
          <w:lang w:eastAsia="zh-CN"/>
        </w:rPr>
        <w:t>艾滋病感染者生活补助</w:t>
      </w:r>
      <w:r>
        <w:rPr>
          <w:rFonts w:hint="eastAsia" w:ascii="方正小标宋简体" w:hAnsi="宋体" w:eastAsia="方正小标宋简体" w:cs="Times New Roman"/>
          <w:sz w:val="44"/>
          <w:szCs w:val="44"/>
          <w:lang w:val="en-US" w:eastAsia="zh-CN"/>
        </w:rPr>
        <w:t>项目</w:t>
      </w:r>
    </w:p>
    <w:p w14:paraId="40B5B736">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支出绩效自评报</w:t>
      </w:r>
      <w:r>
        <w:rPr>
          <w:rFonts w:hint="eastAsia" w:ascii="方正小标宋简体" w:hAnsi="宋体" w:eastAsia="方正小标宋简体" w:cs="Times New Roman"/>
          <w:sz w:val="44"/>
          <w:szCs w:val="44"/>
        </w:rPr>
        <w:t>告</w:t>
      </w:r>
    </w:p>
    <w:p w14:paraId="2C6B0E09">
      <w:pPr>
        <w:pStyle w:val="35"/>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4A2BCC5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outlineLvl w:val="1"/>
        <w:rPr>
          <w:rFonts w:hint="eastAsia" w:ascii="仿宋" w:hAnsi="仿宋" w:eastAsia="仿宋" w:cs="仿宋"/>
          <w:b/>
          <w:bCs/>
          <w:sz w:val="32"/>
          <w:szCs w:val="32"/>
          <w:lang w:val="zh-CN"/>
        </w:rPr>
      </w:pPr>
      <w:bookmarkStart w:id="83" w:name="_Toc3626"/>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83"/>
    </w:p>
    <w:p w14:paraId="21DB0266">
      <w:pPr>
        <w:spacing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w:t>
      </w:r>
      <w:r>
        <w:rPr>
          <w:rFonts w:hint="eastAsia" w:ascii="仿宋" w:hAnsi="仿宋" w:eastAsia="仿宋" w:cs="仿宋"/>
          <w:sz w:val="32"/>
          <w:szCs w:val="32"/>
          <w:lang w:val="zh-CN"/>
        </w:rPr>
        <w:t>峨边彝族自治县人民政府常务委员会议决定事项〔2010〕8号</w:t>
      </w:r>
      <w:r>
        <w:rPr>
          <w:rFonts w:hint="eastAsia" w:ascii="仿宋" w:hAnsi="仿宋" w:eastAsia="仿宋" w:cs="仿宋"/>
          <w:sz w:val="32"/>
          <w:szCs w:val="32"/>
          <w:lang w:val="en-US" w:eastAsia="zh-CN"/>
        </w:rPr>
        <w:t>文件精神，我中心预算申请艾滋病感染者生活补助地方财政补助专项资金65.2万元，用于艾滋病感染者及病人生活补助，进一步体现对艾滋病感染者及病人的关心关爱，保障感染者和病人的基本生活，有效提高了他们的生活和生存质量。</w:t>
      </w:r>
    </w:p>
    <w:p w14:paraId="40B61E75">
      <w:pPr>
        <w:keepNext w:val="0"/>
        <w:keepLines w:val="0"/>
        <w:pageBreakBefore w:val="0"/>
        <w:widowControl w:val="0"/>
        <w:numPr>
          <w:ilvl w:val="0"/>
          <w:numId w:val="3"/>
        </w:numPr>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sz w:val="32"/>
          <w:szCs w:val="32"/>
          <w:lang w:val="en-US" w:eastAsia="zh-CN"/>
        </w:rPr>
      </w:pPr>
      <w:r>
        <w:rPr>
          <w:rFonts w:hint="eastAsia" w:ascii="仿宋" w:hAnsi="仿宋" w:eastAsia="仿宋" w:cs="仿宋"/>
          <w:b/>
          <w:sz w:val="32"/>
          <w:szCs w:val="32"/>
          <w:lang w:val="zh-CN"/>
        </w:rPr>
        <w:t>项目资金申报及批复情况。</w:t>
      </w:r>
    </w:p>
    <w:p w14:paraId="02026076">
      <w:pPr>
        <w:adjustRightInd w:val="0"/>
        <w:snapToGrid w:val="0"/>
        <w:spacing w:line="600" w:lineRule="exact"/>
        <w:ind w:firstLine="72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按照</w:t>
      </w:r>
      <w:r>
        <w:rPr>
          <w:rFonts w:hint="eastAsia" w:ascii="仿宋" w:hAnsi="仿宋" w:eastAsia="仿宋" w:cs="仿宋"/>
          <w:sz w:val="32"/>
          <w:szCs w:val="32"/>
          <w:lang w:val="zh-CN"/>
        </w:rPr>
        <w:t>峨边彝族自治县人民政府常务委员会议决定事项〔2010〕8号</w:t>
      </w:r>
      <w:r>
        <w:rPr>
          <w:rFonts w:hint="eastAsia" w:ascii="仿宋" w:hAnsi="仿宋" w:eastAsia="仿宋" w:cs="仿宋"/>
          <w:sz w:val="32"/>
          <w:szCs w:val="32"/>
          <w:lang w:val="en-US" w:eastAsia="zh-CN"/>
        </w:rPr>
        <w:t>和峨边彝族自治县卫生健康局关于批复2023年部门预算的通知</w:t>
      </w:r>
      <w:r>
        <w:rPr>
          <w:rFonts w:hint="eastAsia" w:ascii="仿宋" w:hAnsi="仿宋" w:eastAsia="仿宋" w:cs="仿宋"/>
          <w:color w:val="auto"/>
          <w:sz w:val="32"/>
          <w:szCs w:val="32"/>
          <w:lang w:val="zh-CN"/>
        </w:rPr>
        <w:t>。</w:t>
      </w:r>
      <w:r>
        <w:rPr>
          <w:rFonts w:hint="eastAsia" w:ascii="仿宋" w:hAnsi="仿宋" w:eastAsia="仿宋" w:cs="仿宋"/>
          <w:color w:val="auto"/>
          <w:sz w:val="32"/>
          <w:szCs w:val="32"/>
          <w:lang w:val="en-US" w:eastAsia="zh-CN"/>
        </w:rPr>
        <w:t>县财政下达县级一般公共预算资金65.2万元，用于</w:t>
      </w:r>
      <w:r>
        <w:rPr>
          <w:rFonts w:hint="eastAsia" w:ascii="仿宋" w:hAnsi="仿宋" w:eastAsia="仿宋" w:cs="仿宋"/>
          <w:sz w:val="32"/>
          <w:szCs w:val="32"/>
          <w:lang w:val="en-US" w:eastAsia="zh-CN"/>
        </w:rPr>
        <w:t>艾滋病感染者及病人生活补助，从预算管理一体化中录入项目库，资金指标下达，到用款计划申请，录入支付，</w:t>
      </w:r>
      <w:r>
        <w:rPr>
          <w:rFonts w:hint="eastAsia" w:ascii="仿宋" w:hAnsi="仿宋" w:eastAsia="仿宋" w:cs="仿宋"/>
          <w:sz w:val="32"/>
          <w:szCs w:val="32"/>
          <w:lang w:val="zh-CN"/>
        </w:rPr>
        <w:t>符合资金管理办法等相关规定。</w:t>
      </w:r>
    </w:p>
    <w:p w14:paraId="38690592">
      <w:pPr>
        <w:keepNext w:val="0"/>
        <w:keepLines w:val="0"/>
        <w:pageBreakBefore w:val="0"/>
        <w:widowControl w:val="0"/>
        <w:numPr>
          <w:ilvl w:val="0"/>
          <w:numId w:val="3"/>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仿宋" w:hAnsi="仿宋" w:eastAsia="仿宋" w:cs="仿宋"/>
          <w:sz w:val="32"/>
          <w:szCs w:val="32"/>
          <w:lang w:val="zh-CN" w:eastAsia="zh-CN"/>
        </w:rPr>
      </w:pPr>
      <w:r>
        <w:rPr>
          <w:rFonts w:hint="eastAsia" w:ascii="仿宋" w:hAnsi="仿宋" w:eastAsia="仿宋" w:cs="仿宋"/>
          <w:b/>
          <w:sz w:val="32"/>
          <w:szCs w:val="32"/>
          <w:lang w:val="zh-CN"/>
        </w:rPr>
        <w:t>项目绩效目标。</w:t>
      </w:r>
    </w:p>
    <w:p w14:paraId="3C765FED">
      <w:pPr>
        <w:adjustRightInd w:val="0"/>
        <w:snapToGrid w:val="0"/>
        <w:spacing w:line="600" w:lineRule="exact"/>
        <w:ind w:firstLine="72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项目主要内容：落实“四免一关怀”政策，</w:t>
      </w:r>
      <w:r>
        <w:rPr>
          <w:rFonts w:hint="eastAsia" w:ascii="仿宋" w:hAnsi="仿宋" w:eastAsia="仿宋" w:cs="仿宋"/>
          <w:color w:val="auto"/>
          <w:sz w:val="32"/>
          <w:szCs w:val="32"/>
          <w:lang w:eastAsia="zh-CN"/>
        </w:rPr>
        <w:t>对纳入</w:t>
      </w:r>
      <w:r>
        <w:rPr>
          <w:rFonts w:hint="eastAsia" w:ascii="仿宋" w:hAnsi="仿宋" w:eastAsia="仿宋" w:cs="仿宋"/>
          <w:color w:val="auto"/>
          <w:sz w:val="32"/>
          <w:szCs w:val="32"/>
          <w:lang w:val="en-US" w:eastAsia="zh-CN"/>
        </w:rPr>
        <w:t>治疗</w:t>
      </w:r>
      <w:r>
        <w:rPr>
          <w:rFonts w:hint="eastAsia" w:ascii="仿宋" w:hAnsi="仿宋" w:eastAsia="仿宋" w:cs="仿宋"/>
          <w:color w:val="auto"/>
          <w:sz w:val="32"/>
          <w:szCs w:val="32"/>
          <w:lang w:eastAsia="zh-CN"/>
        </w:rPr>
        <w:t>管理的</w:t>
      </w:r>
      <w:r>
        <w:rPr>
          <w:rFonts w:hint="eastAsia" w:ascii="仿宋" w:hAnsi="仿宋" w:eastAsia="仿宋" w:cs="仿宋"/>
          <w:color w:val="auto"/>
          <w:sz w:val="32"/>
          <w:szCs w:val="32"/>
          <w:lang w:val="en-US" w:eastAsia="zh-CN"/>
        </w:rPr>
        <w:t>感染者和</w:t>
      </w:r>
      <w:r>
        <w:rPr>
          <w:rFonts w:hint="eastAsia" w:ascii="仿宋" w:hAnsi="仿宋" w:eastAsia="仿宋" w:cs="仿宋"/>
          <w:color w:val="auto"/>
          <w:sz w:val="32"/>
          <w:szCs w:val="32"/>
          <w:lang w:eastAsia="zh-CN"/>
        </w:rPr>
        <w:t>病人</w:t>
      </w:r>
      <w:r>
        <w:rPr>
          <w:rFonts w:hint="eastAsia" w:ascii="仿宋" w:hAnsi="仿宋" w:eastAsia="仿宋" w:cs="仿宋"/>
          <w:sz w:val="32"/>
          <w:szCs w:val="32"/>
          <w:lang w:val="en-US" w:eastAsia="zh-CN"/>
        </w:rPr>
        <w:t>按200元/人/月发放生活补助，保障感染者和病人的基本生活，提高他们的生活和生存质量。</w:t>
      </w:r>
    </w:p>
    <w:p w14:paraId="37AF853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65AD35B9">
      <w:pPr>
        <w:adjustRightInd w:val="0"/>
        <w:snapToGrid w:val="0"/>
        <w:spacing w:line="600" w:lineRule="exact"/>
        <w:ind w:firstLine="720"/>
        <w:rPr>
          <w:rFonts w:hint="eastAsia" w:ascii="仿宋" w:hAnsi="仿宋" w:eastAsia="仿宋" w:cs="仿宋"/>
          <w:sz w:val="32"/>
          <w:szCs w:val="32"/>
          <w:lang w:val="zh-CN" w:eastAsia="zh-CN"/>
        </w:rPr>
      </w:pPr>
      <w:r>
        <w:rPr>
          <w:rFonts w:hint="eastAsia" w:ascii="仿宋" w:hAnsi="仿宋" w:eastAsia="仿宋" w:cs="仿宋"/>
          <w:sz w:val="32"/>
          <w:szCs w:val="32"/>
          <w:lang w:val="zh-CN" w:eastAsia="zh-CN"/>
        </w:rPr>
        <w:t>项目申报内容与具体实施内容相符、申报目标合理可行。</w:t>
      </w:r>
    </w:p>
    <w:p w14:paraId="3FBCFD2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outlineLvl w:val="1"/>
        <w:rPr>
          <w:rFonts w:hint="eastAsia" w:ascii="仿宋" w:hAnsi="仿宋" w:eastAsia="仿宋" w:cs="仿宋"/>
          <w:sz w:val="32"/>
          <w:szCs w:val="32"/>
        </w:rPr>
      </w:pPr>
      <w:bookmarkStart w:id="84" w:name="_Toc30696"/>
      <w:r>
        <w:rPr>
          <w:rFonts w:hint="eastAsia" w:ascii="仿宋" w:hAnsi="仿宋" w:eastAsia="仿宋" w:cs="仿宋"/>
          <w:sz w:val="32"/>
          <w:szCs w:val="32"/>
        </w:rPr>
        <w:t>二、项目实施及管理情况</w:t>
      </w:r>
      <w:bookmarkEnd w:id="84"/>
    </w:p>
    <w:p w14:paraId="4A3248C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b/>
          <w:sz w:val="32"/>
          <w:szCs w:val="32"/>
          <w:lang w:val="zh-CN"/>
        </w:rPr>
      </w:pPr>
      <w:r>
        <w:rPr>
          <w:rFonts w:hint="eastAsia" w:ascii="仿宋" w:hAnsi="仿宋" w:eastAsia="仿宋" w:cs="仿宋"/>
          <w:sz w:val="32"/>
          <w:szCs w:val="32"/>
          <w:lang w:val="zh-CN"/>
        </w:rPr>
        <w:tab/>
      </w:r>
      <w:r>
        <w:rPr>
          <w:rFonts w:hint="eastAsia" w:ascii="仿宋" w:hAnsi="仿宋" w:eastAsia="仿宋" w:cs="仿宋"/>
          <w:b/>
          <w:sz w:val="32"/>
          <w:szCs w:val="32"/>
          <w:lang w:val="zh-CN"/>
        </w:rPr>
        <w:t>（一）资金计划、到位及使用情况。</w:t>
      </w:r>
    </w:p>
    <w:p w14:paraId="2D6F207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sz w:val="32"/>
          <w:szCs w:val="32"/>
          <w:lang w:val="zh-CN"/>
        </w:rPr>
      </w:pPr>
      <w:r>
        <w:rPr>
          <w:rFonts w:hint="eastAsia" w:ascii="仿宋" w:hAnsi="仿宋" w:eastAsia="仿宋" w:cs="仿宋"/>
          <w:sz w:val="32"/>
          <w:szCs w:val="32"/>
          <w:lang w:val="zh-CN"/>
        </w:rPr>
        <w:t>1．资金计划及到位。</w:t>
      </w:r>
    </w:p>
    <w:p w14:paraId="0E666134">
      <w:pPr>
        <w:spacing w:line="580" w:lineRule="exact"/>
        <w:ind w:firstLine="652" w:firstLineChars="200"/>
        <w:rPr>
          <w:rFonts w:hint="eastAsia" w:ascii="仿宋" w:hAnsi="仿宋" w:eastAsia="仿宋" w:cs="仿宋"/>
          <w:sz w:val="32"/>
          <w:szCs w:val="32"/>
          <w:lang w:val="zh-CN"/>
        </w:rPr>
      </w:pPr>
      <w:r>
        <w:rPr>
          <w:rFonts w:hint="eastAsia" w:ascii="仿宋" w:hAnsi="仿宋" w:eastAsia="仿宋" w:cs="仿宋"/>
          <w:spacing w:val="3"/>
          <w:sz w:val="32"/>
          <w:szCs w:val="32"/>
        </w:rPr>
        <w:t>截至202</w:t>
      </w:r>
      <w:r>
        <w:rPr>
          <w:rFonts w:hint="eastAsia" w:ascii="仿宋" w:hAnsi="仿宋" w:eastAsia="仿宋" w:cs="仿宋"/>
          <w:spacing w:val="3"/>
          <w:sz w:val="32"/>
          <w:szCs w:val="32"/>
          <w:lang w:val="en-US" w:eastAsia="zh-CN"/>
        </w:rPr>
        <w:t>3</w:t>
      </w:r>
      <w:r>
        <w:rPr>
          <w:rFonts w:hint="eastAsia" w:ascii="仿宋" w:hAnsi="仿宋" w:eastAsia="仿宋" w:cs="仿宋"/>
          <w:spacing w:val="3"/>
          <w:sz w:val="32"/>
          <w:szCs w:val="32"/>
        </w:rPr>
        <w:t>年12月31日，</w:t>
      </w:r>
      <w:r>
        <w:rPr>
          <w:rFonts w:hint="eastAsia" w:ascii="仿宋" w:hAnsi="仿宋" w:eastAsia="仿宋" w:cs="仿宋"/>
          <w:color w:val="auto"/>
          <w:sz w:val="32"/>
          <w:szCs w:val="32"/>
          <w:lang w:val="zh-CN"/>
        </w:rPr>
        <w:t>艾滋病感染者生活补助</w:t>
      </w:r>
      <w:r>
        <w:rPr>
          <w:rFonts w:hint="eastAsia" w:ascii="仿宋" w:hAnsi="仿宋" w:eastAsia="仿宋" w:cs="仿宋"/>
          <w:color w:val="auto"/>
          <w:sz w:val="32"/>
          <w:szCs w:val="32"/>
          <w:lang w:val="en-US" w:eastAsia="zh-CN"/>
        </w:rPr>
        <w:t>项目下达</w:t>
      </w:r>
      <w:r>
        <w:rPr>
          <w:rFonts w:hint="eastAsia" w:ascii="仿宋" w:hAnsi="仿宋" w:eastAsia="仿宋" w:cs="仿宋"/>
          <w:color w:val="000000"/>
          <w:sz w:val="32"/>
          <w:szCs w:val="32"/>
          <w:lang w:val="en-US" w:eastAsia="zh-CN"/>
        </w:rPr>
        <w:t>我中心县级补助资金</w:t>
      </w:r>
      <w:r>
        <w:rPr>
          <w:rFonts w:hint="eastAsia" w:ascii="仿宋" w:hAnsi="仿宋" w:eastAsia="仿宋" w:cs="仿宋"/>
          <w:color w:val="000000"/>
          <w:sz w:val="32"/>
          <w:szCs w:val="32"/>
          <w:lang w:eastAsia="zh-Hans"/>
        </w:rPr>
        <w:t>共</w:t>
      </w:r>
      <w:r>
        <w:rPr>
          <w:rFonts w:hint="eastAsia" w:ascii="仿宋" w:hAnsi="仿宋" w:eastAsia="仿宋" w:cs="仿宋"/>
          <w:color w:val="000000"/>
          <w:sz w:val="32"/>
          <w:szCs w:val="32"/>
        </w:rPr>
        <w:t>计</w:t>
      </w:r>
      <w:r>
        <w:rPr>
          <w:rFonts w:hint="eastAsia" w:ascii="仿宋" w:hAnsi="仿宋" w:eastAsia="仿宋" w:cs="仿宋"/>
          <w:color w:val="000000"/>
          <w:sz w:val="32"/>
          <w:szCs w:val="32"/>
          <w:lang w:val="en-US" w:eastAsia="zh-CN"/>
        </w:rPr>
        <w:t>65.2</w:t>
      </w:r>
      <w:r>
        <w:rPr>
          <w:rFonts w:hint="eastAsia" w:ascii="仿宋" w:hAnsi="仿宋" w:eastAsia="仿宋" w:cs="仿宋"/>
          <w:color w:val="000000"/>
          <w:sz w:val="32"/>
          <w:szCs w:val="32"/>
        </w:rPr>
        <w:t>万元</w:t>
      </w:r>
      <w:r>
        <w:rPr>
          <w:rFonts w:hint="eastAsia" w:ascii="仿宋" w:hAnsi="仿宋" w:eastAsia="仿宋" w:cs="仿宋"/>
          <w:color w:val="auto"/>
          <w:sz w:val="32"/>
          <w:szCs w:val="32"/>
          <w:lang w:val="zh-CN"/>
        </w:rPr>
        <w:t>。</w:t>
      </w:r>
      <w:r>
        <w:rPr>
          <w:rFonts w:hint="eastAsia" w:ascii="仿宋" w:hAnsi="仿宋" w:eastAsia="仿宋" w:cs="仿宋"/>
          <w:spacing w:val="-5"/>
          <w:sz w:val="32"/>
          <w:szCs w:val="32"/>
        </w:rPr>
        <w:t>项目资金</w:t>
      </w:r>
      <w:r>
        <w:rPr>
          <w:rFonts w:hint="eastAsia" w:ascii="仿宋" w:hAnsi="仿宋" w:eastAsia="仿宋" w:cs="仿宋"/>
          <w:spacing w:val="-8"/>
          <w:sz w:val="32"/>
          <w:szCs w:val="32"/>
        </w:rPr>
        <w:t>实际到</w:t>
      </w:r>
      <w:r>
        <w:rPr>
          <w:rFonts w:hint="eastAsia" w:ascii="仿宋" w:hAnsi="仿宋" w:eastAsia="仿宋" w:cs="仿宋"/>
          <w:spacing w:val="-5"/>
          <w:sz w:val="32"/>
          <w:szCs w:val="32"/>
        </w:rPr>
        <w:t>位</w:t>
      </w:r>
      <w:r>
        <w:rPr>
          <w:rFonts w:hint="eastAsia" w:ascii="仿宋" w:hAnsi="仿宋" w:eastAsia="仿宋" w:cs="仿宋"/>
          <w:spacing w:val="-4"/>
          <w:sz w:val="32"/>
          <w:szCs w:val="32"/>
          <w:lang w:val="en-US" w:eastAsia="zh-CN"/>
        </w:rPr>
        <w:t>65.2</w:t>
      </w:r>
      <w:r>
        <w:rPr>
          <w:rFonts w:hint="eastAsia" w:ascii="仿宋" w:hAnsi="仿宋" w:eastAsia="仿宋" w:cs="仿宋"/>
          <w:spacing w:val="-4"/>
          <w:sz w:val="32"/>
          <w:szCs w:val="32"/>
        </w:rPr>
        <w:t>万元，资金到位率为</w:t>
      </w:r>
      <w:r>
        <w:rPr>
          <w:rFonts w:hint="eastAsia" w:ascii="仿宋" w:hAnsi="仿宋" w:eastAsia="仿宋" w:cs="仿宋"/>
          <w:spacing w:val="-4"/>
          <w:sz w:val="32"/>
          <w:szCs w:val="32"/>
          <w:lang w:val="en-US" w:eastAsia="zh-CN"/>
        </w:rPr>
        <w:t>100</w:t>
      </w:r>
      <w:r>
        <w:rPr>
          <w:rFonts w:hint="eastAsia" w:ascii="仿宋" w:hAnsi="仿宋" w:eastAsia="仿宋" w:cs="仿宋"/>
          <w:spacing w:val="-4"/>
          <w:sz w:val="32"/>
          <w:szCs w:val="32"/>
        </w:rPr>
        <w:t>%。</w:t>
      </w:r>
    </w:p>
    <w:p w14:paraId="1FAA957C">
      <w:pPr>
        <w:spacing w:line="58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2．资金使用。</w:t>
      </w:r>
      <w:r>
        <w:rPr>
          <w:rFonts w:hint="eastAsia" w:ascii="仿宋" w:hAnsi="仿宋" w:eastAsia="仿宋" w:cs="仿宋"/>
          <w:spacing w:val="-6"/>
          <w:sz w:val="32"/>
          <w:szCs w:val="32"/>
        </w:rPr>
        <w:t>截至202</w:t>
      </w:r>
      <w:r>
        <w:rPr>
          <w:rFonts w:hint="eastAsia" w:ascii="仿宋" w:hAnsi="仿宋" w:eastAsia="仿宋" w:cs="仿宋"/>
          <w:spacing w:val="-6"/>
          <w:sz w:val="32"/>
          <w:szCs w:val="32"/>
          <w:lang w:val="en-US" w:eastAsia="zh-CN"/>
        </w:rPr>
        <w:t>3</w:t>
      </w:r>
      <w:r>
        <w:rPr>
          <w:rFonts w:hint="eastAsia" w:ascii="仿宋" w:hAnsi="仿宋" w:eastAsia="仿宋" w:cs="仿宋"/>
          <w:spacing w:val="-6"/>
          <w:sz w:val="32"/>
          <w:szCs w:val="32"/>
        </w:rPr>
        <w:t>年12月31日，</w:t>
      </w:r>
      <w:r>
        <w:rPr>
          <w:rFonts w:hint="eastAsia" w:ascii="仿宋" w:hAnsi="仿宋" w:eastAsia="仿宋" w:cs="仿宋"/>
          <w:color w:val="auto"/>
          <w:sz w:val="32"/>
          <w:szCs w:val="32"/>
          <w:lang w:val="en-US" w:eastAsia="zh-CN"/>
        </w:rPr>
        <w:t>按200元/人/月的标准，按季度转账拨付到病人的银行账号，</w:t>
      </w:r>
      <w:r>
        <w:rPr>
          <w:rFonts w:hint="eastAsia" w:ascii="仿宋" w:hAnsi="仿宋" w:eastAsia="仿宋" w:cs="仿宋"/>
          <w:spacing w:val="-6"/>
          <w:sz w:val="32"/>
          <w:szCs w:val="32"/>
        </w:rPr>
        <w:t>实际支出</w:t>
      </w:r>
      <w:r>
        <w:rPr>
          <w:rFonts w:hint="eastAsia" w:ascii="仿宋" w:hAnsi="仿宋" w:eastAsia="仿宋" w:cs="仿宋"/>
          <w:spacing w:val="-4"/>
          <w:sz w:val="32"/>
          <w:szCs w:val="32"/>
          <w:lang w:val="en-US" w:eastAsia="zh-CN"/>
        </w:rPr>
        <w:t>65.2</w:t>
      </w:r>
      <w:r>
        <w:rPr>
          <w:rFonts w:hint="eastAsia" w:ascii="仿宋" w:hAnsi="仿宋" w:eastAsia="仿宋" w:cs="仿宋"/>
          <w:spacing w:val="-5"/>
          <w:sz w:val="32"/>
          <w:szCs w:val="32"/>
        </w:rPr>
        <w:t>万</w:t>
      </w:r>
      <w:r>
        <w:rPr>
          <w:rFonts w:hint="eastAsia" w:ascii="仿宋" w:hAnsi="仿宋" w:eastAsia="仿宋" w:cs="仿宋"/>
          <w:spacing w:val="-4"/>
          <w:sz w:val="32"/>
          <w:szCs w:val="32"/>
        </w:rPr>
        <w:t>元，执行率为</w:t>
      </w:r>
      <w:r>
        <w:rPr>
          <w:rFonts w:hint="eastAsia" w:ascii="仿宋" w:hAnsi="仿宋" w:eastAsia="仿宋" w:cs="仿宋"/>
          <w:spacing w:val="-4"/>
          <w:sz w:val="32"/>
          <w:szCs w:val="32"/>
          <w:lang w:val="en-US" w:eastAsia="zh-CN"/>
        </w:rPr>
        <w:t>100</w:t>
      </w:r>
      <w:r>
        <w:rPr>
          <w:rFonts w:hint="eastAsia" w:ascii="仿宋" w:hAnsi="仿宋" w:eastAsia="仿宋" w:cs="仿宋"/>
          <w:spacing w:val="-4"/>
          <w:sz w:val="32"/>
          <w:szCs w:val="32"/>
        </w:rPr>
        <w:t>%</w:t>
      </w:r>
      <w:r>
        <w:rPr>
          <w:rFonts w:hint="eastAsia" w:ascii="仿宋" w:hAnsi="仿宋" w:eastAsia="仿宋" w:cs="仿宋"/>
          <w:spacing w:val="-4"/>
          <w:sz w:val="32"/>
          <w:szCs w:val="32"/>
          <w:lang w:eastAsia="zh-CN"/>
        </w:rPr>
        <w:t>，主要用于</w:t>
      </w:r>
      <w:r>
        <w:rPr>
          <w:rFonts w:hint="eastAsia" w:ascii="仿宋" w:hAnsi="仿宋" w:eastAsia="仿宋" w:cs="仿宋"/>
          <w:spacing w:val="-4"/>
          <w:sz w:val="32"/>
          <w:szCs w:val="32"/>
          <w:lang w:val="en-US" w:eastAsia="zh-CN"/>
        </w:rPr>
        <w:t>对纳入治疗管理的感染者和病人</w:t>
      </w:r>
      <w:r>
        <w:rPr>
          <w:rFonts w:hint="eastAsia" w:ascii="仿宋" w:hAnsi="仿宋" w:eastAsia="仿宋" w:cs="仿宋"/>
          <w:sz w:val="32"/>
          <w:szCs w:val="32"/>
          <w:lang w:val="en-US" w:eastAsia="zh-CN"/>
        </w:rPr>
        <w:t>按200元/人/月</w:t>
      </w:r>
      <w:r>
        <w:rPr>
          <w:rFonts w:hint="eastAsia" w:ascii="仿宋" w:hAnsi="仿宋" w:eastAsia="仿宋" w:cs="仿宋"/>
          <w:spacing w:val="-4"/>
          <w:sz w:val="32"/>
          <w:szCs w:val="32"/>
          <w:lang w:val="en-US" w:eastAsia="zh-CN"/>
        </w:rPr>
        <w:t>发放生活补助</w:t>
      </w:r>
      <w:r>
        <w:rPr>
          <w:rFonts w:hint="eastAsia" w:ascii="仿宋" w:hAnsi="仿宋" w:eastAsia="仿宋" w:cs="仿宋"/>
          <w:spacing w:val="-4"/>
          <w:sz w:val="32"/>
          <w:szCs w:val="32"/>
        </w:rPr>
        <w:t>。</w:t>
      </w:r>
      <w:r>
        <w:rPr>
          <w:rFonts w:hint="eastAsia" w:ascii="仿宋" w:hAnsi="仿宋" w:eastAsia="仿宋" w:cs="仿宋"/>
          <w:spacing w:val="-4"/>
          <w:sz w:val="32"/>
          <w:szCs w:val="32"/>
          <w:lang w:eastAsia="zh-CN"/>
        </w:rPr>
        <w:t>资金</w:t>
      </w:r>
      <w:r>
        <w:rPr>
          <w:rFonts w:hint="eastAsia" w:ascii="仿宋" w:hAnsi="仿宋" w:eastAsia="仿宋" w:cs="仿宋"/>
          <w:sz w:val="32"/>
          <w:szCs w:val="32"/>
          <w:lang w:val="zh-CN"/>
        </w:rPr>
        <w:t>支付依据合规合法，资金支付与预算相符。</w:t>
      </w:r>
    </w:p>
    <w:p w14:paraId="653C161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1B07BEA9">
      <w:pPr>
        <w:spacing w:line="580" w:lineRule="exact"/>
        <w:ind w:firstLine="656" w:firstLineChars="200"/>
        <w:rPr>
          <w:rFonts w:hint="eastAsia" w:ascii="仿宋" w:hAnsi="仿宋" w:eastAsia="仿宋" w:cs="仿宋"/>
          <w:sz w:val="32"/>
          <w:szCs w:val="32"/>
          <w:lang w:val="zh-CN"/>
        </w:rPr>
      </w:pPr>
      <w:r>
        <w:rPr>
          <w:rFonts w:hint="eastAsia" w:ascii="仿宋" w:hAnsi="仿宋" w:eastAsia="仿宋" w:cs="仿宋"/>
          <w:spacing w:val="4"/>
          <w:position w:val="2"/>
          <w:sz w:val="32"/>
          <w:szCs w:val="32"/>
          <w:lang w:val="en-US" w:eastAsia="zh-CN"/>
        </w:rPr>
        <w:t>本项目为县级一般公共预算资金，确保了项目资金专款专用；项目资金的使用、支付及时、会计核算规范；严格按照相关规定进行资金支付，杜绝挪用、截留现象的发生。</w:t>
      </w:r>
    </w:p>
    <w:p w14:paraId="2DB98BE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091BDC91">
      <w:pPr>
        <w:keepNext w:val="0"/>
        <w:keepLines w:val="0"/>
        <w:pageBreakBefore w:val="0"/>
        <w:widowControl w:val="0"/>
        <w:kinsoku/>
        <w:wordWrap/>
        <w:overflowPunct/>
        <w:topLinePunct w:val="0"/>
        <w:autoSpaceDE/>
        <w:autoSpaceDN/>
        <w:bidi w:val="0"/>
        <w:adjustRightInd/>
        <w:snapToGrid/>
        <w:spacing w:line="580" w:lineRule="exact"/>
        <w:ind w:firstLine="680" w:firstLineChars="200"/>
        <w:textAlignment w:val="auto"/>
        <w:rPr>
          <w:rFonts w:hint="eastAsia" w:ascii="仿宋" w:hAnsi="仿宋" w:eastAsia="仿宋" w:cs="仿宋"/>
          <w:spacing w:val="5"/>
          <w:position w:val="2"/>
          <w:sz w:val="32"/>
          <w:szCs w:val="32"/>
        </w:rPr>
      </w:pPr>
      <w:r>
        <w:rPr>
          <w:rFonts w:hint="eastAsia" w:ascii="仿宋" w:hAnsi="仿宋" w:eastAsia="仿宋" w:cs="仿宋"/>
          <w:spacing w:val="10"/>
          <w:position w:val="2"/>
          <w:sz w:val="32"/>
          <w:szCs w:val="32"/>
        </w:rPr>
        <w:t>1</w:t>
      </w:r>
      <w:r>
        <w:rPr>
          <w:rFonts w:hint="eastAsia" w:ascii="仿宋" w:hAnsi="仿宋" w:eastAsia="仿宋" w:cs="仿宋"/>
          <w:spacing w:val="8"/>
          <w:position w:val="2"/>
          <w:sz w:val="32"/>
          <w:szCs w:val="32"/>
        </w:rPr>
        <w:t>.</w:t>
      </w:r>
      <w:r>
        <w:rPr>
          <w:rFonts w:hint="eastAsia" w:ascii="仿宋" w:hAnsi="仿宋" w:eastAsia="仿宋" w:cs="仿宋"/>
          <w:spacing w:val="5"/>
          <w:position w:val="2"/>
          <w:sz w:val="32"/>
          <w:szCs w:val="32"/>
        </w:rPr>
        <w:t>项目实施</w:t>
      </w:r>
      <w:r>
        <w:rPr>
          <w:rFonts w:hint="eastAsia" w:ascii="仿宋" w:hAnsi="仿宋" w:eastAsia="仿宋" w:cs="仿宋"/>
          <w:spacing w:val="5"/>
          <w:position w:val="2"/>
          <w:sz w:val="32"/>
          <w:szCs w:val="32"/>
          <w:lang w:val="en-US" w:eastAsia="zh-CN"/>
        </w:rPr>
        <w:t>流程</w:t>
      </w:r>
      <w:r>
        <w:rPr>
          <w:rFonts w:hint="eastAsia" w:ascii="仿宋" w:hAnsi="仿宋" w:eastAsia="仿宋" w:cs="仿宋"/>
          <w:spacing w:val="5"/>
          <w:position w:val="2"/>
          <w:sz w:val="32"/>
          <w:szCs w:val="32"/>
        </w:rPr>
        <w:t>。</w:t>
      </w:r>
    </w:p>
    <w:p w14:paraId="50A6C7C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pacing w:val="5"/>
          <w:position w:val="2"/>
          <w:sz w:val="32"/>
          <w:szCs w:val="32"/>
        </w:rPr>
      </w:pPr>
      <w:r>
        <w:rPr>
          <w:rFonts w:hint="eastAsia" w:ascii="仿宋" w:hAnsi="仿宋" w:eastAsia="仿宋" w:cs="仿宋"/>
          <w:sz w:val="32"/>
          <w:szCs w:val="32"/>
          <w:lang w:val="en-US" w:eastAsia="zh-CN"/>
        </w:rPr>
        <w:t>为了项目的顺利实施，我中心以性艾科为具体的实施科室，科室每季度按每月实际</w:t>
      </w:r>
      <w:r>
        <w:rPr>
          <w:rFonts w:hint="eastAsia" w:ascii="仿宋" w:hAnsi="仿宋" w:eastAsia="仿宋" w:cs="仿宋"/>
          <w:spacing w:val="-4"/>
          <w:sz w:val="32"/>
          <w:szCs w:val="32"/>
          <w:lang w:val="en-US" w:eastAsia="zh-CN"/>
        </w:rPr>
        <w:t>纳入治疗管理的感染者和病人数，</w:t>
      </w:r>
      <w:r>
        <w:rPr>
          <w:rFonts w:hint="eastAsia" w:ascii="仿宋" w:hAnsi="仿宋" w:eastAsia="仿宋" w:cs="仿宋"/>
          <w:sz w:val="32"/>
          <w:szCs w:val="32"/>
          <w:lang w:val="en-US" w:eastAsia="zh-CN"/>
        </w:rPr>
        <w:t>按200元/人/月造册</w:t>
      </w:r>
      <w:r>
        <w:rPr>
          <w:rFonts w:hint="eastAsia" w:ascii="仿宋" w:hAnsi="仿宋" w:eastAsia="仿宋" w:cs="仿宋"/>
          <w:spacing w:val="-4"/>
          <w:sz w:val="32"/>
          <w:szCs w:val="32"/>
          <w:lang w:val="en-US" w:eastAsia="zh-CN"/>
        </w:rPr>
        <w:t>发放生活补助</w:t>
      </w:r>
      <w:r>
        <w:rPr>
          <w:rFonts w:hint="eastAsia" w:ascii="仿宋" w:hAnsi="仿宋" w:eastAsia="仿宋" w:cs="仿宋"/>
          <w:sz w:val="32"/>
          <w:szCs w:val="32"/>
          <w:lang w:val="en-US" w:eastAsia="zh-CN"/>
        </w:rPr>
        <w:t>。</w:t>
      </w:r>
      <w:r>
        <w:rPr>
          <w:rFonts w:hint="eastAsia" w:ascii="仿宋" w:hAnsi="仿宋" w:eastAsia="仿宋" w:cs="仿宋"/>
          <w:spacing w:val="5"/>
          <w:position w:val="2"/>
          <w:sz w:val="32"/>
          <w:szCs w:val="32"/>
          <w:lang w:val="en-US" w:eastAsia="zh-CN"/>
        </w:rPr>
        <w:t>确保完成项目的既定目标。</w:t>
      </w:r>
    </w:p>
    <w:p w14:paraId="6C28236D">
      <w:pPr>
        <w:keepNext w:val="0"/>
        <w:keepLines w:val="0"/>
        <w:pageBreakBefore w:val="0"/>
        <w:widowControl w:val="0"/>
        <w:kinsoku/>
        <w:wordWrap/>
        <w:overflowPunct/>
        <w:topLinePunct w:val="0"/>
        <w:autoSpaceDE/>
        <w:autoSpaceDN/>
        <w:bidi w:val="0"/>
        <w:adjustRightInd/>
        <w:snapToGrid/>
        <w:spacing w:line="580" w:lineRule="exact"/>
        <w:ind w:firstLine="680" w:firstLineChars="200"/>
        <w:textAlignment w:val="auto"/>
        <w:rPr>
          <w:rFonts w:hint="eastAsia" w:ascii="仿宋" w:hAnsi="仿宋" w:eastAsia="仿宋" w:cs="仿宋"/>
          <w:spacing w:val="10"/>
          <w:position w:val="2"/>
          <w:sz w:val="32"/>
          <w:szCs w:val="32"/>
          <w:lang w:val="en-US" w:eastAsia="zh-CN"/>
        </w:rPr>
      </w:pPr>
      <w:r>
        <w:rPr>
          <w:rFonts w:hint="eastAsia" w:ascii="仿宋" w:hAnsi="仿宋" w:eastAsia="仿宋" w:cs="仿宋"/>
          <w:spacing w:val="10"/>
          <w:position w:val="2"/>
          <w:sz w:val="32"/>
          <w:szCs w:val="32"/>
          <w:lang w:val="en-US" w:eastAsia="zh-CN"/>
        </w:rPr>
        <w:t>2.项目资金监管和绩效管理开展情况。</w:t>
      </w:r>
    </w:p>
    <w:p w14:paraId="3273E067">
      <w:pPr>
        <w:keepNext w:val="0"/>
        <w:keepLines w:val="0"/>
        <w:pageBreakBefore w:val="0"/>
        <w:widowControl w:val="0"/>
        <w:kinsoku/>
        <w:wordWrap/>
        <w:overflowPunct/>
        <w:topLinePunct w:val="0"/>
        <w:autoSpaceDE/>
        <w:autoSpaceDN/>
        <w:bidi w:val="0"/>
        <w:adjustRightInd/>
        <w:snapToGrid/>
        <w:spacing w:line="580" w:lineRule="exact"/>
        <w:ind w:firstLine="680" w:firstLineChars="200"/>
        <w:textAlignment w:val="auto"/>
        <w:rPr>
          <w:rFonts w:hint="eastAsia" w:ascii="仿宋" w:hAnsi="仿宋" w:eastAsia="仿宋" w:cs="仿宋"/>
          <w:spacing w:val="4"/>
          <w:position w:val="2"/>
          <w:sz w:val="32"/>
          <w:szCs w:val="32"/>
          <w:lang w:val="en-US" w:eastAsia="zh-CN"/>
        </w:rPr>
      </w:pPr>
      <w:r>
        <w:rPr>
          <w:rFonts w:hint="eastAsia" w:ascii="仿宋" w:hAnsi="仿宋" w:eastAsia="仿宋" w:cs="仿宋"/>
          <w:spacing w:val="10"/>
          <w:position w:val="2"/>
          <w:sz w:val="32"/>
          <w:szCs w:val="32"/>
          <w:lang w:val="en-US" w:eastAsia="zh-CN"/>
        </w:rPr>
        <w:t>本项目为县级一般公共预算资金，确保了项目资金专款专用；项目资金的使用、支付严格执行相关管理制度；严格按照相关规定进行资</w:t>
      </w:r>
      <w:r>
        <w:rPr>
          <w:rFonts w:hint="eastAsia" w:ascii="仿宋" w:hAnsi="仿宋" w:eastAsia="仿宋" w:cs="仿宋"/>
          <w:spacing w:val="4"/>
          <w:position w:val="2"/>
          <w:sz w:val="32"/>
          <w:szCs w:val="32"/>
          <w:lang w:val="en-US" w:eastAsia="zh-CN"/>
        </w:rPr>
        <w:t>金支付，杜绝挪用、截留现象的发生。</w:t>
      </w:r>
    </w:p>
    <w:p w14:paraId="6708079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outlineLvl w:val="1"/>
        <w:rPr>
          <w:rFonts w:hint="eastAsia" w:ascii="仿宋" w:hAnsi="仿宋" w:eastAsia="仿宋" w:cs="仿宋"/>
          <w:sz w:val="32"/>
          <w:szCs w:val="32"/>
          <w:lang w:val="zh-CN"/>
        </w:rPr>
      </w:pPr>
      <w:bookmarkStart w:id="85" w:name="_Toc11838"/>
      <w:r>
        <w:rPr>
          <w:rFonts w:hint="eastAsia" w:ascii="仿宋" w:hAnsi="仿宋" w:eastAsia="仿宋" w:cs="仿宋"/>
          <w:sz w:val="32"/>
          <w:szCs w:val="32"/>
        </w:rPr>
        <w:t>三、项目绩效情况</w:t>
      </w:r>
      <w:bookmarkEnd w:id="85"/>
      <w:r>
        <w:rPr>
          <w:rFonts w:hint="eastAsia" w:ascii="仿宋" w:hAnsi="仿宋" w:eastAsia="仿宋" w:cs="仿宋"/>
          <w:sz w:val="32"/>
          <w:szCs w:val="32"/>
          <w:lang w:val="zh-CN"/>
        </w:rPr>
        <w:tab/>
      </w:r>
    </w:p>
    <w:p w14:paraId="1746680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64CD20CF">
      <w:pPr>
        <w:adjustRightInd w:val="0"/>
        <w:snapToGrid w:val="0"/>
        <w:spacing w:line="600" w:lineRule="exact"/>
        <w:ind w:firstLine="72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（1）完成数量：</w:t>
      </w:r>
      <w:r>
        <w:rPr>
          <w:rFonts w:hint="eastAsia" w:ascii="仿宋" w:hAnsi="仿宋" w:eastAsia="仿宋" w:cs="仿宋"/>
          <w:sz w:val="32"/>
          <w:szCs w:val="32"/>
          <w:lang w:val="en-US" w:eastAsia="zh-CN"/>
        </w:rPr>
        <w:t>发放艾滋病感染者及病人生活费的人数268—277人/月</w:t>
      </w:r>
      <w:r>
        <w:rPr>
          <w:rFonts w:hint="eastAsia" w:ascii="仿宋" w:hAnsi="仿宋" w:eastAsia="仿宋" w:cs="仿宋"/>
          <w:kern w:val="2"/>
          <w:sz w:val="32"/>
          <w:szCs w:val="32"/>
          <w:lang w:val="en-US" w:eastAsia="zh-CN" w:bidi="ar-SA"/>
        </w:rPr>
        <w:t>；</w:t>
      </w:r>
    </w:p>
    <w:p w14:paraId="7D33ACF9">
      <w:pPr>
        <w:pStyle w:val="5"/>
        <w:ind w:firstLine="64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（2）完成质量：</w:t>
      </w:r>
      <w:r>
        <w:rPr>
          <w:rFonts w:hint="eastAsia" w:ascii="仿宋" w:hAnsi="仿宋" w:eastAsia="仿宋" w:cs="仿宋"/>
          <w:sz w:val="32"/>
          <w:szCs w:val="32"/>
          <w:lang w:val="en-US" w:eastAsia="zh-CN"/>
        </w:rPr>
        <w:t>艾滋病感染者及病人</w:t>
      </w:r>
      <w:r>
        <w:rPr>
          <w:rFonts w:hint="eastAsia" w:ascii="仿宋" w:hAnsi="仿宋" w:eastAsia="仿宋" w:cs="仿宋"/>
          <w:sz w:val="32"/>
          <w:szCs w:val="32"/>
          <w:lang w:val="zh-CN"/>
        </w:rPr>
        <w:t>生存生活质量得到了一定提高</w:t>
      </w:r>
      <w:r>
        <w:rPr>
          <w:rFonts w:hint="eastAsia" w:ascii="仿宋" w:hAnsi="仿宋" w:eastAsia="仿宋" w:cs="仿宋"/>
          <w:kern w:val="2"/>
          <w:sz w:val="32"/>
          <w:szCs w:val="32"/>
          <w:lang w:val="en-US" w:eastAsia="zh-CN" w:bidi="ar-SA"/>
        </w:rPr>
        <w:t>；</w:t>
      </w:r>
    </w:p>
    <w:p w14:paraId="5C9704ED">
      <w:pPr>
        <w:pStyle w:val="5"/>
        <w:ind w:firstLine="64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（3）完成时效：在计划的2023年12月全部完成；</w:t>
      </w:r>
    </w:p>
    <w:p w14:paraId="1DB8BEB1">
      <w:pPr>
        <w:spacing w:line="580" w:lineRule="exact"/>
        <w:ind w:firstLine="640" w:firstLineChars="200"/>
        <w:rPr>
          <w:rFonts w:hint="eastAsia" w:ascii="仿宋" w:hAnsi="仿宋" w:eastAsia="仿宋" w:cs="仿宋"/>
          <w:sz w:val="32"/>
          <w:szCs w:val="32"/>
          <w:lang w:val="zh-CN"/>
        </w:rPr>
      </w:pPr>
      <w:r>
        <w:rPr>
          <w:rFonts w:hint="eastAsia" w:ascii="仿宋" w:hAnsi="仿宋" w:eastAsia="仿宋" w:cs="仿宋"/>
          <w:kern w:val="2"/>
          <w:sz w:val="32"/>
          <w:szCs w:val="32"/>
          <w:lang w:val="en-US" w:eastAsia="zh-CN" w:bidi="ar-SA"/>
        </w:rPr>
        <w:t>（4）完成成本：项目资金65.2万元，全部用于本项目。</w:t>
      </w:r>
    </w:p>
    <w:p w14:paraId="2B44ABA1">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sz w:val="32"/>
          <w:szCs w:val="32"/>
          <w:lang w:val="zh-CN"/>
        </w:rPr>
      </w:pPr>
      <w:r>
        <w:rPr>
          <w:rFonts w:hint="eastAsia" w:ascii="仿宋" w:hAnsi="仿宋" w:eastAsia="仿宋" w:cs="仿宋"/>
          <w:b/>
          <w:sz w:val="32"/>
          <w:szCs w:val="32"/>
          <w:lang w:val="zh-CN"/>
        </w:rPr>
        <w:t>项目效益情况。</w:t>
      </w:r>
    </w:p>
    <w:p w14:paraId="59587352">
      <w:pPr>
        <w:pStyle w:val="5"/>
        <w:numPr>
          <w:ilvl w:val="0"/>
          <w:numId w:val="5"/>
        </w:numPr>
        <w:ind w:firstLine="640"/>
        <w:rPr>
          <w:rFonts w:hint="eastAsia" w:ascii="仿宋" w:hAnsi="仿宋" w:eastAsia="仿宋" w:cs="仿宋"/>
          <w:color w:val="auto"/>
          <w:sz w:val="32"/>
          <w:szCs w:val="32"/>
          <w:lang w:val="zh-CN"/>
        </w:rPr>
      </w:pPr>
      <w:r>
        <w:rPr>
          <w:rFonts w:hint="eastAsia" w:ascii="仿宋" w:hAnsi="仿宋" w:eastAsia="仿宋" w:cs="仿宋"/>
          <w:kern w:val="2"/>
          <w:sz w:val="32"/>
          <w:szCs w:val="32"/>
          <w:lang w:val="en-US" w:eastAsia="zh-CN" w:bidi="ar-SA"/>
        </w:rPr>
        <w:t>社会效益：</w:t>
      </w:r>
      <w:r>
        <w:rPr>
          <w:rFonts w:hint="eastAsia" w:ascii="仿宋" w:hAnsi="仿宋" w:eastAsia="仿宋" w:cs="仿宋"/>
          <w:color w:val="auto"/>
          <w:sz w:val="32"/>
          <w:szCs w:val="32"/>
          <w:lang w:val="zh-CN"/>
        </w:rPr>
        <w:t>病人生产生活和入托入学就医得到了基本保障，从而社会矛盾相对减少；</w:t>
      </w:r>
    </w:p>
    <w:p w14:paraId="50C7761A">
      <w:pPr>
        <w:adjustRightInd w:val="0"/>
        <w:snapToGrid w:val="0"/>
        <w:spacing w:line="600" w:lineRule="exact"/>
        <w:ind w:firstLine="720"/>
        <w:rPr>
          <w:rFonts w:hint="eastAsia" w:ascii="仿宋" w:hAnsi="仿宋" w:eastAsia="仿宋" w:cs="仿宋"/>
          <w:color w:val="auto"/>
          <w:sz w:val="32"/>
          <w:szCs w:val="32"/>
          <w:lang w:val="zh-CN"/>
        </w:rPr>
      </w:pPr>
      <w:r>
        <w:rPr>
          <w:rFonts w:hint="eastAsia" w:ascii="仿宋" w:hAnsi="仿宋" w:eastAsia="仿宋" w:cs="仿宋"/>
          <w:kern w:val="2"/>
          <w:sz w:val="32"/>
          <w:szCs w:val="32"/>
          <w:lang w:val="en-US" w:eastAsia="zh-CN" w:bidi="ar-SA"/>
        </w:rPr>
        <w:t>（2）</w:t>
      </w:r>
      <w:r>
        <w:rPr>
          <w:rFonts w:hint="eastAsia" w:ascii="仿宋" w:hAnsi="仿宋" w:eastAsia="仿宋" w:cs="仿宋"/>
          <w:color w:val="auto"/>
          <w:sz w:val="32"/>
          <w:szCs w:val="32"/>
          <w:lang w:val="zh-CN"/>
        </w:rPr>
        <w:t>可持续影响：艾滋病人纳入管理人数增加，抗病毒治疗覆盖率提高，人均寿命延长；</w:t>
      </w:r>
    </w:p>
    <w:p w14:paraId="5386AB05">
      <w:pPr>
        <w:pStyle w:val="5"/>
        <w:ind w:firstLine="640" w:firstLineChars="200"/>
        <w:rPr>
          <w:rFonts w:hint="eastAsia" w:ascii="仿宋" w:hAnsi="仿宋" w:eastAsia="仿宋" w:cs="仿宋"/>
          <w:sz w:val="32"/>
          <w:szCs w:val="32"/>
          <w:lang w:val="zh-CN"/>
        </w:rPr>
      </w:pPr>
      <w:r>
        <w:rPr>
          <w:rFonts w:hint="eastAsia" w:ascii="仿宋" w:hAnsi="仿宋" w:eastAsia="仿宋" w:cs="仿宋"/>
          <w:kern w:val="2"/>
          <w:sz w:val="32"/>
          <w:szCs w:val="32"/>
          <w:lang w:val="en-US" w:eastAsia="zh-CN" w:bidi="ar-SA"/>
        </w:rPr>
        <w:t>（3）服务对象满意度：</w:t>
      </w:r>
      <w:r>
        <w:rPr>
          <w:rFonts w:hint="eastAsia" w:ascii="仿宋" w:hAnsi="仿宋" w:eastAsia="仿宋" w:cs="仿宋"/>
          <w:color w:val="auto"/>
          <w:sz w:val="32"/>
          <w:szCs w:val="32"/>
          <w:lang w:val="zh-CN"/>
        </w:rPr>
        <w:t>病人满意度提高</w:t>
      </w:r>
      <w:r>
        <w:rPr>
          <w:rFonts w:hint="eastAsia" w:ascii="仿宋" w:hAnsi="仿宋" w:eastAsia="仿宋" w:cs="仿宋"/>
          <w:kern w:val="2"/>
          <w:sz w:val="32"/>
          <w:szCs w:val="32"/>
          <w:lang w:val="en-US" w:eastAsia="zh-CN" w:bidi="ar-SA"/>
        </w:rPr>
        <w:t>。</w:t>
      </w:r>
    </w:p>
    <w:p w14:paraId="277DF00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outlineLvl w:val="1"/>
        <w:rPr>
          <w:rFonts w:hint="eastAsia" w:ascii="仿宋" w:hAnsi="仿宋" w:eastAsia="仿宋" w:cs="仿宋"/>
          <w:sz w:val="32"/>
          <w:szCs w:val="32"/>
        </w:rPr>
      </w:pPr>
      <w:bookmarkStart w:id="86" w:name="_Toc8764"/>
      <w:r>
        <w:rPr>
          <w:rFonts w:hint="eastAsia" w:ascii="仿宋" w:hAnsi="仿宋" w:eastAsia="仿宋" w:cs="仿宋"/>
          <w:sz w:val="32"/>
          <w:szCs w:val="32"/>
        </w:rPr>
        <w:t>四、问题及建议</w:t>
      </w:r>
      <w:bookmarkEnd w:id="86"/>
    </w:p>
    <w:p w14:paraId="06BA96C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0CBA6C18">
      <w:pPr>
        <w:adjustRightInd w:val="0"/>
        <w:snapToGrid w:val="0"/>
        <w:spacing w:line="600" w:lineRule="exact"/>
        <w:ind w:firstLine="1040" w:firstLineChars="325"/>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无。</w:t>
      </w:r>
    </w:p>
    <w:p w14:paraId="1ABC3D5A">
      <w:pPr>
        <w:keepNext w:val="0"/>
        <w:keepLines w:val="0"/>
        <w:pageBreakBefore w:val="0"/>
        <w:widowControl w:val="0"/>
        <w:numPr>
          <w:ilvl w:val="0"/>
          <w:numId w:val="6"/>
        </w:numPr>
        <w:kinsoku/>
        <w:wordWrap/>
        <w:overflowPunct/>
        <w:topLinePunct w:val="0"/>
        <w:autoSpaceDE/>
        <w:autoSpaceDN/>
        <w:bidi w:val="0"/>
        <w:adjustRightInd w:val="0"/>
        <w:snapToGrid w:val="0"/>
        <w:spacing w:line="560" w:lineRule="exact"/>
        <w:ind w:left="0" w:leftChars="0" w:firstLine="720" w:firstLineChars="0"/>
        <w:textAlignment w:val="auto"/>
        <w:rPr>
          <w:rFonts w:hint="eastAsia" w:ascii="仿宋" w:hAnsi="仿宋" w:eastAsia="仿宋" w:cs="仿宋"/>
          <w:b/>
          <w:sz w:val="32"/>
          <w:szCs w:val="32"/>
          <w:lang w:val="zh-CN"/>
        </w:rPr>
      </w:pPr>
      <w:r>
        <w:rPr>
          <w:rFonts w:hint="eastAsia" w:ascii="仿宋" w:hAnsi="仿宋" w:eastAsia="仿宋" w:cs="仿宋"/>
          <w:b/>
          <w:sz w:val="32"/>
          <w:szCs w:val="32"/>
          <w:lang w:val="zh-CN"/>
        </w:rPr>
        <w:t>相关建议。</w:t>
      </w:r>
    </w:p>
    <w:p w14:paraId="3CB8C759">
      <w:pPr>
        <w:ind w:left="0" w:leftChars="0" w:firstLine="1059" w:firstLineChars="331"/>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无。</w:t>
      </w:r>
    </w:p>
    <w:p w14:paraId="4E58B5C6">
      <w:pPr>
        <w:ind w:left="0" w:leftChars="0" w:firstLine="640" w:firstLineChars="200"/>
        <w:rPr>
          <w:rFonts w:hint="eastAsia" w:eastAsia="仿宋_GB2312"/>
          <w:sz w:val="32"/>
          <w:szCs w:val="32"/>
          <w:lang w:val="zh-CN"/>
        </w:rPr>
      </w:pPr>
    </w:p>
    <w:p w14:paraId="7B860BDF">
      <w:pPr>
        <w:ind w:left="0" w:leftChars="0" w:firstLine="640" w:firstLineChars="200"/>
        <w:rPr>
          <w:rFonts w:hint="eastAsia" w:eastAsia="仿宋_GB2312"/>
          <w:sz w:val="32"/>
          <w:szCs w:val="32"/>
          <w:lang w:val="zh-CN"/>
        </w:rPr>
      </w:pPr>
    </w:p>
    <w:p w14:paraId="6CA19C2E">
      <w:pPr>
        <w:pStyle w:val="35"/>
        <w:spacing w:line="600" w:lineRule="exact"/>
        <w:jc w:val="center"/>
        <w:outlineLvl w:val="1"/>
        <w:rPr>
          <w:rFonts w:hint="eastAsia" w:ascii="方正小标宋简体" w:hAnsi="宋体" w:eastAsia="方正小标宋简体" w:cs="Times New Roman"/>
          <w:sz w:val="44"/>
          <w:szCs w:val="44"/>
          <w:lang w:eastAsia="zh-CN"/>
        </w:rPr>
      </w:pPr>
      <w:bookmarkStart w:id="87" w:name="_Toc27704"/>
    </w:p>
    <w:p w14:paraId="03270ECC">
      <w:pPr>
        <w:pStyle w:val="35"/>
        <w:spacing w:line="600" w:lineRule="exact"/>
        <w:jc w:val="center"/>
        <w:outlineLvl w:val="1"/>
        <w:rPr>
          <w:rFonts w:hint="eastAsia" w:ascii="方正小标宋简体" w:hAnsi="宋体" w:eastAsia="方正小标宋简体" w:cs="Times New Roman"/>
          <w:sz w:val="44"/>
          <w:szCs w:val="44"/>
          <w:lang w:eastAsia="zh-CN"/>
        </w:rPr>
      </w:pPr>
    </w:p>
    <w:p w14:paraId="4DCA1352">
      <w:pPr>
        <w:pStyle w:val="35"/>
        <w:spacing w:line="600" w:lineRule="exact"/>
        <w:jc w:val="center"/>
        <w:outlineLvl w:val="1"/>
        <w:rPr>
          <w:rFonts w:hint="eastAsia" w:ascii="方正小标宋简体" w:hAnsi="宋体" w:eastAsia="方正小标宋简体" w:cs="Times New Roman"/>
          <w:sz w:val="44"/>
          <w:szCs w:val="44"/>
          <w:lang w:eastAsia="zh-CN"/>
        </w:rPr>
      </w:pPr>
    </w:p>
    <w:p w14:paraId="11A3C047">
      <w:pPr>
        <w:pStyle w:val="35"/>
        <w:spacing w:line="600" w:lineRule="exact"/>
        <w:jc w:val="center"/>
        <w:outlineLvl w:val="1"/>
        <w:rPr>
          <w:rFonts w:hint="eastAsia" w:ascii="方正小标宋简体" w:hAnsi="宋体" w:eastAsia="方正小标宋简体" w:cs="Times New Roman"/>
          <w:sz w:val="44"/>
          <w:szCs w:val="44"/>
          <w:lang w:eastAsia="zh-CN"/>
        </w:rPr>
      </w:pPr>
    </w:p>
    <w:p w14:paraId="7433840D">
      <w:pPr>
        <w:pStyle w:val="35"/>
        <w:spacing w:line="600" w:lineRule="exact"/>
        <w:jc w:val="center"/>
        <w:outlineLvl w:val="1"/>
        <w:rPr>
          <w:rFonts w:hint="eastAsia" w:ascii="方正小标宋简体" w:hAnsi="宋体" w:eastAsia="方正小标宋简体" w:cs="Times New Roman"/>
          <w:sz w:val="44"/>
          <w:szCs w:val="44"/>
          <w:lang w:eastAsia="zh-CN"/>
        </w:rPr>
      </w:pPr>
    </w:p>
    <w:p w14:paraId="4F9C46F8">
      <w:pPr>
        <w:pStyle w:val="35"/>
        <w:spacing w:line="600" w:lineRule="exact"/>
        <w:jc w:val="center"/>
        <w:outlineLvl w:val="1"/>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爱国卫生专项项目</w:t>
      </w:r>
      <w:bookmarkEnd w:id="87"/>
    </w:p>
    <w:p w14:paraId="0299C926">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支出绩效自评报告</w:t>
      </w:r>
    </w:p>
    <w:p w14:paraId="0D6CB001">
      <w:pPr>
        <w:pStyle w:val="35"/>
        <w:spacing w:line="600" w:lineRule="exact"/>
        <w:ind w:firstLine="640"/>
        <w:jc w:val="center"/>
        <w:rPr>
          <w:rFonts w:ascii="宋体" w:hAnsi="宋体"/>
          <w:color w:val="auto"/>
          <w:kern w:val="2"/>
          <w:sz w:val="32"/>
          <w:szCs w:val="32"/>
        </w:rPr>
      </w:pPr>
    </w:p>
    <w:p w14:paraId="1E2D7F9D">
      <w:pPr>
        <w:adjustRightInd w:val="0"/>
        <w:snapToGrid w:val="0"/>
        <w:spacing w:line="600" w:lineRule="exact"/>
        <w:ind w:firstLine="720"/>
        <w:outlineLvl w:val="1"/>
        <w:rPr>
          <w:rFonts w:hint="eastAsia" w:ascii="仿宋" w:hAnsi="仿宋" w:eastAsia="仿宋" w:cs="仿宋"/>
          <w:b/>
          <w:bCs/>
          <w:sz w:val="32"/>
          <w:szCs w:val="32"/>
          <w:lang w:val="zh-CN"/>
        </w:rPr>
      </w:pPr>
      <w:bookmarkStart w:id="88" w:name="_Toc7058"/>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88"/>
    </w:p>
    <w:p w14:paraId="790CE77F">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（一）项目基本情况。</w:t>
      </w:r>
    </w:p>
    <w:p w14:paraId="560E0AE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w:t>
      </w:r>
      <w:r>
        <w:rPr>
          <w:rFonts w:hint="eastAsia" w:ascii="仿宋" w:hAnsi="仿宋" w:eastAsia="仿宋" w:cs="仿宋"/>
          <w:sz w:val="32"/>
          <w:szCs w:val="32"/>
        </w:rPr>
        <w:t>病媒生物（四害）携带多种病原体，传播多种疾病，与传染病的发生流行关系密切。四害的生长繁殖情况反映了一个地区文明卫生状况和管理水平。</w:t>
      </w:r>
      <w:r>
        <w:rPr>
          <w:rFonts w:hint="eastAsia" w:ascii="仿宋" w:hAnsi="仿宋" w:eastAsia="仿宋" w:cs="仿宋"/>
          <w:sz w:val="32"/>
          <w:szCs w:val="32"/>
          <w:lang w:val="zh-CN"/>
        </w:rPr>
        <w:t>爱卫办承担全县病媒生物防制的职能，通过国家卫生县城验收。</w:t>
      </w:r>
    </w:p>
    <w:p w14:paraId="0A259A99">
      <w:pPr>
        <w:tabs>
          <w:tab w:val="left" w:pos="3160"/>
        </w:tabs>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zh-CN"/>
        </w:rPr>
        <w:t>2．</w:t>
      </w:r>
      <w:r>
        <w:rPr>
          <w:rFonts w:hint="eastAsia" w:ascii="仿宋" w:hAnsi="仿宋" w:eastAsia="仿宋" w:cs="仿宋"/>
          <w:sz w:val="32"/>
          <w:szCs w:val="32"/>
        </w:rPr>
        <w:t>达到了国家卫生县城标准，四害传播疾病在我县得到控制，连续多年无鼠疫发生，无传染病暴发流行，有效地保护人民群众的身体健康，改善投资环境、生活环境，为全县经济建设和人民安居乐业做出贡献。</w:t>
      </w:r>
    </w:p>
    <w:p w14:paraId="01BDFB39">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3．该项目县级财政下发83.54万元补助资金</w:t>
      </w:r>
    </w:p>
    <w:p w14:paraId="02F86881">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417FCAF7">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1．完成除四害药物投放，创建国家卫生县城</w:t>
      </w:r>
    </w:p>
    <w:p w14:paraId="4ADEE6DB">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2．补助金额：83.54万元</w:t>
      </w:r>
    </w:p>
    <w:p w14:paraId="6B78400F">
      <w:p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sz w:val="32"/>
          <w:szCs w:val="32"/>
          <w:lang w:val="zh-CN"/>
        </w:rPr>
        <w:t>3．</w:t>
      </w:r>
      <w:r>
        <w:rPr>
          <w:rFonts w:hint="eastAsia" w:ascii="仿宋" w:hAnsi="仿宋" w:eastAsia="仿宋" w:cs="仿宋"/>
          <w:sz w:val="32"/>
          <w:szCs w:val="32"/>
        </w:rPr>
        <w:t>群众满意度指标：提高了群众满意度。</w:t>
      </w:r>
    </w:p>
    <w:p w14:paraId="12AFF26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（三）项目自评步骤及方法。</w:t>
      </w:r>
    </w:p>
    <w:p w14:paraId="60837CA4">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该项目绩效自评主要采用实地查看，最终通过国家卫生县城的验收进行评估。</w:t>
      </w:r>
    </w:p>
    <w:p w14:paraId="1763F097">
      <w:pPr>
        <w:adjustRightInd w:val="0"/>
        <w:snapToGrid w:val="0"/>
        <w:spacing w:line="600" w:lineRule="exact"/>
        <w:ind w:firstLine="720"/>
        <w:outlineLvl w:val="1"/>
        <w:rPr>
          <w:rFonts w:hint="eastAsia" w:ascii="仿宋" w:hAnsi="仿宋" w:eastAsia="仿宋" w:cs="仿宋"/>
          <w:sz w:val="32"/>
          <w:szCs w:val="32"/>
        </w:rPr>
      </w:pPr>
      <w:bookmarkStart w:id="89" w:name="_Toc10249"/>
      <w:r>
        <w:rPr>
          <w:rFonts w:hint="eastAsia" w:ascii="仿宋" w:hAnsi="仿宋" w:eastAsia="仿宋" w:cs="仿宋"/>
          <w:sz w:val="32"/>
          <w:szCs w:val="32"/>
        </w:rPr>
        <w:t>二、项目资金申报及使用情况</w:t>
      </w:r>
      <w:bookmarkEnd w:id="89"/>
    </w:p>
    <w:p w14:paraId="213CB756">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51F7FE7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已经按照程序进行申报并拨付到位83.54万补助资金。</w:t>
      </w:r>
    </w:p>
    <w:p w14:paraId="10057B49">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（二）资金计划、到位及使用情况。</w:t>
      </w:r>
    </w:p>
    <w:p w14:paraId="4D95B8F2">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1．资金计划。财政安排83.54万补助资金</w:t>
      </w:r>
    </w:p>
    <w:p w14:paraId="2150AA2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2．资金到位。财政安排83.54万补助资金已拨付到位</w:t>
      </w:r>
    </w:p>
    <w:p w14:paraId="47F3BC9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3．资金使用。主要使用在</w:t>
      </w:r>
      <w:r>
        <w:rPr>
          <w:rFonts w:hint="eastAsia" w:ascii="仿宋" w:hAnsi="仿宋" w:eastAsia="仿宋" w:cs="仿宋"/>
          <w:sz w:val="32"/>
          <w:szCs w:val="32"/>
        </w:rPr>
        <w:t>宣传品制作、药物的投放，</w:t>
      </w:r>
      <w:r>
        <w:rPr>
          <w:rFonts w:hint="eastAsia" w:ascii="仿宋" w:hAnsi="仿宋" w:eastAsia="仿宋" w:cs="仿宋"/>
          <w:sz w:val="32"/>
          <w:szCs w:val="32"/>
          <w:lang w:eastAsia="zh-CN"/>
        </w:rPr>
        <w:t>其他</w:t>
      </w:r>
      <w:r>
        <w:rPr>
          <w:rFonts w:hint="eastAsia" w:ascii="仿宋" w:hAnsi="仿宋" w:eastAsia="仿宋" w:cs="仿宋"/>
          <w:sz w:val="32"/>
          <w:szCs w:val="32"/>
        </w:rPr>
        <w:t>创卫相关工作的办公费使用。</w:t>
      </w:r>
    </w:p>
    <w:p w14:paraId="7709BE55">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（三）项目财务管理情况。</w:t>
      </w:r>
    </w:p>
    <w:p w14:paraId="0DD861C7">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该项目严格按照财务管理的程序进行申报、拨付。项目严格执行财务管理制度、财务处理及时、会计核算规范。</w:t>
      </w:r>
    </w:p>
    <w:p w14:paraId="1475C0D3">
      <w:pPr>
        <w:adjustRightInd w:val="0"/>
        <w:snapToGrid w:val="0"/>
        <w:spacing w:line="600" w:lineRule="exact"/>
        <w:ind w:firstLine="720"/>
        <w:outlineLvl w:val="1"/>
        <w:rPr>
          <w:rFonts w:hint="eastAsia" w:ascii="仿宋" w:hAnsi="仿宋" w:eastAsia="仿宋" w:cs="仿宋"/>
          <w:sz w:val="32"/>
          <w:szCs w:val="32"/>
        </w:rPr>
      </w:pPr>
      <w:bookmarkStart w:id="90" w:name="_Toc11199"/>
      <w:r>
        <w:rPr>
          <w:rFonts w:hint="eastAsia" w:ascii="仿宋" w:hAnsi="仿宋" w:eastAsia="仿宋" w:cs="仿宋"/>
          <w:sz w:val="32"/>
          <w:szCs w:val="32"/>
        </w:rPr>
        <w:t>三、项目实施及管理情况</w:t>
      </w:r>
      <w:bookmarkEnd w:id="90"/>
    </w:p>
    <w:p w14:paraId="67E95C5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（一）项目组织架构及实施流程。</w:t>
      </w:r>
    </w:p>
    <w:p w14:paraId="0E6C375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项目组织有序，实施流程规范。</w:t>
      </w:r>
    </w:p>
    <w:p w14:paraId="529D5996">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（二）项目管理情况。</w:t>
      </w:r>
    </w:p>
    <w:p w14:paraId="618CC2D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项目经费由县创卫办公室具体审核支出。</w:t>
      </w:r>
    </w:p>
    <w:p w14:paraId="6B91C66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（三）项目监管情况。</w:t>
      </w:r>
    </w:p>
    <w:p w14:paraId="2A9E4A0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县卫健局定期对项目的实施情况进行督查。</w:t>
      </w:r>
    </w:p>
    <w:p w14:paraId="30EA75AB">
      <w:pPr>
        <w:adjustRightInd w:val="0"/>
        <w:snapToGrid w:val="0"/>
        <w:spacing w:line="600" w:lineRule="exact"/>
        <w:ind w:firstLine="720"/>
        <w:outlineLvl w:val="1"/>
        <w:rPr>
          <w:rFonts w:hint="eastAsia" w:ascii="仿宋" w:hAnsi="仿宋" w:eastAsia="仿宋" w:cs="仿宋"/>
          <w:sz w:val="32"/>
          <w:szCs w:val="32"/>
          <w:lang w:val="zh-CN"/>
        </w:rPr>
      </w:pPr>
      <w:bookmarkStart w:id="91" w:name="_Toc31545"/>
      <w:r>
        <w:rPr>
          <w:rFonts w:hint="eastAsia" w:ascii="仿宋" w:hAnsi="仿宋" w:eastAsia="仿宋" w:cs="仿宋"/>
          <w:sz w:val="32"/>
          <w:szCs w:val="32"/>
        </w:rPr>
        <w:t>四、项目绩效情况</w:t>
      </w:r>
      <w:bookmarkEnd w:id="91"/>
      <w:r>
        <w:rPr>
          <w:rFonts w:hint="eastAsia" w:ascii="仿宋" w:hAnsi="仿宋" w:eastAsia="仿宋" w:cs="仿宋"/>
          <w:sz w:val="32"/>
          <w:szCs w:val="32"/>
          <w:lang w:val="zh-CN"/>
        </w:rPr>
        <w:tab/>
      </w:r>
    </w:p>
    <w:p w14:paraId="2678634D">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496F0BE0">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完成除四害药物投放，通过国家卫生城市的验收，完成率100%。</w:t>
      </w:r>
    </w:p>
    <w:p w14:paraId="216C65F6">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4FF9B52C">
      <w:pPr>
        <w:tabs>
          <w:tab w:val="left" w:pos="3160"/>
        </w:tabs>
        <w:spacing w:line="560" w:lineRule="exact"/>
        <w:ind w:firstLine="640" w:firstLineChars="200"/>
        <w:jc w:val="left"/>
        <w:rPr>
          <w:rFonts w:hint="eastAsia" w:ascii="仿宋" w:hAnsi="仿宋" w:eastAsia="仿宋" w:cs="仿宋"/>
          <w:sz w:val="32"/>
          <w:szCs w:val="32"/>
          <w:lang w:val="zh-CN"/>
        </w:rPr>
      </w:pPr>
      <w:r>
        <w:rPr>
          <w:rFonts w:hint="eastAsia" w:ascii="仿宋" w:hAnsi="仿宋" w:eastAsia="仿宋" w:cs="仿宋"/>
          <w:sz w:val="32"/>
          <w:szCs w:val="32"/>
        </w:rPr>
        <w:t>达到了国家卫生县城标准，四害传播疾病在我县得到控制，连续多年无鼠疫发生，无传染病暴发流行，有效地保护了人民群众的身体健康，改善了投资环境、生活环境，为全县经济建设和人民安居乐业做出了贡献。</w:t>
      </w:r>
    </w:p>
    <w:p w14:paraId="6220161E">
      <w:pPr>
        <w:adjustRightInd w:val="0"/>
        <w:snapToGrid w:val="0"/>
        <w:spacing w:line="600" w:lineRule="exact"/>
        <w:ind w:firstLine="720"/>
        <w:outlineLvl w:val="1"/>
        <w:rPr>
          <w:rFonts w:hint="eastAsia" w:ascii="仿宋" w:hAnsi="仿宋" w:eastAsia="仿宋" w:cs="仿宋"/>
          <w:sz w:val="32"/>
          <w:szCs w:val="32"/>
        </w:rPr>
      </w:pPr>
      <w:bookmarkStart w:id="92" w:name="_Toc15150"/>
      <w:r>
        <w:rPr>
          <w:rFonts w:hint="eastAsia" w:ascii="仿宋" w:hAnsi="仿宋" w:eastAsia="仿宋" w:cs="仿宋"/>
          <w:sz w:val="32"/>
          <w:szCs w:val="32"/>
        </w:rPr>
        <w:t>五、评价结论及建议</w:t>
      </w:r>
      <w:bookmarkEnd w:id="92"/>
    </w:p>
    <w:p w14:paraId="4D9A0E5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（一）评价结论。</w:t>
      </w:r>
    </w:p>
    <w:p w14:paraId="226E6CA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该项目具有很好的及时性和社会性，对全县卫生环境的提高起到了重要作用。</w:t>
      </w:r>
    </w:p>
    <w:p w14:paraId="7F428919">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（二）存在的问题。</w:t>
      </w:r>
    </w:p>
    <w:p w14:paraId="4A1DD1F4">
      <w:pPr>
        <w:adjustRightInd w:val="0"/>
        <w:snapToGrid w:val="0"/>
        <w:spacing w:line="60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p>
    <w:p w14:paraId="7436054B">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（三）相关建议。</w:t>
      </w:r>
    </w:p>
    <w:p w14:paraId="11392DF9">
      <w:pPr>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无。</w:t>
      </w:r>
    </w:p>
    <w:p w14:paraId="483E4F86">
      <w:pPr>
        <w:ind w:left="0" w:leftChars="0" w:firstLine="640" w:firstLineChars="200"/>
        <w:rPr>
          <w:rFonts w:hint="eastAsia" w:eastAsia="仿宋_GB2312"/>
          <w:sz w:val="32"/>
          <w:szCs w:val="32"/>
          <w:lang w:val="zh-CN"/>
        </w:rPr>
      </w:pPr>
    </w:p>
    <w:p w14:paraId="1896D35F">
      <w:pPr>
        <w:ind w:left="0" w:leftChars="0" w:firstLine="640" w:firstLineChars="200"/>
        <w:rPr>
          <w:rFonts w:hint="eastAsia" w:eastAsia="仿宋_GB2312"/>
          <w:sz w:val="32"/>
          <w:szCs w:val="32"/>
          <w:lang w:val="zh-CN"/>
        </w:rPr>
      </w:pPr>
    </w:p>
    <w:p w14:paraId="7DCB95EA">
      <w:pPr>
        <w:ind w:left="0" w:leftChars="0" w:firstLine="640" w:firstLineChars="200"/>
        <w:rPr>
          <w:rFonts w:hint="eastAsia" w:eastAsia="仿宋_GB2312"/>
          <w:sz w:val="32"/>
          <w:szCs w:val="32"/>
          <w:lang w:val="zh-CN"/>
        </w:rPr>
      </w:pPr>
    </w:p>
    <w:p w14:paraId="1D9432D3">
      <w:pPr>
        <w:pStyle w:val="35"/>
        <w:spacing w:line="600" w:lineRule="exact"/>
        <w:jc w:val="center"/>
        <w:rPr>
          <w:rFonts w:hint="eastAsia" w:ascii="方正小标宋简体" w:hAnsi="宋体" w:eastAsia="方正小标宋简体" w:cs="Times New Roman"/>
          <w:sz w:val="44"/>
          <w:szCs w:val="44"/>
          <w:lang w:eastAsia="zh-CN"/>
        </w:rPr>
      </w:pPr>
    </w:p>
    <w:p w14:paraId="136DA313">
      <w:pPr>
        <w:pStyle w:val="35"/>
        <w:spacing w:line="600" w:lineRule="exact"/>
        <w:jc w:val="center"/>
        <w:rPr>
          <w:rFonts w:hint="eastAsia" w:ascii="方正小标宋简体" w:hAnsi="宋体" w:eastAsia="方正小标宋简体" w:cs="Times New Roman"/>
          <w:sz w:val="44"/>
          <w:szCs w:val="44"/>
          <w:lang w:eastAsia="zh-CN"/>
        </w:rPr>
      </w:pPr>
    </w:p>
    <w:p w14:paraId="56D4304B">
      <w:pPr>
        <w:pStyle w:val="35"/>
        <w:spacing w:line="600" w:lineRule="exact"/>
        <w:jc w:val="center"/>
        <w:rPr>
          <w:rFonts w:hint="eastAsia" w:ascii="方正小标宋简体" w:hAnsi="宋体" w:eastAsia="方正小标宋简体" w:cs="Times New Roman"/>
          <w:sz w:val="44"/>
          <w:szCs w:val="44"/>
          <w:lang w:eastAsia="zh-CN"/>
        </w:rPr>
      </w:pPr>
    </w:p>
    <w:p w14:paraId="7A8BB488">
      <w:pPr>
        <w:pStyle w:val="35"/>
        <w:spacing w:line="600" w:lineRule="exact"/>
        <w:jc w:val="center"/>
        <w:rPr>
          <w:rFonts w:hint="eastAsia" w:ascii="方正小标宋简体" w:hAnsi="宋体" w:eastAsia="方正小标宋简体" w:cs="Times New Roman"/>
          <w:sz w:val="44"/>
          <w:szCs w:val="44"/>
          <w:lang w:eastAsia="zh-CN"/>
        </w:rPr>
      </w:pPr>
    </w:p>
    <w:p w14:paraId="5F896365">
      <w:pPr>
        <w:pStyle w:val="35"/>
        <w:spacing w:line="600" w:lineRule="exact"/>
        <w:jc w:val="center"/>
        <w:rPr>
          <w:rFonts w:hint="eastAsia" w:ascii="方正小标宋简体" w:hAnsi="宋体" w:eastAsia="方正小标宋简体" w:cs="Times New Roman"/>
          <w:sz w:val="44"/>
          <w:szCs w:val="44"/>
          <w:lang w:eastAsia="zh-CN"/>
        </w:rPr>
      </w:pPr>
    </w:p>
    <w:p w14:paraId="31073A46">
      <w:pPr>
        <w:pStyle w:val="35"/>
        <w:spacing w:line="600" w:lineRule="exact"/>
        <w:jc w:val="center"/>
        <w:rPr>
          <w:rFonts w:hint="eastAsia" w:ascii="方正小标宋简体" w:hAnsi="宋体" w:eastAsia="方正小标宋简体" w:cs="Times New Roman"/>
          <w:sz w:val="44"/>
          <w:szCs w:val="44"/>
          <w:lang w:eastAsia="zh-CN"/>
        </w:rPr>
      </w:pPr>
    </w:p>
    <w:p w14:paraId="1A54B42F">
      <w:pPr>
        <w:pStyle w:val="35"/>
        <w:spacing w:line="600" w:lineRule="exact"/>
        <w:jc w:val="center"/>
        <w:rPr>
          <w:rFonts w:hint="eastAsia" w:ascii="方正小标宋简体" w:hAnsi="宋体" w:eastAsia="方正小标宋简体" w:cs="Times New Roman"/>
          <w:sz w:val="44"/>
          <w:szCs w:val="44"/>
          <w:lang w:eastAsia="zh-CN"/>
        </w:rPr>
      </w:pPr>
    </w:p>
    <w:p w14:paraId="76269F4C">
      <w:pPr>
        <w:pStyle w:val="35"/>
        <w:spacing w:line="600" w:lineRule="exact"/>
        <w:jc w:val="center"/>
        <w:rPr>
          <w:rFonts w:hint="eastAsia" w:ascii="方正小标宋简体" w:hAnsi="宋体" w:eastAsia="方正小标宋简体" w:cs="Times New Roman"/>
          <w:sz w:val="44"/>
          <w:szCs w:val="44"/>
          <w:lang w:eastAsia="zh-CN"/>
        </w:rPr>
      </w:pPr>
    </w:p>
    <w:p w14:paraId="0BEE3AE9">
      <w:pPr>
        <w:pStyle w:val="35"/>
        <w:spacing w:line="600" w:lineRule="exact"/>
        <w:jc w:val="center"/>
        <w:rPr>
          <w:rFonts w:hint="eastAsia" w:ascii="方正小标宋简体" w:hAnsi="宋体" w:eastAsia="方正小标宋简体" w:cs="Times New Roman"/>
          <w:sz w:val="44"/>
          <w:szCs w:val="44"/>
          <w:lang w:eastAsia="zh-CN"/>
        </w:rPr>
      </w:pPr>
    </w:p>
    <w:p w14:paraId="5B0AE61D">
      <w:pPr>
        <w:pStyle w:val="35"/>
        <w:spacing w:line="600" w:lineRule="exact"/>
        <w:jc w:val="center"/>
        <w:rPr>
          <w:rFonts w:hint="eastAsia" w:ascii="方正小标宋简体" w:hAnsi="宋体" w:eastAsia="方正小标宋简体" w:cs="Times New Roman"/>
          <w:sz w:val="44"/>
          <w:szCs w:val="44"/>
          <w:lang w:eastAsia="zh-CN"/>
        </w:rPr>
      </w:pPr>
    </w:p>
    <w:p w14:paraId="2A0579C3">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2023年东西协作项目</w:t>
      </w:r>
    </w:p>
    <w:p w14:paraId="6DF60C6A">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支出绩效自评报告</w:t>
      </w:r>
    </w:p>
    <w:p w14:paraId="49E2E6F2">
      <w:pPr>
        <w:pStyle w:val="35"/>
        <w:spacing w:line="600" w:lineRule="exact"/>
        <w:ind w:firstLine="640"/>
        <w:jc w:val="center"/>
        <w:rPr>
          <w:rFonts w:ascii="宋体" w:hAnsi="宋体"/>
          <w:color w:val="auto"/>
          <w:kern w:val="2"/>
          <w:sz w:val="32"/>
          <w:szCs w:val="32"/>
        </w:rPr>
      </w:pPr>
    </w:p>
    <w:p w14:paraId="0461A6EB">
      <w:pPr>
        <w:adjustRightInd w:val="0"/>
        <w:snapToGrid w:val="0"/>
        <w:spacing w:line="600" w:lineRule="exact"/>
        <w:ind w:firstLine="720"/>
        <w:outlineLvl w:val="1"/>
        <w:rPr>
          <w:rFonts w:hint="eastAsia" w:ascii="仿宋" w:hAnsi="仿宋" w:eastAsia="仿宋" w:cs="仿宋"/>
          <w:b/>
          <w:bCs/>
          <w:sz w:val="32"/>
          <w:szCs w:val="32"/>
          <w:lang w:val="zh-CN"/>
        </w:rPr>
      </w:pPr>
      <w:bookmarkStart w:id="93" w:name="_Toc30101"/>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93"/>
    </w:p>
    <w:p w14:paraId="7C8917E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（一）项目基本情况。</w:t>
      </w:r>
    </w:p>
    <w:p w14:paraId="71001B3B">
      <w:pPr>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1．</w:t>
      </w:r>
      <w:r>
        <w:rPr>
          <w:rFonts w:hint="eastAsia" w:ascii="仿宋" w:hAnsi="仿宋" w:eastAsia="仿宋" w:cs="仿宋"/>
          <w:sz w:val="32"/>
          <w:szCs w:val="32"/>
        </w:rPr>
        <w:t>为进一步提升医疗综合服务能力，逐步解决医院存在的业务技术短板，更好地为广大患者提供安全、优质、高效、便捷的医疗服务，借助东西部医疗对口帮扶资金，提高医院服务能力。</w:t>
      </w:r>
    </w:p>
    <w:p w14:paraId="0CFB6505">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2．该项目县级财政下发530万补助资金</w:t>
      </w:r>
    </w:p>
    <w:p w14:paraId="2347560A">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0C29DCE">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w:t>
      </w:r>
      <w:r>
        <w:rPr>
          <w:rFonts w:hint="eastAsia" w:ascii="仿宋" w:hAnsi="仿宋" w:eastAsia="仿宋" w:cs="仿宋"/>
          <w:sz w:val="32"/>
          <w:szCs w:val="32"/>
        </w:rPr>
        <w:t>县人民医院新建重症监护室</w:t>
      </w:r>
      <w:r>
        <w:rPr>
          <w:rFonts w:hint="eastAsia" w:ascii="仿宋" w:hAnsi="仿宋" w:eastAsia="仿宋" w:cs="仿宋"/>
          <w:sz w:val="32"/>
          <w:szCs w:val="32"/>
          <w:lang w:eastAsia="zh-CN"/>
        </w:rPr>
        <w:t>（</w:t>
      </w:r>
      <w:r>
        <w:rPr>
          <w:rFonts w:hint="eastAsia" w:ascii="仿宋" w:hAnsi="仿宋" w:eastAsia="仿宋" w:cs="仿宋"/>
          <w:sz w:val="32"/>
          <w:szCs w:val="32"/>
        </w:rPr>
        <w:t>ICU</w:t>
      </w:r>
      <w:r>
        <w:rPr>
          <w:rFonts w:hint="eastAsia" w:ascii="仿宋" w:hAnsi="仿宋" w:eastAsia="仿宋" w:cs="仿宋"/>
          <w:sz w:val="32"/>
          <w:szCs w:val="32"/>
          <w:lang w:eastAsia="zh-CN"/>
        </w:rPr>
        <w:t>）</w:t>
      </w:r>
      <w:r>
        <w:rPr>
          <w:rFonts w:hint="eastAsia" w:ascii="仿宋" w:hAnsi="仿宋" w:eastAsia="仿宋" w:cs="仿宋"/>
          <w:sz w:val="32"/>
          <w:szCs w:val="32"/>
        </w:rPr>
        <w:t>、血透中心能力提升，采购X射线DR一台；县中医院采购彩超一台；配备除颤仪10个。</w:t>
      </w:r>
    </w:p>
    <w:p w14:paraId="6311FE78">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2．补助金额：530万元</w:t>
      </w:r>
    </w:p>
    <w:p w14:paraId="0D696CD1">
      <w:p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sz w:val="32"/>
          <w:szCs w:val="32"/>
          <w:lang w:val="zh-CN"/>
        </w:rPr>
        <w:t>3．</w:t>
      </w:r>
      <w:r>
        <w:rPr>
          <w:rFonts w:hint="eastAsia" w:ascii="仿宋" w:hAnsi="仿宋" w:eastAsia="仿宋" w:cs="仿宋"/>
          <w:sz w:val="32"/>
          <w:szCs w:val="32"/>
        </w:rPr>
        <w:t>患者满意度指标：提高了群众满意度。</w:t>
      </w:r>
    </w:p>
    <w:p w14:paraId="2E6F5105">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（三）项目自评步骤及方法。</w:t>
      </w:r>
    </w:p>
    <w:p w14:paraId="1AB3830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该项目绩效自评主要采用实地查看和通过就医患者访问进行评估。</w:t>
      </w:r>
    </w:p>
    <w:p w14:paraId="6284C465">
      <w:pPr>
        <w:adjustRightInd w:val="0"/>
        <w:snapToGrid w:val="0"/>
        <w:spacing w:line="600" w:lineRule="exact"/>
        <w:ind w:firstLine="720"/>
        <w:outlineLvl w:val="1"/>
        <w:rPr>
          <w:rFonts w:hint="eastAsia" w:ascii="仿宋" w:hAnsi="仿宋" w:eastAsia="仿宋" w:cs="仿宋"/>
          <w:sz w:val="32"/>
          <w:szCs w:val="32"/>
        </w:rPr>
      </w:pPr>
      <w:bookmarkStart w:id="94" w:name="_Toc1848"/>
      <w:r>
        <w:rPr>
          <w:rFonts w:hint="eastAsia" w:ascii="仿宋" w:hAnsi="仿宋" w:eastAsia="仿宋" w:cs="仿宋"/>
          <w:sz w:val="32"/>
          <w:szCs w:val="32"/>
        </w:rPr>
        <w:t>二、项目资金申报及使用情况</w:t>
      </w:r>
      <w:bookmarkEnd w:id="94"/>
    </w:p>
    <w:p w14:paraId="79523606">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5EB0DD9D">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已经按照程序进行申报并拨付到位530万补助资金。</w:t>
      </w:r>
    </w:p>
    <w:p w14:paraId="4970D8E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（二）资金计划、到位及使用情况。</w:t>
      </w:r>
    </w:p>
    <w:p w14:paraId="298635D1">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1．资金计划。财政安排530万补助资金</w:t>
      </w:r>
    </w:p>
    <w:p w14:paraId="0521ABF7">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2．资金到位。财政安排530万补助资金已拨付到位</w:t>
      </w:r>
    </w:p>
    <w:p w14:paraId="255A4BB8">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3．资金使用。</w:t>
      </w:r>
      <w:r>
        <w:rPr>
          <w:rFonts w:hint="eastAsia" w:ascii="仿宋" w:hAnsi="仿宋" w:eastAsia="仿宋" w:cs="仿宋"/>
          <w:sz w:val="32"/>
          <w:szCs w:val="32"/>
        </w:rPr>
        <w:t>已全部完成建设。</w:t>
      </w:r>
    </w:p>
    <w:p w14:paraId="6C1744CB">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（三）项目财务管理情况。</w:t>
      </w:r>
    </w:p>
    <w:p w14:paraId="4AD0AD48">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该项目严格按照财务管理的程序进行申报、拨付。项目严格执行财务管理制度、财务处理及时、会计核算规范。</w:t>
      </w:r>
    </w:p>
    <w:p w14:paraId="6B57F97E">
      <w:pPr>
        <w:adjustRightInd w:val="0"/>
        <w:snapToGrid w:val="0"/>
        <w:spacing w:line="600" w:lineRule="exact"/>
        <w:ind w:firstLine="720"/>
        <w:outlineLvl w:val="1"/>
        <w:rPr>
          <w:rFonts w:hint="eastAsia" w:ascii="仿宋" w:hAnsi="仿宋" w:eastAsia="仿宋" w:cs="仿宋"/>
          <w:sz w:val="32"/>
          <w:szCs w:val="32"/>
        </w:rPr>
      </w:pPr>
      <w:bookmarkStart w:id="95" w:name="_Toc16570"/>
      <w:r>
        <w:rPr>
          <w:rFonts w:hint="eastAsia" w:ascii="仿宋" w:hAnsi="仿宋" w:eastAsia="仿宋" w:cs="仿宋"/>
          <w:sz w:val="32"/>
          <w:szCs w:val="32"/>
        </w:rPr>
        <w:t>三、项目实施及管理情况</w:t>
      </w:r>
      <w:bookmarkEnd w:id="95"/>
    </w:p>
    <w:p w14:paraId="6D8F857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（一）项目组织架构及实施流程。</w:t>
      </w:r>
    </w:p>
    <w:p w14:paraId="75087B87">
      <w:pPr>
        <w:ind w:firstLine="640" w:firstLineChars="200"/>
        <w:rPr>
          <w:rFonts w:hint="eastAsia" w:ascii="仿宋" w:hAnsi="仿宋" w:eastAsia="仿宋" w:cs="仿宋"/>
          <w:sz w:val="32"/>
          <w:szCs w:val="32"/>
        </w:rPr>
      </w:pPr>
      <w:r>
        <w:rPr>
          <w:rFonts w:hint="eastAsia" w:ascii="仿宋" w:hAnsi="仿宋" w:eastAsia="仿宋" w:cs="仿宋"/>
          <w:sz w:val="32"/>
          <w:szCs w:val="32"/>
        </w:rPr>
        <w:t>1、重症监护室新建完成，已于2022年11月投入使用，其中购置专用医疗设备，需要投入资金16.2万元。</w:t>
      </w:r>
    </w:p>
    <w:p w14:paraId="7D24BB26">
      <w:pPr>
        <w:ind w:firstLine="640" w:firstLineChars="200"/>
        <w:rPr>
          <w:rFonts w:hint="eastAsia" w:ascii="仿宋" w:hAnsi="仿宋" w:eastAsia="仿宋" w:cs="仿宋"/>
          <w:sz w:val="32"/>
          <w:szCs w:val="32"/>
        </w:rPr>
      </w:pPr>
      <w:r>
        <w:rPr>
          <w:rFonts w:hint="eastAsia" w:ascii="仿宋" w:hAnsi="仿宋" w:eastAsia="仿宋" w:cs="仿宋"/>
          <w:sz w:val="32"/>
          <w:szCs w:val="32"/>
        </w:rPr>
        <w:t>2、血透中心已购置威高血液透析机4台，威高血液透析滤过机1台，已于2022年10月配备到位并开始使用，需要投入资金83.8万元。</w:t>
      </w:r>
    </w:p>
    <w:p w14:paraId="4F282C4C">
      <w:pPr>
        <w:ind w:firstLine="640" w:firstLineChars="200"/>
        <w:rPr>
          <w:rFonts w:hint="eastAsia" w:ascii="仿宋" w:hAnsi="仿宋" w:eastAsia="仿宋" w:cs="仿宋"/>
          <w:sz w:val="32"/>
          <w:szCs w:val="32"/>
        </w:rPr>
      </w:pPr>
      <w:r>
        <w:rPr>
          <w:rFonts w:hint="eastAsia" w:ascii="仿宋" w:hAnsi="仿宋" w:eastAsia="仿宋" w:cs="仿宋"/>
          <w:sz w:val="32"/>
          <w:szCs w:val="32"/>
        </w:rPr>
        <w:t>3、拟新购数字化多功能动态悬吊X射线摄影系统（DR）一套，预计需投入资金100万元，正在进行前期采购准备。</w:t>
      </w:r>
    </w:p>
    <w:p w14:paraId="0012FDD3">
      <w:pPr>
        <w:ind w:firstLine="640" w:firstLineChars="200"/>
        <w:rPr>
          <w:rFonts w:hint="eastAsia" w:ascii="仿宋" w:hAnsi="仿宋" w:eastAsia="仿宋" w:cs="仿宋"/>
          <w:sz w:val="32"/>
          <w:szCs w:val="32"/>
        </w:rPr>
      </w:pPr>
      <w:r>
        <w:rPr>
          <w:rFonts w:hint="eastAsia" w:ascii="仿宋" w:hAnsi="仿宋" w:eastAsia="仿宋" w:cs="仿宋"/>
          <w:sz w:val="32"/>
          <w:szCs w:val="32"/>
        </w:rPr>
        <w:t>4.采购全功能彩超一台，预计投资280万。</w:t>
      </w:r>
    </w:p>
    <w:p w14:paraId="37B83401">
      <w:pPr>
        <w:rPr>
          <w:rFonts w:hint="eastAsia" w:ascii="仿宋" w:hAnsi="仿宋" w:eastAsia="仿宋" w:cs="仿宋"/>
          <w:sz w:val="32"/>
          <w:szCs w:val="32"/>
        </w:rPr>
      </w:pPr>
      <w:r>
        <w:rPr>
          <w:rFonts w:hint="eastAsia" w:ascii="仿宋" w:hAnsi="仿宋" w:eastAsia="仿宋" w:cs="仿宋"/>
          <w:sz w:val="32"/>
          <w:szCs w:val="32"/>
        </w:rPr>
        <w:t xml:space="preserve">    5.建设10个急救站（黑竹沟镇中心卫生院、大堡镇中心卫生院、大堡中心小学、红旗镇卫生院、新林镇中心卫生院、峨边中学、</w:t>
      </w:r>
      <w:r>
        <w:rPr>
          <w:rFonts w:hint="eastAsia" w:ascii="仿宋" w:hAnsi="仿宋" w:eastAsia="仿宋" w:cs="仿宋"/>
          <w:sz w:val="32"/>
          <w:szCs w:val="32"/>
          <w:lang w:eastAsia="zh-CN"/>
        </w:rPr>
        <w:t>四川省峨边</w:t>
      </w:r>
      <w:r>
        <w:rPr>
          <w:rFonts w:hint="eastAsia" w:ascii="仿宋" w:hAnsi="仿宋" w:eastAsia="仿宋" w:cs="仿宋"/>
          <w:sz w:val="32"/>
          <w:szCs w:val="32"/>
        </w:rPr>
        <w:t>民族中学、沙坪镇中心小学、毛镇中心卫生院、五渡镇中心卫生院），配备除颤仪10个预计投入资金50万。</w:t>
      </w:r>
    </w:p>
    <w:p w14:paraId="0C3CA323">
      <w:pPr>
        <w:rPr>
          <w:rFonts w:hint="eastAsia" w:ascii="仿宋" w:hAnsi="仿宋" w:eastAsia="仿宋" w:cs="仿宋"/>
          <w:sz w:val="32"/>
          <w:szCs w:val="32"/>
        </w:rPr>
      </w:pPr>
      <w:r>
        <w:rPr>
          <w:rFonts w:hint="eastAsia" w:ascii="仿宋" w:hAnsi="仿宋" w:eastAsia="仿宋" w:cs="仿宋"/>
          <w:sz w:val="32"/>
          <w:szCs w:val="32"/>
        </w:rPr>
        <w:t>合计总投入资金：530万。</w:t>
      </w:r>
    </w:p>
    <w:p w14:paraId="54F1929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（二）项目管理情况。</w:t>
      </w:r>
    </w:p>
    <w:p w14:paraId="1389A40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严格按照政府采购流程实施采购。</w:t>
      </w:r>
    </w:p>
    <w:p w14:paraId="21C49D59">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（三）项目监管情况。</w:t>
      </w:r>
    </w:p>
    <w:p w14:paraId="3CBA408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县卫健局定期对项目的实施情况进行督查。</w:t>
      </w:r>
    </w:p>
    <w:p w14:paraId="1620CCA1">
      <w:pPr>
        <w:adjustRightInd w:val="0"/>
        <w:snapToGrid w:val="0"/>
        <w:spacing w:line="600" w:lineRule="exact"/>
        <w:ind w:firstLine="720"/>
        <w:outlineLvl w:val="1"/>
        <w:rPr>
          <w:rFonts w:hint="eastAsia" w:ascii="仿宋" w:hAnsi="仿宋" w:eastAsia="仿宋" w:cs="仿宋"/>
          <w:sz w:val="32"/>
          <w:szCs w:val="32"/>
          <w:lang w:val="zh-CN"/>
        </w:rPr>
      </w:pPr>
      <w:bookmarkStart w:id="96" w:name="_Toc30248"/>
      <w:r>
        <w:rPr>
          <w:rFonts w:hint="eastAsia" w:ascii="仿宋" w:hAnsi="仿宋" w:eastAsia="仿宋" w:cs="仿宋"/>
          <w:sz w:val="32"/>
          <w:szCs w:val="32"/>
        </w:rPr>
        <w:t>四、项目绩效情况</w:t>
      </w:r>
      <w:bookmarkEnd w:id="96"/>
      <w:r>
        <w:rPr>
          <w:rFonts w:hint="eastAsia" w:ascii="仿宋" w:hAnsi="仿宋" w:eastAsia="仿宋" w:cs="仿宋"/>
          <w:sz w:val="32"/>
          <w:szCs w:val="32"/>
          <w:lang w:val="zh-CN"/>
        </w:rPr>
        <w:tab/>
      </w:r>
    </w:p>
    <w:p w14:paraId="1D9AE8F7">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6339AC2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rPr>
        <w:t>县人民医院新建重症监护室</w:t>
      </w:r>
      <w:r>
        <w:rPr>
          <w:rFonts w:hint="eastAsia" w:ascii="仿宋" w:hAnsi="仿宋" w:eastAsia="仿宋" w:cs="仿宋"/>
          <w:sz w:val="32"/>
          <w:szCs w:val="32"/>
          <w:lang w:eastAsia="zh-CN"/>
        </w:rPr>
        <w:t>（</w:t>
      </w:r>
      <w:r>
        <w:rPr>
          <w:rFonts w:hint="eastAsia" w:ascii="仿宋" w:hAnsi="仿宋" w:eastAsia="仿宋" w:cs="仿宋"/>
          <w:sz w:val="32"/>
          <w:szCs w:val="32"/>
        </w:rPr>
        <w:t>ICU</w:t>
      </w:r>
      <w:r>
        <w:rPr>
          <w:rFonts w:hint="eastAsia" w:ascii="仿宋" w:hAnsi="仿宋" w:eastAsia="仿宋" w:cs="仿宋"/>
          <w:sz w:val="32"/>
          <w:szCs w:val="32"/>
          <w:lang w:eastAsia="zh-CN"/>
        </w:rPr>
        <w:t>）</w:t>
      </w:r>
      <w:r>
        <w:rPr>
          <w:rFonts w:hint="eastAsia" w:ascii="仿宋" w:hAnsi="仿宋" w:eastAsia="仿宋" w:cs="仿宋"/>
          <w:sz w:val="32"/>
          <w:szCs w:val="32"/>
        </w:rPr>
        <w:t>、血透中心能力提升，采购X射线DR一台；县中医院采购彩超一台；配备除颤仪10个，</w:t>
      </w:r>
      <w:r>
        <w:rPr>
          <w:rFonts w:hint="eastAsia" w:ascii="仿宋" w:hAnsi="仿宋" w:eastAsia="仿宋" w:cs="仿宋"/>
          <w:sz w:val="32"/>
          <w:szCs w:val="32"/>
          <w:lang w:val="zh-CN"/>
        </w:rPr>
        <w:t>完成率100%。</w:t>
      </w:r>
    </w:p>
    <w:p w14:paraId="3445D956">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6FACA82E">
      <w:pPr>
        <w:ind w:firstLine="640" w:firstLineChars="200"/>
        <w:rPr>
          <w:rFonts w:hint="eastAsia" w:ascii="仿宋" w:hAnsi="仿宋" w:eastAsia="仿宋" w:cs="仿宋"/>
          <w:sz w:val="32"/>
          <w:szCs w:val="32"/>
        </w:rPr>
      </w:pPr>
      <w:r>
        <w:rPr>
          <w:rFonts w:hint="eastAsia" w:ascii="仿宋" w:hAnsi="仿宋" w:eastAsia="仿宋" w:cs="仿宋"/>
          <w:sz w:val="32"/>
          <w:szCs w:val="32"/>
        </w:rPr>
        <w:t>1、重症监护室建成后，在东西部医疗协作专家带领下开展工作，切实培养一支本土的具有急危重症快速救治能力的医护团队。将为峨边、美姑两县和金口河地区急危重症患者提供规范化、个体化诊疗方案和优质医疗服务，提高医疗卫生服务能力和水平，进一步降低急危重症患者转运风险，减轻就医经济负担，在两县一区老百姓取得良好口碑，获得良好社会效益。</w:t>
      </w:r>
    </w:p>
    <w:p w14:paraId="086BBCFF">
      <w:pPr>
        <w:ind w:firstLine="640" w:firstLineChars="200"/>
        <w:rPr>
          <w:rFonts w:hint="eastAsia" w:ascii="仿宋" w:hAnsi="仿宋" w:eastAsia="仿宋" w:cs="仿宋"/>
          <w:sz w:val="32"/>
          <w:szCs w:val="32"/>
        </w:rPr>
      </w:pPr>
      <w:r>
        <w:rPr>
          <w:rFonts w:hint="eastAsia" w:ascii="仿宋" w:hAnsi="仿宋" w:eastAsia="仿宋" w:cs="仿宋"/>
          <w:sz w:val="32"/>
          <w:szCs w:val="32"/>
        </w:rPr>
        <w:t>2、新血透中心扩容建设后将接纳更多尿毒症患者，更多的为峨边、美姑两县及金口河区附近患者进行血液透析治疗，为重症患者特别是中毒病人提供床旁血滤支持，大大提高急危重症抢救能力。同时也为慢性乙肝病人提供血透治疗，集中管理两县一区尿毒症血透病人，最大幅度提高患者满意度，获得良好社会效益。</w:t>
      </w:r>
    </w:p>
    <w:p w14:paraId="5668475D">
      <w:pPr>
        <w:ind w:firstLine="640" w:firstLineChars="200"/>
        <w:rPr>
          <w:rFonts w:hint="eastAsia" w:ascii="仿宋" w:hAnsi="仿宋" w:eastAsia="仿宋" w:cs="仿宋"/>
          <w:sz w:val="32"/>
          <w:szCs w:val="32"/>
        </w:rPr>
      </w:pPr>
      <w:r>
        <w:rPr>
          <w:rFonts w:hint="eastAsia" w:ascii="仿宋" w:hAnsi="仿宋" w:eastAsia="仿宋" w:cs="仿宋"/>
          <w:sz w:val="32"/>
          <w:szCs w:val="32"/>
        </w:rPr>
        <w:t>3、购置数字化多功能动态悬吊X射线摄影系统（DR），可应用于DR摄影、数字透视、数字造影以及可视化精准DR拍片等多种临床X线检查领域，</w:t>
      </w:r>
      <w:r>
        <w:rPr>
          <w:rFonts w:hint="eastAsia" w:ascii="仿宋" w:hAnsi="仿宋" w:eastAsia="仿宋" w:cs="仿宋"/>
          <w:sz w:val="32"/>
          <w:szCs w:val="32"/>
          <w:lang w:val="zh-CN"/>
        </w:rPr>
        <w:t>大大提高医师的工作效率，适用于医院临床各个科室，满足放射科、体检中心、内科、外科 、急诊科、骨科、消化内科等科室的临床各种检查需求，为医师诊断提供精准依据，避免</w:t>
      </w:r>
      <w:r>
        <w:rPr>
          <w:rFonts w:hint="eastAsia" w:ascii="仿宋" w:hAnsi="仿宋" w:eastAsia="仿宋" w:cs="仿宋"/>
          <w:sz w:val="32"/>
          <w:szCs w:val="32"/>
        </w:rPr>
        <w:t>漏诊和误诊，也是DR领域未来的发展方向。</w:t>
      </w:r>
    </w:p>
    <w:p w14:paraId="3E6431EB">
      <w:pPr>
        <w:pStyle w:val="14"/>
        <w:ind w:firstLine="320"/>
        <w:rPr>
          <w:rFonts w:hint="eastAsia" w:ascii="仿宋" w:hAnsi="仿宋" w:eastAsia="仿宋" w:cs="仿宋"/>
          <w:sz w:val="32"/>
          <w:szCs w:val="32"/>
        </w:rPr>
      </w:pPr>
      <w:r>
        <w:rPr>
          <w:rFonts w:hint="eastAsia" w:ascii="仿宋" w:hAnsi="仿宋" w:eastAsia="仿宋" w:cs="仿宋"/>
          <w:sz w:val="32"/>
          <w:szCs w:val="32"/>
        </w:rPr>
        <w:t xml:space="preserve">  4.县中医彩超的配置解决了医院的影像设备落后困境，满足了患者的就医需求。</w:t>
      </w:r>
    </w:p>
    <w:p w14:paraId="6EB1D3C6">
      <w:pPr>
        <w:adjustRightInd w:val="0"/>
        <w:snapToGrid w:val="0"/>
        <w:spacing w:line="600" w:lineRule="exact"/>
        <w:ind w:firstLine="720"/>
        <w:outlineLvl w:val="1"/>
        <w:rPr>
          <w:rFonts w:hint="eastAsia" w:ascii="仿宋" w:hAnsi="仿宋" w:eastAsia="仿宋" w:cs="仿宋"/>
          <w:sz w:val="32"/>
          <w:szCs w:val="32"/>
        </w:rPr>
      </w:pPr>
      <w:bookmarkStart w:id="97" w:name="_Toc26740"/>
      <w:r>
        <w:rPr>
          <w:rFonts w:hint="eastAsia" w:ascii="仿宋" w:hAnsi="仿宋" w:eastAsia="仿宋" w:cs="仿宋"/>
          <w:sz w:val="32"/>
          <w:szCs w:val="32"/>
        </w:rPr>
        <w:t>五、评价结论及建议</w:t>
      </w:r>
      <w:bookmarkEnd w:id="97"/>
    </w:p>
    <w:p w14:paraId="5BB6727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（一）评价结论。</w:t>
      </w:r>
    </w:p>
    <w:p w14:paraId="66341337">
      <w:pPr>
        <w:adjustRightInd w:val="0"/>
        <w:snapToGrid w:val="0"/>
        <w:spacing w:line="600" w:lineRule="exact"/>
        <w:ind w:firstLine="720"/>
        <w:rPr>
          <w:rFonts w:hint="eastAsia" w:ascii="仿宋" w:hAnsi="仿宋" w:eastAsia="仿宋" w:cs="仿宋"/>
          <w:b w:val="0"/>
          <w:bCs/>
          <w:sz w:val="32"/>
          <w:szCs w:val="32"/>
          <w:lang w:val="zh-CN"/>
        </w:rPr>
      </w:pPr>
      <w:r>
        <w:rPr>
          <w:rFonts w:hint="eastAsia" w:ascii="仿宋" w:hAnsi="仿宋" w:eastAsia="仿宋" w:cs="仿宋"/>
          <w:b w:val="0"/>
          <w:bCs/>
          <w:sz w:val="32"/>
          <w:szCs w:val="32"/>
          <w:lang w:val="zh-CN"/>
        </w:rPr>
        <w:t>该项目具有很好的及时性和社会性，能促进医疗机构进一步提高医疗水平，对社会稳定、和谐发展起到一定作用。</w:t>
      </w:r>
    </w:p>
    <w:p w14:paraId="36517DD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（二）存在的问题。</w:t>
      </w:r>
    </w:p>
    <w:p w14:paraId="4A03DCA3">
      <w:pPr>
        <w:adjustRightInd w:val="0"/>
        <w:snapToGrid w:val="0"/>
        <w:spacing w:line="60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r>
        <w:rPr>
          <w:rFonts w:hint="eastAsia" w:ascii="仿宋" w:hAnsi="仿宋" w:eastAsia="仿宋" w:cs="仿宋"/>
          <w:sz w:val="32"/>
          <w:szCs w:val="32"/>
          <w:lang w:val="zh-CN"/>
        </w:rPr>
        <w:tab/>
      </w:r>
    </w:p>
    <w:p w14:paraId="66CD5CB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（三）相关建议。</w:t>
      </w:r>
    </w:p>
    <w:p w14:paraId="65D6D9E1">
      <w:pPr>
        <w:ind w:left="0" w:leftChars="0"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p>
    <w:p w14:paraId="2D842E5F">
      <w:pPr>
        <w:ind w:left="0" w:leftChars="0" w:firstLine="640" w:firstLineChars="200"/>
        <w:rPr>
          <w:rFonts w:hint="eastAsia" w:ascii="仿宋" w:hAnsi="仿宋" w:eastAsia="仿宋" w:cs="仿宋"/>
          <w:sz w:val="32"/>
          <w:szCs w:val="32"/>
          <w:lang w:val="zh-CN"/>
        </w:rPr>
      </w:pPr>
    </w:p>
    <w:p w14:paraId="14BB818B">
      <w:pPr>
        <w:ind w:left="0" w:leftChars="0" w:firstLine="640" w:firstLineChars="200"/>
        <w:rPr>
          <w:rFonts w:hint="eastAsia" w:ascii="仿宋" w:hAnsi="仿宋" w:eastAsia="仿宋" w:cs="仿宋"/>
          <w:sz w:val="32"/>
          <w:szCs w:val="32"/>
          <w:lang w:val="zh-CN"/>
        </w:rPr>
      </w:pPr>
    </w:p>
    <w:p w14:paraId="0A2E37BA">
      <w:pPr>
        <w:ind w:left="0" w:leftChars="0" w:firstLine="640" w:firstLineChars="200"/>
        <w:rPr>
          <w:rFonts w:hint="eastAsia" w:ascii="仿宋" w:hAnsi="仿宋" w:eastAsia="仿宋" w:cs="仿宋"/>
          <w:sz w:val="32"/>
          <w:szCs w:val="32"/>
          <w:lang w:val="zh-CN"/>
        </w:rPr>
      </w:pPr>
    </w:p>
    <w:p w14:paraId="3550895E">
      <w:pPr>
        <w:pStyle w:val="35"/>
        <w:spacing w:line="600" w:lineRule="exact"/>
        <w:jc w:val="center"/>
        <w:rPr>
          <w:rFonts w:hint="eastAsia" w:ascii="方正小标宋简体" w:hAnsi="宋体" w:eastAsia="方正小标宋简体" w:cs="Times New Roman"/>
          <w:sz w:val="44"/>
          <w:szCs w:val="44"/>
          <w:lang w:eastAsia="zh-CN"/>
        </w:rPr>
      </w:pPr>
    </w:p>
    <w:p w14:paraId="22D937E1">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2023年公共卫生补助</w:t>
      </w:r>
    </w:p>
    <w:p w14:paraId="69A5251F">
      <w:pPr>
        <w:pStyle w:val="35"/>
        <w:spacing w:line="600" w:lineRule="exact"/>
        <w:jc w:val="center"/>
        <w:outlineLvl w:val="1"/>
        <w:rPr>
          <w:rFonts w:hint="eastAsia" w:ascii="方正小标宋简体" w:hAnsi="宋体" w:eastAsia="方正小标宋简体" w:cs="Times New Roman"/>
          <w:sz w:val="44"/>
          <w:szCs w:val="44"/>
          <w:lang w:eastAsia="zh-CN"/>
        </w:rPr>
      </w:pPr>
      <w:bookmarkStart w:id="98" w:name="_Toc28798"/>
      <w:r>
        <w:rPr>
          <w:rFonts w:hint="eastAsia" w:ascii="方正小标宋简体" w:hAnsi="宋体" w:eastAsia="方正小标宋简体" w:cs="Times New Roman"/>
          <w:sz w:val="44"/>
          <w:szCs w:val="44"/>
          <w:lang w:eastAsia="zh-CN"/>
        </w:rPr>
        <w:t>项目支出绩效自评报告</w:t>
      </w:r>
      <w:bookmarkEnd w:id="98"/>
    </w:p>
    <w:p w14:paraId="474C8790">
      <w:pPr>
        <w:pStyle w:val="35"/>
        <w:spacing w:line="600" w:lineRule="exact"/>
        <w:ind w:firstLine="640"/>
        <w:jc w:val="center"/>
        <w:rPr>
          <w:rFonts w:ascii="宋体" w:hAnsi="宋体"/>
          <w:color w:val="auto"/>
          <w:kern w:val="2"/>
          <w:sz w:val="32"/>
          <w:szCs w:val="32"/>
        </w:rPr>
      </w:pPr>
    </w:p>
    <w:p w14:paraId="33B4C86F">
      <w:pPr>
        <w:adjustRightInd w:val="0"/>
        <w:snapToGrid w:val="0"/>
        <w:spacing w:line="600" w:lineRule="exact"/>
        <w:ind w:firstLine="720"/>
        <w:outlineLvl w:val="1"/>
        <w:rPr>
          <w:rFonts w:hint="eastAsia" w:ascii="仿宋" w:hAnsi="仿宋" w:eastAsia="仿宋" w:cs="仿宋"/>
          <w:b/>
          <w:bCs/>
          <w:sz w:val="32"/>
          <w:szCs w:val="32"/>
          <w:lang w:val="zh-CN"/>
        </w:rPr>
      </w:pPr>
      <w:bookmarkStart w:id="99" w:name="_Toc14213"/>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99"/>
    </w:p>
    <w:p w14:paraId="75E32801">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（一）项目基本情况。</w:t>
      </w:r>
    </w:p>
    <w:p w14:paraId="21DD6EDB">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20</w:t>
      </w:r>
      <w:r>
        <w:rPr>
          <w:rFonts w:hint="eastAsia" w:ascii="仿宋" w:hAnsi="仿宋" w:eastAsia="仿宋" w:cs="仿宋"/>
          <w:sz w:val="32"/>
          <w:szCs w:val="32"/>
        </w:rPr>
        <w:t>23</w:t>
      </w:r>
      <w:r>
        <w:rPr>
          <w:rFonts w:hint="eastAsia" w:ascii="仿宋" w:hAnsi="仿宋" w:eastAsia="仿宋" w:cs="仿宋"/>
          <w:sz w:val="32"/>
          <w:szCs w:val="32"/>
          <w:lang w:val="zh-CN"/>
        </w:rPr>
        <w:t>年国家基本公共卫生服务包括以下内容：一是根据《国家基本公共卫生服务规范（第三版）》，继续实施12项</w:t>
      </w:r>
      <w:r>
        <w:rPr>
          <w:rFonts w:hint="eastAsia" w:ascii="仿宋" w:hAnsi="仿宋" w:eastAsia="仿宋" w:cs="仿宋"/>
          <w:sz w:val="32"/>
          <w:szCs w:val="32"/>
        </w:rPr>
        <w:t>41类</w:t>
      </w:r>
      <w:r>
        <w:rPr>
          <w:rFonts w:hint="eastAsia" w:ascii="仿宋" w:hAnsi="仿宋" w:eastAsia="仿宋" w:cs="仿宋"/>
          <w:sz w:val="32"/>
          <w:szCs w:val="32"/>
          <w:lang w:val="zh-CN"/>
        </w:rPr>
        <w:t>基本公共卫生工作。二是将原重大公共卫生服务和计划生育项目中的妇幼卫生、老年健康服务、医养结合、卫生应急、孕前检查等</w:t>
      </w:r>
      <w:r>
        <w:rPr>
          <w:rFonts w:hint="eastAsia" w:ascii="仿宋" w:hAnsi="仿宋" w:eastAsia="仿宋" w:cs="仿宋"/>
          <w:sz w:val="32"/>
          <w:szCs w:val="32"/>
        </w:rPr>
        <w:t>19项</w:t>
      </w:r>
      <w:r>
        <w:rPr>
          <w:rFonts w:hint="eastAsia" w:ascii="仿宋" w:hAnsi="仿宋" w:eastAsia="仿宋" w:cs="仿宋"/>
          <w:sz w:val="32"/>
          <w:szCs w:val="32"/>
          <w:lang w:val="zh-CN"/>
        </w:rPr>
        <w:t>内容纳入基本公共卫生服务。其中，地方病防治、职业病防治和重大疾病及危害因素监测等3项工作为每年确保完成的工作，其余16项工作由各省份结合本地实际实施。这些工作不限于基层医疗卫生机构开展。新划入项目实施主体、管理路径和工作机制不变。开展项目的全额拨款乡镇卫生院</w:t>
      </w:r>
      <w:r>
        <w:rPr>
          <w:rFonts w:hint="eastAsia" w:ascii="仿宋" w:hAnsi="仿宋" w:eastAsia="仿宋" w:cs="仿宋"/>
          <w:sz w:val="32"/>
          <w:szCs w:val="32"/>
        </w:rPr>
        <w:t>14家、分院3家，</w:t>
      </w:r>
      <w:r>
        <w:rPr>
          <w:rFonts w:hint="eastAsia" w:ascii="仿宋" w:hAnsi="仿宋" w:eastAsia="仿宋" w:cs="仿宋"/>
          <w:sz w:val="32"/>
          <w:szCs w:val="32"/>
          <w:lang w:val="zh-CN"/>
        </w:rPr>
        <w:t>公立医院</w:t>
      </w:r>
      <w:r>
        <w:rPr>
          <w:rFonts w:hint="eastAsia" w:ascii="仿宋" w:hAnsi="仿宋" w:eastAsia="仿宋" w:cs="仿宋"/>
          <w:sz w:val="32"/>
          <w:szCs w:val="32"/>
        </w:rPr>
        <w:t>2</w:t>
      </w:r>
      <w:r>
        <w:rPr>
          <w:rFonts w:hint="eastAsia" w:ascii="仿宋" w:hAnsi="仿宋" w:eastAsia="仿宋" w:cs="仿宋"/>
          <w:sz w:val="32"/>
          <w:szCs w:val="32"/>
          <w:lang w:val="zh-CN"/>
        </w:rPr>
        <w:t>家（县中医医院、县人民医院），全额拨款事业单位</w:t>
      </w:r>
      <w:r>
        <w:rPr>
          <w:rFonts w:hint="eastAsia" w:ascii="仿宋" w:hAnsi="仿宋" w:eastAsia="仿宋" w:cs="仿宋"/>
          <w:sz w:val="32"/>
          <w:szCs w:val="32"/>
        </w:rPr>
        <w:t>3家</w:t>
      </w:r>
      <w:r>
        <w:rPr>
          <w:rFonts w:hint="eastAsia" w:ascii="仿宋" w:hAnsi="仿宋" w:eastAsia="仿宋" w:cs="仿宋"/>
          <w:sz w:val="32"/>
          <w:szCs w:val="32"/>
          <w:lang w:val="zh-CN"/>
        </w:rPr>
        <w:t>（县疾病预防控制中心、县卫生监督执法大队、县妇幼保健院）。</w:t>
      </w:r>
    </w:p>
    <w:p w14:paraId="26A3DE17">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7B0A3026">
      <w:pPr>
        <w:adjustRightInd w:val="0"/>
        <w:snapToGrid w:val="0"/>
        <w:spacing w:line="560" w:lineRule="exact"/>
        <w:ind w:firstLine="640" w:firstLineChars="200"/>
        <w:rPr>
          <w:rFonts w:hint="eastAsia" w:ascii="仿宋" w:hAnsi="仿宋" w:eastAsia="仿宋" w:cs="仿宋"/>
          <w:bCs/>
          <w:sz w:val="32"/>
          <w:szCs w:val="32"/>
          <w:lang w:val="zh-CN"/>
        </w:rPr>
      </w:pPr>
      <w:r>
        <w:rPr>
          <w:rFonts w:hint="eastAsia" w:ascii="仿宋" w:hAnsi="仿宋" w:eastAsia="仿宋" w:cs="仿宋"/>
          <w:bCs/>
          <w:sz w:val="32"/>
          <w:szCs w:val="32"/>
          <w:lang w:val="zh-CN"/>
        </w:rPr>
        <w:t>1</w:t>
      </w:r>
      <w:r>
        <w:rPr>
          <w:rFonts w:hint="eastAsia" w:ascii="仿宋" w:hAnsi="仿宋" w:eastAsia="仿宋" w:cs="仿宋"/>
          <w:bCs/>
          <w:sz w:val="32"/>
          <w:szCs w:val="32"/>
        </w:rPr>
        <w:t>.</w:t>
      </w:r>
      <w:r>
        <w:rPr>
          <w:rFonts w:hint="eastAsia" w:ascii="仿宋" w:hAnsi="仿宋" w:eastAsia="仿宋" w:cs="仿宋"/>
          <w:bCs/>
          <w:sz w:val="32"/>
          <w:szCs w:val="32"/>
          <w:lang w:val="zh-CN"/>
        </w:rPr>
        <w:t>免费向全省常住城乡居民提供12类国家基本公共卫生服务</w:t>
      </w:r>
    </w:p>
    <w:p w14:paraId="40600118">
      <w:pPr>
        <w:adjustRightInd w:val="0"/>
        <w:snapToGrid w:val="0"/>
        <w:spacing w:line="560" w:lineRule="exact"/>
        <w:ind w:firstLine="640" w:firstLineChars="200"/>
        <w:rPr>
          <w:rFonts w:hint="eastAsia" w:ascii="仿宋" w:hAnsi="仿宋" w:eastAsia="仿宋" w:cs="仿宋"/>
          <w:sz w:val="32"/>
          <w:szCs w:val="32"/>
          <w:lang w:val="zh-CN"/>
        </w:rPr>
      </w:pPr>
      <w:r>
        <w:rPr>
          <w:rFonts w:hint="eastAsia" w:ascii="仿宋" w:hAnsi="仿宋" w:eastAsia="仿宋" w:cs="仿宋"/>
          <w:bCs/>
          <w:sz w:val="32"/>
          <w:szCs w:val="32"/>
          <w:lang w:val="zh-CN"/>
        </w:rPr>
        <w:t>2</w:t>
      </w:r>
      <w:r>
        <w:rPr>
          <w:rFonts w:hint="eastAsia" w:ascii="仿宋" w:hAnsi="仿宋" w:eastAsia="仿宋" w:cs="仿宋"/>
          <w:bCs/>
          <w:sz w:val="32"/>
          <w:szCs w:val="32"/>
        </w:rPr>
        <w:t>.</w:t>
      </w:r>
      <w:r>
        <w:rPr>
          <w:rFonts w:hint="eastAsia" w:ascii="仿宋" w:hAnsi="仿宋" w:eastAsia="仿宋" w:cs="仿宋"/>
          <w:bCs/>
          <w:sz w:val="32"/>
          <w:szCs w:val="32"/>
          <w:lang w:val="zh-CN"/>
        </w:rPr>
        <w:t>开展对重点疾病及危害因素监测，有效控制疾病流行，为制定相关政策提供科学依据。助力国家脱贫攻坚，保持重点地方病防治措施全面落实。开展职业病检测，最大限度地保护放射工作人员、患者和公众的健康权益。同时推进妇幼健康、健康素养促进、医养结合和老年健康服务、卫生应急、计划生育等方面工作。</w:t>
      </w:r>
    </w:p>
    <w:p w14:paraId="7E35CE2A">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b/>
          <w:sz w:val="32"/>
          <w:szCs w:val="32"/>
          <w:lang w:val="zh-CN"/>
        </w:rPr>
        <w:t>（三）项目资金申报相符性。</w:t>
      </w:r>
      <w:r>
        <w:rPr>
          <w:rFonts w:hint="eastAsia" w:ascii="仿宋" w:hAnsi="仿宋" w:eastAsia="仿宋" w:cs="仿宋"/>
          <w:sz w:val="32"/>
          <w:szCs w:val="32"/>
          <w:lang w:val="zh-CN"/>
        </w:rPr>
        <w:t>项目申报内容与具体实施国家基本公共卫生服务项目内容相符、申报目标合理可行。</w:t>
      </w:r>
    </w:p>
    <w:p w14:paraId="2DC22F49">
      <w:pPr>
        <w:adjustRightInd w:val="0"/>
        <w:snapToGrid w:val="0"/>
        <w:spacing w:line="600" w:lineRule="exact"/>
        <w:ind w:firstLine="720"/>
        <w:outlineLvl w:val="1"/>
        <w:rPr>
          <w:rFonts w:hint="eastAsia" w:ascii="仿宋" w:hAnsi="仿宋" w:eastAsia="仿宋" w:cs="仿宋"/>
          <w:sz w:val="32"/>
          <w:szCs w:val="32"/>
        </w:rPr>
      </w:pPr>
      <w:bookmarkStart w:id="100" w:name="_Toc4400"/>
      <w:r>
        <w:rPr>
          <w:rFonts w:hint="eastAsia" w:ascii="仿宋" w:hAnsi="仿宋" w:eastAsia="仿宋" w:cs="仿宋"/>
          <w:sz w:val="32"/>
          <w:szCs w:val="32"/>
        </w:rPr>
        <w:t>二、项目资金申报及使用情况</w:t>
      </w:r>
      <w:bookmarkEnd w:id="100"/>
    </w:p>
    <w:p w14:paraId="5C8466A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6C684F6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说明项目资金申报、批复及预算调整等程序的相关情况。</w:t>
      </w:r>
    </w:p>
    <w:p w14:paraId="75E85983">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资金来源：中央、省、市、县资金1061.07万</w:t>
      </w:r>
    </w:p>
    <w:p w14:paraId="4DD04CE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b/>
          <w:sz w:val="32"/>
          <w:szCs w:val="32"/>
          <w:lang w:val="zh-CN"/>
        </w:rPr>
        <w:t>（二）资金计划、到位及使用情况。</w:t>
      </w:r>
    </w:p>
    <w:p w14:paraId="5D391939">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1．资金计划。基本公共卫生资金2023年预算资金1061.07万．资金全部到位。</w:t>
      </w:r>
    </w:p>
    <w:p w14:paraId="0FA04073">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2．资金使用。以上项目均实施完毕，资金全部使用。</w:t>
      </w:r>
    </w:p>
    <w:p w14:paraId="4613902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（三）项目财务管理情况。</w:t>
      </w:r>
    </w:p>
    <w:p w14:paraId="65397282">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bCs/>
          <w:sz w:val="32"/>
          <w:szCs w:val="32"/>
          <w:lang w:val="zh-CN"/>
        </w:rPr>
        <w:t>项目严格执行财务内控管理制度、财务处理及时、会计核算规范。</w:t>
      </w:r>
    </w:p>
    <w:p w14:paraId="3A54D197">
      <w:pPr>
        <w:adjustRightInd w:val="0"/>
        <w:snapToGrid w:val="0"/>
        <w:spacing w:line="600" w:lineRule="exact"/>
        <w:ind w:firstLine="720"/>
        <w:outlineLvl w:val="1"/>
        <w:rPr>
          <w:rFonts w:hint="eastAsia" w:ascii="仿宋" w:hAnsi="仿宋" w:eastAsia="仿宋" w:cs="仿宋"/>
          <w:sz w:val="32"/>
          <w:szCs w:val="32"/>
        </w:rPr>
      </w:pPr>
      <w:bookmarkStart w:id="101" w:name="_Toc21343"/>
      <w:r>
        <w:rPr>
          <w:rFonts w:hint="eastAsia" w:ascii="仿宋" w:hAnsi="仿宋" w:eastAsia="仿宋" w:cs="仿宋"/>
          <w:sz w:val="32"/>
          <w:szCs w:val="32"/>
        </w:rPr>
        <w:t>三、项目实施及管理情况</w:t>
      </w:r>
      <w:bookmarkEnd w:id="101"/>
    </w:p>
    <w:p w14:paraId="3058D098">
      <w:p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sz w:val="32"/>
          <w:szCs w:val="32"/>
        </w:rPr>
        <w:t>根据《国家基本公共卫生服务规范》（第三版），成立了县基本公共卫生服务均等化指导中心，基本公共卫生服务项目质控小组，明确了项目管理单位和实施单位职责。制定了全县年度绩效评估、绩效考核细则等，按照日常监管和季度督导的原则，加强项目督导、培训、考核和宣传教育等工作，严格绩效考核。对基本公共卫生服务内容、服务流程、免费服务等项目进行广泛宣传，全年召开6次项目推进会。各专业机构、项目实施单位开展了相关项目技术培训。及时完整填报项目任务执行情况表、项目资金执行情况表等项目报表。</w:t>
      </w:r>
    </w:p>
    <w:p w14:paraId="34BADE1C">
      <w:pPr>
        <w:adjustRightInd w:val="0"/>
        <w:snapToGrid w:val="0"/>
        <w:spacing w:line="560" w:lineRule="exact"/>
        <w:ind w:firstLine="720"/>
        <w:outlineLvl w:val="1"/>
        <w:rPr>
          <w:rFonts w:hint="eastAsia" w:ascii="仿宋" w:hAnsi="仿宋" w:eastAsia="仿宋" w:cs="仿宋"/>
          <w:sz w:val="32"/>
          <w:szCs w:val="32"/>
          <w:lang w:val="zh-CN"/>
        </w:rPr>
      </w:pPr>
      <w:bookmarkStart w:id="102" w:name="_Toc19698"/>
      <w:r>
        <w:rPr>
          <w:rFonts w:hint="eastAsia" w:ascii="仿宋" w:hAnsi="仿宋" w:eastAsia="仿宋" w:cs="仿宋"/>
          <w:sz w:val="32"/>
          <w:szCs w:val="32"/>
        </w:rPr>
        <w:t>四、项目绩效情况</w:t>
      </w:r>
      <w:bookmarkEnd w:id="102"/>
      <w:r>
        <w:rPr>
          <w:rFonts w:hint="eastAsia" w:ascii="仿宋" w:hAnsi="仿宋" w:eastAsia="仿宋" w:cs="仿宋"/>
          <w:sz w:val="32"/>
          <w:szCs w:val="32"/>
          <w:lang w:val="zh-CN"/>
        </w:rPr>
        <w:tab/>
      </w:r>
    </w:p>
    <w:p w14:paraId="45468DB9">
      <w:p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53DFC4CA">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一是清理完善健康档案。建立居民健康档案1</w:t>
      </w:r>
      <w:r>
        <w:rPr>
          <w:rFonts w:hint="eastAsia" w:ascii="仿宋" w:hAnsi="仿宋" w:eastAsia="仿宋" w:cs="仿宋"/>
          <w:sz w:val="32"/>
          <w:szCs w:val="32"/>
        </w:rPr>
        <w:t>2</w:t>
      </w:r>
      <w:r>
        <w:rPr>
          <w:rFonts w:hint="eastAsia" w:ascii="仿宋" w:hAnsi="仿宋" w:eastAsia="仿宋" w:cs="仿宋"/>
          <w:sz w:val="32"/>
          <w:szCs w:val="32"/>
          <w:lang w:val="zh-CN"/>
        </w:rPr>
        <w:t>万份，电子健康档案建档率100%；二是抓好重点传染病防控。全县无甲类传染病，无登革热病例报告。三是做好妇幼健康工作。筛查宫颈癌1223人，乳腺癌1273人，圆满完成了任务。婚前医学检查697对，孕前优生健康检查完成</w:t>
      </w:r>
      <w:r>
        <w:rPr>
          <w:rFonts w:hint="eastAsia" w:ascii="仿宋" w:hAnsi="仿宋" w:eastAsia="仿宋" w:cs="仿宋"/>
          <w:sz w:val="32"/>
          <w:szCs w:val="32"/>
        </w:rPr>
        <w:t>36</w:t>
      </w:r>
      <w:r>
        <w:rPr>
          <w:rFonts w:hint="eastAsia" w:ascii="仿宋" w:hAnsi="仿宋" w:eastAsia="仿宋" w:cs="仿宋"/>
          <w:sz w:val="32"/>
          <w:szCs w:val="32"/>
          <w:lang w:val="zh-CN"/>
        </w:rPr>
        <w:t>0对，完成率100%。产妇数1802人，活产数1812人，住院分娩率99.83％，高危住院分娩率100.00％；孕产妇死亡0人；孕产妇系统管理率99.12％，3岁以下儿童系统管理率99.40%。辖区内0-6岁儿童数</w:t>
      </w:r>
      <w:r>
        <w:rPr>
          <w:rFonts w:hint="eastAsia" w:ascii="仿宋" w:hAnsi="仿宋" w:eastAsia="仿宋" w:cs="仿宋"/>
          <w:sz w:val="32"/>
          <w:szCs w:val="32"/>
        </w:rPr>
        <w:t>9607</w:t>
      </w:r>
      <w:r>
        <w:rPr>
          <w:rFonts w:hint="eastAsia" w:ascii="仿宋" w:hAnsi="仿宋" w:eastAsia="仿宋" w:cs="仿宋"/>
          <w:sz w:val="32"/>
          <w:szCs w:val="32"/>
          <w:lang w:val="zh-CN"/>
        </w:rPr>
        <w:t>人，接受1次及以上随访的0-6岁儿童</w:t>
      </w:r>
      <w:r>
        <w:rPr>
          <w:rFonts w:hint="eastAsia" w:ascii="仿宋" w:hAnsi="仿宋" w:eastAsia="仿宋" w:cs="仿宋"/>
          <w:sz w:val="32"/>
          <w:szCs w:val="32"/>
        </w:rPr>
        <w:t>9407</w:t>
      </w:r>
      <w:r>
        <w:rPr>
          <w:rFonts w:hint="eastAsia" w:ascii="仿宋" w:hAnsi="仿宋" w:eastAsia="仿宋" w:cs="仿宋"/>
          <w:sz w:val="32"/>
          <w:szCs w:val="32"/>
          <w:lang w:val="zh-CN"/>
        </w:rPr>
        <w:t>人，儿童健康管理率9</w:t>
      </w:r>
      <w:r>
        <w:rPr>
          <w:rFonts w:hint="eastAsia" w:ascii="仿宋" w:hAnsi="仿宋" w:eastAsia="仿宋" w:cs="仿宋"/>
          <w:sz w:val="32"/>
          <w:szCs w:val="32"/>
        </w:rPr>
        <w:t>7.9</w:t>
      </w:r>
      <w:r>
        <w:rPr>
          <w:rFonts w:hint="eastAsia" w:ascii="仿宋" w:hAnsi="仿宋" w:eastAsia="仿宋" w:cs="仿宋"/>
          <w:sz w:val="32"/>
          <w:szCs w:val="32"/>
          <w:lang w:val="zh-CN"/>
        </w:rPr>
        <w:t>%。四是加强老年健康服务。为辖区</w:t>
      </w:r>
      <w:r>
        <w:rPr>
          <w:rFonts w:hint="eastAsia" w:ascii="仿宋" w:hAnsi="仿宋" w:eastAsia="仿宋" w:cs="仿宋"/>
          <w:sz w:val="32"/>
          <w:szCs w:val="32"/>
        </w:rPr>
        <w:t>17069</w:t>
      </w:r>
      <w:r>
        <w:rPr>
          <w:rFonts w:hint="eastAsia" w:ascii="仿宋" w:hAnsi="仿宋" w:eastAsia="仿宋" w:cs="仿宋"/>
          <w:sz w:val="32"/>
          <w:szCs w:val="32"/>
          <w:lang w:val="zh-CN"/>
        </w:rPr>
        <w:t>名老年人进行健康体检，接受健康管理1</w:t>
      </w:r>
      <w:r>
        <w:rPr>
          <w:rFonts w:hint="eastAsia" w:ascii="仿宋" w:hAnsi="仿宋" w:eastAsia="仿宋" w:cs="仿宋"/>
          <w:sz w:val="32"/>
          <w:szCs w:val="32"/>
        </w:rPr>
        <w:t>0267</w:t>
      </w:r>
      <w:r>
        <w:rPr>
          <w:rFonts w:hint="eastAsia" w:ascii="仿宋" w:hAnsi="仿宋" w:eastAsia="仿宋" w:cs="仿宋"/>
          <w:sz w:val="32"/>
          <w:szCs w:val="32"/>
          <w:lang w:val="zh-CN"/>
        </w:rPr>
        <w:t>人，抽查65岁以上老年人健康管理率</w:t>
      </w:r>
      <w:r>
        <w:rPr>
          <w:rFonts w:hint="eastAsia" w:ascii="仿宋" w:hAnsi="仿宋" w:eastAsia="仿宋" w:cs="仿宋"/>
          <w:sz w:val="32"/>
          <w:szCs w:val="32"/>
        </w:rPr>
        <w:t>60.14</w:t>
      </w:r>
      <w:r>
        <w:rPr>
          <w:rFonts w:hint="eastAsia" w:ascii="仿宋" w:hAnsi="仿宋" w:eastAsia="仿宋" w:cs="仿宋"/>
          <w:sz w:val="32"/>
          <w:szCs w:val="32"/>
          <w:lang w:val="zh-CN"/>
        </w:rPr>
        <w:t>%。五是强化慢性病患者健康管理。已管理高血压患者</w:t>
      </w:r>
      <w:r>
        <w:rPr>
          <w:rFonts w:hint="eastAsia" w:ascii="仿宋" w:hAnsi="仿宋" w:eastAsia="仿宋" w:cs="仿宋"/>
          <w:sz w:val="32"/>
          <w:szCs w:val="32"/>
        </w:rPr>
        <w:t>5437</w:t>
      </w:r>
      <w:r>
        <w:rPr>
          <w:rFonts w:hint="eastAsia" w:ascii="仿宋" w:hAnsi="仿宋" w:eastAsia="仿宋" w:cs="仿宋"/>
          <w:sz w:val="32"/>
          <w:szCs w:val="32"/>
          <w:lang w:val="zh-CN"/>
        </w:rPr>
        <w:t>人，规范管理</w:t>
      </w:r>
      <w:r>
        <w:rPr>
          <w:rFonts w:hint="eastAsia" w:ascii="仿宋" w:hAnsi="仿宋" w:eastAsia="仿宋" w:cs="仿宋"/>
          <w:sz w:val="32"/>
          <w:szCs w:val="32"/>
        </w:rPr>
        <w:t>3</w:t>
      </w:r>
      <w:r>
        <w:rPr>
          <w:rFonts w:hint="eastAsia" w:ascii="仿宋" w:hAnsi="仿宋" w:eastAsia="仿宋" w:cs="仿宋"/>
          <w:sz w:val="32"/>
          <w:szCs w:val="32"/>
          <w:lang w:val="zh-CN"/>
        </w:rPr>
        <w:t>800人，高血压患者基层规范管理服务率</w:t>
      </w:r>
      <w:r>
        <w:rPr>
          <w:rFonts w:hint="eastAsia" w:ascii="仿宋" w:hAnsi="仿宋" w:eastAsia="仿宋" w:cs="仿宋"/>
          <w:sz w:val="32"/>
          <w:szCs w:val="32"/>
        </w:rPr>
        <w:t>69</w:t>
      </w:r>
      <w:r>
        <w:rPr>
          <w:rFonts w:hint="eastAsia" w:ascii="仿宋" w:hAnsi="仿宋" w:eastAsia="仿宋" w:cs="仿宋"/>
          <w:sz w:val="32"/>
          <w:szCs w:val="32"/>
          <w:lang w:val="zh-CN"/>
        </w:rPr>
        <w:t>%；已管理2型糖尿病患者1</w:t>
      </w:r>
      <w:r>
        <w:rPr>
          <w:rFonts w:hint="eastAsia" w:ascii="仿宋" w:hAnsi="仿宋" w:eastAsia="仿宋" w:cs="仿宋"/>
          <w:sz w:val="32"/>
          <w:szCs w:val="32"/>
        </w:rPr>
        <w:t>312</w:t>
      </w:r>
      <w:r>
        <w:rPr>
          <w:rFonts w:hint="eastAsia" w:ascii="仿宋" w:hAnsi="仿宋" w:eastAsia="仿宋" w:cs="仿宋"/>
          <w:sz w:val="32"/>
          <w:szCs w:val="32"/>
          <w:lang w:val="zh-CN"/>
        </w:rPr>
        <w:t>人，规范管理1163人，2型糖尿病患者基层规范管理服务率8</w:t>
      </w:r>
      <w:r>
        <w:rPr>
          <w:rFonts w:hint="eastAsia" w:ascii="仿宋" w:hAnsi="仿宋" w:eastAsia="仿宋" w:cs="仿宋"/>
          <w:sz w:val="32"/>
          <w:szCs w:val="32"/>
        </w:rPr>
        <w:t>8</w:t>
      </w:r>
      <w:r>
        <w:rPr>
          <w:rFonts w:hint="eastAsia" w:ascii="仿宋" w:hAnsi="仿宋" w:eastAsia="仿宋" w:cs="仿宋"/>
          <w:sz w:val="32"/>
          <w:szCs w:val="32"/>
          <w:lang w:val="zh-CN"/>
        </w:rPr>
        <w:t>%。六是加强中医药健康服务。全年老年人接受中医药健康管理服务人数</w:t>
      </w:r>
      <w:r>
        <w:rPr>
          <w:rFonts w:hint="eastAsia" w:ascii="仿宋" w:hAnsi="仿宋" w:eastAsia="仿宋" w:cs="仿宋"/>
          <w:sz w:val="32"/>
          <w:szCs w:val="32"/>
        </w:rPr>
        <w:t>12096</w:t>
      </w:r>
      <w:r>
        <w:rPr>
          <w:rFonts w:hint="eastAsia" w:ascii="仿宋" w:hAnsi="仿宋" w:eastAsia="仿宋" w:cs="仿宋"/>
          <w:sz w:val="32"/>
          <w:szCs w:val="32"/>
          <w:lang w:val="zh-CN"/>
        </w:rPr>
        <w:t>人，中医药健康管理率</w:t>
      </w:r>
      <w:r>
        <w:rPr>
          <w:rFonts w:hint="eastAsia" w:ascii="仿宋" w:hAnsi="仿宋" w:eastAsia="仿宋" w:cs="仿宋"/>
          <w:sz w:val="32"/>
          <w:szCs w:val="32"/>
        </w:rPr>
        <w:t>70.8</w:t>
      </w:r>
      <w:r>
        <w:rPr>
          <w:rFonts w:hint="eastAsia" w:ascii="仿宋" w:hAnsi="仿宋" w:eastAsia="仿宋" w:cs="仿宋"/>
          <w:sz w:val="32"/>
          <w:szCs w:val="32"/>
          <w:lang w:val="zh-CN"/>
        </w:rPr>
        <w:t>%。0-36个月儿童接受中医药健康管理服务</w:t>
      </w:r>
      <w:r>
        <w:rPr>
          <w:rFonts w:hint="eastAsia" w:ascii="仿宋" w:hAnsi="仿宋" w:eastAsia="仿宋" w:cs="仿宋"/>
          <w:sz w:val="32"/>
          <w:szCs w:val="32"/>
        </w:rPr>
        <w:t>7519</w:t>
      </w:r>
      <w:r>
        <w:rPr>
          <w:rFonts w:hint="eastAsia" w:ascii="仿宋" w:hAnsi="仿宋" w:eastAsia="仿宋" w:cs="仿宋"/>
          <w:sz w:val="32"/>
          <w:szCs w:val="32"/>
          <w:lang w:val="zh-CN"/>
        </w:rPr>
        <w:t>人，中医药健康管理服务率</w:t>
      </w:r>
      <w:r>
        <w:rPr>
          <w:rFonts w:hint="eastAsia" w:ascii="仿宋" w:hAnsi="仿宋" w:eastAsia="仿宋" w:cs="仿宋"/>
          <w:sz w:val="32"/>
          <w:szCs w:val="32"/>
        </w:rPr>
        <w:t>78.27</w:t>
      </w:r>
      <w:r>
        <w:rPr>
          <w:rFonts w:hint="eastAsia" w:ascii="仿宋" w:hAnsi="仿宋" w:eastAsia="仿宋" w:cs="仿宋"/>
          <w:sz w:val="32"/>
          <w:szCs w:val="32"/>
          <w:lang w:val="zh-CN"/>
        </w:rPr>
        <w:t>%。七是加强预防接种工作。已建立预防接种证</w:t>
      </w:r>
      <w:r>
        <w:rPr>
          <w:rFonts w:hint="eastAsia" w:ascii="仿宋" w:hAnsi="仿宋" w:eastAsia="仿宋" w:cs="仿宋"/>
          <w:sz w:val="32"/>
          <w:szCs w:val="32"/>
        </w:rPr>
        <w:t>9607</w:t>
      </w:r>
      <w:r>
        <w:rPr>
          <w:rFonts w:hint="eastAsia" w:ascii="仿宋" w:hAnsi="仿宋" w:eastAsia="仿宋" w:cs="仿宋"/>
          <w:sz w:val="32"/>
          <w:szCs w:val="32"/>
          <w:lang w:val="zh-CN"/>
        </w:rPr>
        <w:t>人，建证率100%，单苗接种率均在97%以上，无脊灰、白喉，流脑、麻疹和风疹病例报告，无死亡病例。八是加强职业病防治工作。开展重点职业病危害治理行动，企业健康体检备案89家，监督检查72家用人单位，立案0宗，行政罚款0家。</w:t>
      </w:r>
    </w:p>
    <w:p w14:paraId="6A54B55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结合项目组织实施管理办法，重点围绕以下内容进行分析评价，并对自评中发现的问题分析说明。</w:t>
      </w:r>
    </w:p>
    <w:p w14:paraId="0DF3FA7D">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66B7D4C5">
      <w:pPr>
        <w:adjustRightInd w:val="0"/>
        <w:snapToGrid w:val="0"/>
        <w:spacing w:line="560" w:lineRule="exact"/>
        <w:ind w:firstLine="640" w:firstLineChars="200"/>
        <w:rPr>
          <w:rFonts w:hint="eastAsia" w:ascii="仿宋" w:hAnsi="仿宋" w:eastAsia="仿宋" w:cs="仿宋"/>
          <w:bCs/>
          <w:sz w:val="32"/>
          <w:szCs w:val="32"/>
          <w:lang w:val="zh-CN"/>
        </w:rPr>
      </w:pPr>
      <w:r>
        <w:rPr>
          <w:rFonts w:hint="eastAsia" w:ascii="仿宋" w:hAnsi="仿宋" w:eastAsia="仿宋" w:cs="仿宋"/>
          <w:bCs/>
          <w:sz w:val="32"/>
          <w:szCs w:val="32"/>
          <w:lang w:val="zh-CN"/>
        </w:rPr>
        <w:t>通过项目的实施：一是促进了我县居民健康意识的提高和不良生活方式的改变，使老百姓逐步树立了自我健康管理的理念；二是通过健康体检发现了一些早期疾病特别是早期癌症，为患者的及时治疗赢得了宝贵的时间；三是对高血压、2型糖尿病、严重精神障碍患者起到了一定的控制和治疗作用，使患者切身感受到该项目带来的“看得见、摸得着”的实惠和好处，感受到党和政府对他们身心健康的重视；四是减少了主要健康危险因素，在预防和控制传染病及慢性病的发生和流行方面发挥了一定的作用；五是提高了公共卫生服务和突发公共卫生事件应急处置能力，建立起维护居民健康的第一道屏障，对于提高居民健康素质起到了促进作用。六是基本公共卫生服务能力得到提升，基本公共卫生服务项目得到较好落实，居民健康档案动态使用率逐步提高，老百姓获得感不断增强，服务对象满意度不断提高，服务对象的综合知晓率</w:t>
      </w:r>
      <w:r>
        <w:rPr>
          <w:rFonts w:hint="eastAsia" w:ascii="仿宋" w:hAnsi="仿宋" w:eastAsia="仿宋" w:cs="仿宋"/>
          <w:bCs/>
          <w:sz w:val="32"/>
          <w:szCs w:val="32"/>
        </w:rPr>
        <w:t>82</w:t>
      </w:r>
      <w:r>
        <w:rPr>
          <w:rFonts w:hint="eastAsia" w:ascii="仿宋" w:hAnsi="仿宋" w:eastAsia="仿宋" w:cs="仿宋"/>
          <w:bCs/>
          <w:sz w:val="32"/>
          <w:szCs w:val="32"/>
          <w:lang w:val="zh-CN"/>
        </w:rPr>
        <w:t>%，服务对象的满意度9</w:t>
      </w:r>
      <w:r>
        <w:rPr>
          <w:rFonts w:hint="eastAsia" w:ascii="仿宋" w:hAnsi="仿宋" w:eastAsia="仿宋" w:cs="仿宋"/>
          <w:bCs/>
          <w:sz w:val="32"/>
          <w:szCs w:val="32"/>
        </w:rPr>
        <w:t>0</w:t>
      </w:r>
      <w:r>
        <w:rPr>
          <w:rFonts w:hint="eastAsia" w:ascii="仿宋" w:hAnsi="仿宋" w:eastAsia="仿宋" w:cs="仿宋"/>
          <w:bCs/>
          <w:sz w:val="32"/>
          <w:szCs w:val="32"/>
          <w:lang w:val="zh-CN"/>
        </w:rPr>
        <w:t>%，人民群众健康意识进一步得到增强。</w:t>
      </w:r>
    </w:p>
    <w:p w14:paraId="551A67CE">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从项目经济效益、社会效益、生态效益、可持续效益以及服务对象满意度等方面对项目效益进行全面分析评价。</w:t>
      </w:r>
    </w:p>
    <w:p w14:paraId="54D36A82">
      <w:pPr>
        <w:adjustRightInd w:val="0"/>
        <w:snapToGrid w:val="0"/>
        <w:spacing w:line="600" w:lineRule="exact"/>
        <w:ind w:firstLine="720"/>
        <w:outlineLvl w:val="1"/>
        <w:rPr>
          <w:rFonts w:hint="eastAsia" w:ascii="仿宋" w:hAnsi="仿宋" w:eastAsia="仿宋" w:cs="仿宋"/>
          <w:sz w:val="32"/>
          <w:szCs w:val="32"/>
        </w:rPr>
      </w:pPr>
      <w:bookmarkStart w:id="103" w:name="_Toc22213"/>
      <w:r>
        <w:rPr>
          <w:rFonts w:hint="eastAsia" w:ascii="仿宋" w:hAnsi="仿宋" w:eastAsia="仿宋" w:cs="仿宋"/>
          <w:sz w:val="32"/>
          <w:szCs w:val="32"/>
        </w:rPr>
        <w:t>五、评价结论及建议</w:t>
      </w:r>
      <w:bookmarkEnd w:id="103"/>
    </w:p>
    <w:p w14:paraId="2205D9F7">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1A7FFE91">
      <w:pPr>
        <w:ind w:firstLine="640" w:firstLineChars="200"/>
        <w:rPr>
          <w:rFonts w:hint="eastAsia" w:ascii="仿宋" w:hAnsi="仿宋" w:eastAsia="仿宋" w:cs="仿宋"/>
          <w:sz w:val="32"/>
          <w:szCs w:val="32"/>
        </w:rPr>
      </w:pPr>
      <w:r>
        <w:rPr>
          <w:rFonts w:hint="eastAsia" w:ascii="仿宋" w:hAnsi="仿宋" w:eastAsia="仿宋" w:cs="仿宋"/>
          <w:sz w:val="32"/>
          <w:szCs w:val="32"/>
        </w:rPr>
        <w:t>1.乡镇卫生院建立了所谓“绩效考核方案”，但实用性不高，特别是对单位医务人员个人考核上，缺乏真管真考，导致认真做的与不认真做的一样，项目负责人日常安排不了“整改”工作，造成工作积极性不高。有些乡镇卫生院资料归集凌乱，没有整理成册。</w:t>
      </w:r>
    </w:p>
    <w:p w14:paraId="2E472C36">
      <w:pPr>
        <w:ind w:firstLine="640" w:firstLineChars="200"/>
        <w:rPr>
          <w:rFonts w:hint="eastAsia" w:ascii="仿宋" w:hAnsi="仿宋" w:eastAsia="仿宋" w:cs="仿宋"/>
          <w:sz w:val="32"/>
          <w:szCs w:val="32"/>
        </w:rPr>
      </w:pPr>
      <w:r>
        <w:rPr>
          <w:rFonts w:hint="eastAsia" w:ascii="仿宋" w:hAnsi="仿宋" w:eastAsia="仿宋" w:cs="仿宋"/>
          <w:sz w:val="32"/>
          <w:szCs w:val="32"/>
        </w:rPr>
        <w:t>2.服务意识不强，群众依从度不高。项目宣传仍然不够，群众对项目的知晓率与获得感有待提高。部分群众健康意识不够强，对基层医疗机构和基层医务人员依从度不高，认为基本公共卫生服务项目对自己的健康作用不大，有的重点人群认为服务太简单不能满足自己的健康需求，对每年的健康体检存在一定地厌烦情绪，不愿主动配合，部分群众电话号码更换频繁，造成失访率增加。</w:t>
      </w:r>
    </w:p>
    <w:p w14:paraId="73087FB7">
      <w:pPr>
        <w:ind w:firstLine="640" w:firstLineChars="200"/>
        <w:rPr>
          <w:rFonts w:hint="eastAsia" w:ascii="仿宋" w:hAnsi="仿宋" w:eastAsia="仿宋" w:cs="仿宋"/>
          <w:sz w:val="32"/>
          <w:szCs w:val="32"/>
        </w:rPr>
      </w:pPr>
      <w:r>
        <w:rPr>
          <w:rFonts w:hint="eastAsia" w:ascii="仿宋" w:hAnsi="仿宋" w:eastAsia="仿宋" w:cs="仿宋"/>
          <w:sz w:val="32"/>
          <w:szCs w:val="32"/>
        </w:rPr>
        <w:t>3.服务能力有待进一步提升。一是公卫人员、村医业务知识及服务能力有待加强。乡村医生队伍年龄老化，素质参差不齐，部分人员难以胜任项目工作，部分村医完成工作数量、质量比较低</w:t>
      </w:r>
      <w:r>
        <w:rPr>
          <w:rFonts w:hint="eastAsia" w:ascii="仿宋" w:hAnsi="仿宋" w:eastAsia="仿宋" w:cs="仿宋"/>
          <w:sz w:val="32"/>
          <w:szCs w:val="32"/>
          <w:lang w:eastAsia="zh-CN"/>
        </w:rPr>
        <w:t>；</w:t>
      </w:r>
      <w:r>
        <w:rPr>
          <w:rFonts w:hint="eastAsia" w:ascii="仿宋" w:hAnsi="仿宋" w:eastAsia="仿宋" w:cs="仿宋"/>
          <w:sz w:val="32"/>
          <w:szCs w:val="32"/>
        </w:rPr>
        <w:t>二是信息系统有待进一步改进。如老年人体检管理信息，还靠人工逐一录入，基层工作人员人数能力不足情况下还要花费大量精力在信息录入上，影响工作效率和服务质量。三是乡镇卫生院服务能力不足和人员数量、质量不高，各种辅助检查和某些常规服务无法开展，导致项目资金滞留。</w:t>
      </w:r>
    </w:p>
    <w:p w14:paraId="3D091972">
      <w:pPr>
        <w:ind w:firstLine="640" w:firstLineChars="200"/>
        <w:rPr>
          <w:rFonts w:hint="eastAsia" w:ascii="仿宋" w:hAnsi="仿宋" w:eastAsia="仿宋" w:cs="仿宋"/>
          <w:sz w:val="32"/>
          <w:szCs w:val="32"/>
        </w:rPr>
      </w:pPr>
      <w:r>
        <w:rPr>
          <w:rFonts w:hint="eastAsia" w:ascii="仿宋" w:hAnsi="仿宋" w:eastAsia="仿宋" w:cs="仿宋"/>
          <w:sz w:val="32"/>
          <w:szCs w:val="32"/>
        </w:rPr>
        <w:t>4.工作时间节点需要科学安排部署。部分到位的慢病面对面随访推迟到3月份才开始，老年人健康体检到5-6月份才开展，一定程度上影响了这几个服务项目的顺利进行。</w:t>
      </w:r>
    </w:p>
    <w:p w14:paraId="7AE8F5F2">
      <w:pPr>
        <w:ind w:firstLine="640" w:firstLineChars="200"/>
        <w:rPr>
          <w:rFonts w:hint="eastAsia" w:ascii="仿宋" w:hAnsi="仿宋" w:eastAsia="仿宋" w:cs="仿宋"/>
          <w:sz w:val="32"/>
          <w:szCs w:val="32"/>
        </w:rPr>
      </w:pPr>
      <w:r>
        <w:rPr>
          <w:rFonts w:hint="eastAsia" w:ascii="仿宋" w:hAnsi="仿宋" w:eastAsia="仿宋" w:cs="仿宋"/>
          <w:sz w:val="32"/>
          <w:szCs w:val="32"/>
        </w:rPr>
        <w:t>5.服务项目需要更加规范。仍有个别乡镇卫生院健康档案还有重档，少部分居民健康档案仍存在缺项、漏项、错项不规范现象，档案使用率有待提高</w:t>
      </w:r>
      <w:r>
        <w:rPr>
          <w:rFonts w:hint="eastAsia" w:ascii="仿宋" w:hAnsi="仿宋" w:eastAsia="仿宋" w:cs="仿宋"/>
          <w:sz w:val="32"/>
          <w:szCs w:val="32"/>
          <w:lang w:eastAsia="zh-CN"/>
        </w:rPr>
        <w:t>；</w:t>
      </w:r>
      <w:r>
        <w:rPr>
          <w:rFonts w:hint="eastAsia" w:ascii="仿宋" w:hAnsi="仿宋" w:eastAsia="仿宋" w:cs="仿宋"/>
          <w:sz w:val="32"/>
          <w:szCs w:val="32"/>
        </w:rPr>
        <w:t>部分老年人、高血压、糖尿病、严重精神障碍患者等重点人群服务不够规范。没有与相关乡镇卫生院衔接档案的转出入管理。</w:t>
      </w:r>
    </w:p>
    <w:p w14:paraId="682BB391">
      <w:p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（二）相关建议。</w:t>
      </w:r>
    </w:p>
    <w:p w14:paraId="59189F3B">
      <w:pPr>
        <w:ind w:firstLine="640" w:firstLineChars="200"/>
        <w:rPr>
          <w:rFonts w:hint="eastAsia" w:ascii="仿宋" w:hAnsi="仿宋" w:eastAsia="仿宋" w:cs="仿宋"/>
          <w:sz w:val="32"/>
          <w:szCs w:val="32"/>
        </w:rPr>
      </w:pPr>
      <w:r>
        <w:rPr>
          <w:rFonts w:hint="eastAsia" w:ascii="仿宋" w:hAnsi="仿宋" w:eastAsia="仿宋" w:cs="仿宋"/>
          <w:sz w:val="32"/>
          <w:szCs w:val="32"/>
        </w:rPr>
        <w:t>基本公共卫生项目服务是一项系统工程，需要全县各乡镇、各级医务工作者的积极支持、主动参与和全力配合才能把此项工作做实、做好。</w:t>
      </w:r>
    </w:p>
    <w:p w14:paraId="526CC8D9">
      <w:pPr>
        <w:ind w:firstLine="640" w:firstLineChars="200"/>
        <w:rPr>
          <w:rFonts w:hint="eastAsia" w:ascii="仿宋" w:hAnsi="仿宋" w:eastAsia="仿宋" w:cs="仿宋"/>
          <w:sz w:val="32"/>
          <w:szCs w:val="32"/>
        </w:rPr>
      </w:pPr>
      <w:r>
        <w:rPr>
          <w:rFonts w:hint="eastAsia" w:ascii="仿宋" w:hAnsi="仿宋" w:eastAsia="仿宋" w:cs="仿宋"/>
          <w:sz w:val="32"/>
          <w:szCs w:val="32"/>
        </w:rPr>
        <w:t>1.加快互联互通建设，促进基本公卫信息与临床医疗服务、医保服务信息的互联互通建设，进一步完善专业信息平台。</w:t>
      </w:r>
    </w:p>
    <w:p w14:paraId="6EC9A4F8">
      <w:pPr>
        <w:ind w:firstLine="640" w:firstLineChars="200"/>
        <w:rPr>
          <w:rFonts w:hint="eastAsia" w:ascii="仿宋" w:hAnsi="仿宋" w:eastAsia="仿宋" w:cs="仿宋"/>
          <w:sz w:val="32"/>
          <w:szCs w:val="32"/>
        </w:rPr>
      </w:pPr>
      <w:r>
        <w:rPr>
          <w:rFonts w:hint="eastAsia" w:ascii="仿宋" w:hAnsi="仿宋" w:eastAsia="仿宋" w:cs="仿宋"/>
          <w:sz w:val="32"/>
          <w:szCs w:val="32"/>
        </w:rPr>
        <w:t>2.政策层面。是否可以进一步放宽参与公共卫生服务的范围对象，允许有条件、有能力的机构或单位能参与到公共卫生服务工作中来，谁提供的服务优质就谁来做。</w:t>
      </w:r>
    </w:p>
    <w:p w14:paraId="7C8F7F43">
      <w:pPr>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3.公卫工作量大，面广点多，宜早安排、早部署。结合服务过程开展项目宣传与健康教育，提高群众知晓率</w:t>
      </w:r>
      <w:r>
        <w:rPr>
          <w:rFonts w:hint="eastAsia" w:ascii="仿宋" w:hAnsi="仿宋" w:eastAsia="仿宋" w:cs="仿宋"/>
          <w:sz w:val="32"/>
          <w:szCs w:val="32"/>
          <w:lang w:eastAsia="zh-CN"/>
        </w:rPr>
        <w:t>；</w:t>
      </w:r>
      <w:r>
        <w:rPr>
          <w:rFonts w:hint="eastAsia" w:ascii="仿宋" w:hAnsi="仿宋" w:eastAsia="仿宋" w:cs="仿宋"/>
          <w:sz w:val="32"/>
          <w:szCs w:val="32"/>
        </w:rPr>
        <w:t>将基本公共卫生服务与日常医疗服务相结合，以抓好重点人群服务为重点，促进基本公共卫生服务进一步规范，不断提高项目服务质量与群众感受度、满意度。</w:t>
      </w:r>
    </w:p>
    <w:p w14:paraId="115F93E7">
      <w:pPr>
        <w:ind w:left="0" w:leftChars="0" w:firstLine="640" w:firstLineChars="200"/>
        <w:rPr>
          <w:rFonts w:hint="eastAsia" w:ascii="仿宋" w:hAnsi="仿宋" w:eastAsia="仿宋" w:cs="仿宋"/>
          <w:sz w:val="32"/>
          <w:szCs w:val="32"/>
        </w:rPr>
      </w:pPr>
    </w:p>
    <w:p w14:paraId="4FE14CE6">
      <w:pPr>
        <w:ind w:left="0" w:leftChars="0" w:firstLine="640" w:firstLineChars="200"/>
        <w:rPr>
          <w:rFonts w:hint="eastAsia" w:ascii="仿宋" w:hAnsi="仿宋" w:eastAsia="仿宋" w:cs="仿宋"/>
          <w:sz w:val="32"/>
          <w:szCs w:val="32"/>
        </w:rPr>
      </w:pPr>
    </w:p>
    <w:p w14:paraId="019B7A62">
      <w:pPr>
        <w:pStyle w:val="35"/>
        <w:spacing w:line="600" w:lineRule="exact"/>
        <w:jc w:val="center"/>
        <w:outlineLvl w:val="1"/>
        <w:rPr>
          <w:rFonts w:hint="eastAsia" w:ascii="方正小标宋简体" w:hAnsi="宋体" w:eastAsia="方正小标宋简体" w:cs="Times New Roman"/>
          <w:sz w:val="44"/>
          <w:szCs w:val="44"/>
          <w:lang w:eastAsia="zh-CN"/>
        </w:rPr>
      </w:pPr>
      <w:bookmarkStart w:id="104" w:name="_Toc28885"/>
    </w:p>
    <w:p w14:paraId="608055B3">
      <w:pPr>
        <w:pStyle w:val="35"/>
        <w:spacing w:line="600" w:lineRule="exact"/>
        <w:jc w:val="center"/>
        <w:outlineLvl w:val="1"/>
        <w:rPr>
          <w:rFonts w:hint="eastAsia" w:ascii="方正小标宋简体" w:hAnsi="宋体" w:eastAsia="方正小标宋简体" w:cs="Times New Roman"/>
          <w:sz w:val="44"/>
          <w:szCs w:val="44"/>
          <w:lang w:eastAsia="zh-CN"/>
        </w:rPr>
      </w:pPr>
    </w:p>
    <w:p w14:paraId="1101AB03">
      <w:pPr>
        <w:pStyle w:val="35"/>
        <w:spacing w:line="600" w:lineRule="exact"/>
        <w:jc w:val="center"/>
        <w:outlineLvl w:val="1"/>
        <w:rPr>
          <w:rFonts w:hint="eastAsia" w:ascii="方正小标宋简体" w:hAnsi="宋体" w:eastAsia="方正小标宋简体" w:cs="Times New Roman"/>
          <w:sz w:val="44"/>
          <w:szCs w:val="44"/>
          <w:lang w:eastAsia="zh-CN"/>
        </w:rPr>
      </w:pPr>
    </w:p>
    <w:p w14:paraId="6CAF31A1">
      <w:pPr>
        <w:pStyle w:val="35"/>
        <w:spacing w:line="600" w:lineRule="exact"/>
        <w:jc w:val="center"/>
        <w:outlineLvl w:val="1"/>
        <w:rPr>
          <w:rFonts w:hint="eastAsia" w:ascii="方正小标宋简体" w:hAnsi="宋体" w:eastAsia="方正小标宋简体" w:cs="Times New Roman"/>
          <w:sz w:val="44"/>
          <w:szCs w:val="44"/>
          <w:lang w:eastAsia="zh-CN"/>
        </w:rPr>
      </w:pPr>
    </w:p>
    <w:p w14:paraId="5A763B04">
      <w:pPr>
        <w:pStyle w:val="35"/>
        <w:spacing w:line="600" w:lineRule="exact"/>
        <w:jc w:val="center"/>
        <w:outlineLvl w:val="1"/>
        <w:rPr>
          <w:rFonts w:hint="eastAsia" w:ascii="方正小标宋简体" w:hAnsi="宋体" w:eastAsia="方正小标宋简体" w:cs="Times New Roman"/>
          <w:sz w:val="44"/>
          <w:szCs w:val="44"/>
          <w:lang w:eastAsia="zh-CN"/>
        </w:rPr>
      </w:pPr>
    </w:p>
    <w:p w14:paraId="34475299">
      <w:pPr>
        <w:pStyle w:val="35"/>
        <w:spacing w:line="600" w:lineRule="exact"/>
        <w:jc w:val="center"/>
        <w:outlineLvl w:val="1"/>
        <w:rPr>
          <w:rFonts w:hint="eastAsia" w:ascii="方正小标宋简体" w:hAnsi="宋体" w:eastAsia="方正小标宋简体" w:cs="Times New Roman"/>
          <w:sz w:val="44"/>
          <w:szCs w:val="44"/>
          <w:lang w:eastAsia="zh-CN"/>
        </w:rPr>
      </w:pPr>
    </w:p>
    <w:p w14:paraId="03C91620">
      <w:pPr>
        <w:pStyle w:val="35"/>
        <w:spacing w:line="600" w:lineRule="exact"/>
        <w:jc w:val="center"/>
        <w:outlineLvl w:val="1"/>
        <w:rPr>
          <w:rFonts w:hint="eastAsia" w:ascii="方正小标宋简体" w:hAnsi="宋体" w:eastAsia="方正小标宋简体" w:cs="Times New Roman"/>
          <w:sz w:val="44"/>
          <w:szCs w:val="44"/>
          <w:lang w:eastAsia="zh-CN"/>
        </w:rPr>
      </w:pPr>
    </w:p>
    <w:p w14:paraId="4E6FA885">
      <w:pPr>
        <w:pStyle w:val="35"/>
        <w:spacing w:line="600" w:lineRule="exact"/>
        <w:jc w:val="center"/>
        <w:outlineLvl w:val="1"/>
        <w:rPr>
          <w:rFonts w:hint="eastAsia" w:ascii="方正小标宋简体" w:hAnsi="宋体" w:eastAsia="方正小标宋简体" w:cs="Times New Roman"/>
          <w:sz w:val="44"/>
          <w:szCs w:val="44"/>
          <w:lang w:eastAsia="zh-CN"/>
        </w:rPr>
      </w:pPr>
    </w:p>
    <w:p w14:paraId="297C38A4">
      <w:pPr>
        <w:pStyle w:val="35"/>
        <w:spacing w:line="600" w:lineRule="exact"/>
        <w:jc w:val="center"/>
        <w:outlineLvl w:val="1"/>
        <w:rPr>
          <w:rFonts w:hint="eastAsia" w:ascii="方正小标宋简体" w:hAnsi="宋体" w:eastAsia="方正小标宋简体" w:cs="Times New Roman"/>
          <w:sz w:val="44"/>
          <w:szCs w:val="44"/>
          <w:lang w:eastAsia="zh-CN"/>
        </w:rPr>
      </w:pPr>
    </w:p>
    <w:p w14:paraId="47C620CC">
      <w:pPr>
        <w:pStyle w:val="35"/>
        <w:spacing w:line="600" w:lineRule="exact"/>
        <w:jc w:val="center"/>
        <w:outlineLvl w:val="1"/>
        <w:rPr>
          <w:rFonts w:hint="eastAsia" w:ascii="方正小标宋简体" w:hAnsi="宋体" w:eastAsia="方正小标宋简体" w:cs="Times New Roman"/>
          <w:sz w:val="44"/>
          <w:szCs w:val="44"/>
          <w:lang w:eastAsia="zh-CN"/>
        </w:rPr>
      </w:pPr>
    </w:p>
    <w:p w14:paraId="593E7094">
      <w:pPr>
        <w:pStyle w:val="35"/>
        <w:spacing w:line="600" w:lineRule="exact"/>
        <w:jc w:val="center"/>
        <w:outlineLvl w:val="1"/>
        <w:rPr>
          <w:rFonts w:hint="eastAsia" w:ascii="方正小标宋简体" w:hAnsi="宋体" w:eastAsia="方正小标宋简体" w:cs="Times New Roman"/>
          <w:sz w:val="44"/>
          <w:szCs w:val="44"/>
          <w:lang w:eastAsia="zh-CN"/>
        </w:rPr>
      </w:pPr>
    </w:p>
    <w:p w14:paraId="28DDC9AB">
      <w:pPr>
        <w:pStyle w:val="35"/>
        <w:spacing w:line="600" w:lineRule="exact"/>
        <w:jc w:val="center"/>
        <w:outlineLvl w:val="1"/>
        <w:rPr>
          <w:rFonts w:hint="eastAsia" w:ascii="方正小标宋简体" w:hAnsi="宋体" w:eastAsia="方正小标宋简体" w:cs="Times New Roman"/>
          <w:sz w:val="44"/>
          <w:szCs w:val="44"/>
          <w:lang w:eastAsia="zh-CN"/>
        </w:rPr>
      </w:pPr>
    </w:p>
    <w:p w14:paraId="6DC4BD5F">
      <w:pPr>
        <w:pStyle w:val="35"/>
        <w:spacing w:line="600" w:lineRule="exact"/>
        <w:jc w:val="center"/>
        <w:outlineLvl w:val="1"/>
        <w:rPr>
          <w:rFonts w:hint="eastAsia" w:ascii="方正小标宋简体" w:hAnsi="宋体" w:eastAsia="方正小标宋简体" w:cs="Times New Roman"/>
          <w:sz w:val="44"/>
          <w:szCs w:val="44"/>
          <w:lang w:eastAsia="zh-CN"/>
        </w:rPr>
      </w:pPr>
    </w:p>
    <w:p w14:paraId="60EA6C92">
      <w:pPr>
        <w:pStyle w:val="35"/>
        <w:spacing w:line="600" w:lineRule="exact"/>
        <w:jc w:val="center"/>
        <w:outlineLvl w:val="1"/>
        <w:rPr>
          <w:rFonts w:hint="eastAsia" w:ascii="方正小标宋简体" w:hAnsi="宋体" w:eastAsia="方正小标宋简体" w:cs="Times New Roman"/>
          <w:sz w:val="44"/>
          <w:szCs w:val="44"/>
          <w:lang w:eastAsia="zh-CN"/>
        </w:rPr>
      </w:pPr>
    </w:p>
    <w:p w14:paraId="0EA35205">
      <w:pPr>
        <w:pStyle w:val="35"/>
        <w:spacing w:line="600" w:lineRule="exact"/>
        <w:jc w:val="center"/>
        <w:outlineLvl w:val="1"/>
        <w:rPr>
          <w:rFonts w:hint="eastAsia" w:ascii="方正小标宋简体" w:hAnsi="宋体" w:eastAsia="方正小标宋简体" w:cs="Times New Roman"/>
          <w:sz w:val="44"/>
          <w:szCs w:val="44"/>
          <w:lang w:eastAsia="zh-CN"/>
        </w:rPr>
      </w:pPr>
    </w:p>
    <w:p w14:paraId="7742BA6B">
      <w:pPr>
        <w:pStyle w:val="35"/>
        <w:spacing w:line="600" w:lineRule="exact"/>
        <w:jc w:val="center"/>
        <w:outlineLvl w:val="1"/>
        <w:rPr>
          <w:rFonts w:hint="eastAsia" w:ascii="方正小标宋简体" w:hAnsi="宋体" w:eastAsia="方正小标宋简体" w:cs="Times New Roman"/>
          <w:sz w:val="44"/>
          <w:szCs w:val="44"/>
          <w:lang w:eastAsia="zh-CN"/>
        </w:rPr>
      </w:pPr>
    </w:p>
    <w:p w14:paraId="5B26FAFA">
      <w:pPr>
        <w:pStyle w:val="35"/>
        <w:spacing w:line="600" w:lineRule="exact"/>
        <w:jc w:val="center"/>
        <w:outlineLvl w:val="1"/>
        <w:rPr>
          <w:rFonts w:hint="eastAsia" w:ascii="方正小标宋简体" w:hAnsi="宋体" w:eastAsia="方正小标宋简体" w:cs="Times New Roman"/>
          <w:sz w:val="44"/>
          <w:szCs w:val="44"/>
          <w:lang w:eastAsia="zh-CN"/>
        </w:rPr>
      </w:pPr>
    </w:p>
    <w:p w14:paraId="0A8AE3D8">
      <w:pPr>
        <w:pStyle w:val="35"/>
        <w:spacing w:line="600" w:lineRule="exact"/>
        <w:jc w:val="center"/>
        <w:outlineLvl w:val="1"/>
        <w:rPr>
          <w:rFonts w:hint="eastAsia" w:ascii="方正小标宋简体" w:hAnsi="宋体" w:eastAsia="方正小标宋简体" w:cs="Times New Roman"/>
          <w:sz w:val="44"/>
          <w:szCs w:val="44"/>
          <w:lang w:eastAsia="zh-CN"/>
        </w:rPr>
      </w:pPr>
    </w:p>
    <w:p w14:paraId="6A0751D4">
      <w:pPr>
        <w:pStyle w:val="35"/>
        <w:spacing w:line="600" w:lineRule="exact"/>
        <w:jc w:val="center"/>
        <w:outlineLvl w:val="1"/>
        <w:rPr>
          <w:rFonts w:hint="eastAsia" w:ascii="方正小标宋简体" w:hAnsi="宋体" w:eastAsia="方正小标宋简体" w:cs="Times New Roman"/>
          <w:sz w:val="44"/>
          <w:szCs w:val="44"/>
          <w:lang w:eastAsia="zh-CN"/>
        </w:rPr>
      </w:pPr>
    </w:p>
    <w:p w14:paraId="2BF7E553">
      <w:pPr>
        <w:pStyle w:val="35"/>
        <w:spacing w:line="600" w:lineRule="exact"/>
        <w:jc w:val="center"/>
        <w:outlineLvl w:val="1"/>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医疗机构基药补助项目</w:t>
      </w:r>
      <w:bookmarkEnd w:id="104"/>
    </w:p>
    <w:p w14:paraId="3D0DCD3F">
      <w:pPr>
        <w:pStyle w:val="35"/>
        <w:spacing w:line="600" w:lineRule="exact"/>
        <w:jc w:val="center"/>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支出绩效自评报告</w:t>
      </w:r>
    </w:p>
    <w:p w14:paraId="27DD8A63">
      <w:pPr>
        <w:pStyle w:val="35"/>
        <w:spacing w:line="600" w:lineRule="exact"/>
        <w:ind w:firstLine="640"/>
        <w:jc w:val="center"/>
        <w:rPr>
          <w:rFonts w:ascii="宋体" w:hAnsi="宋体"/>
          <w:color w:val="auto"/>
          <w:kern w:val="2"/>
          <w:sz w:val="32"/>
          <w:szCs w:val="32"/>
        </w:rPr>
      </w:pPr>
    </w:p>
    <w:p w14:paraId="69A37186">
      <w:pPr>
        <w:adjustRightInd w:val="0"/>
        <w:snapToGrid w:val="0"/>
        <w:spacing w:line="600" w:lineRule="exact"/>
        <w:ind w:firstLine="720"/>
        <w:outlineLvl w:val="1"/>
        <w:rPr>
          <w:rFonts w:hint="eastAsia" w:ascii="仿宋" w:hAnsi="仿宋" w:eastAsia="仿宋" w:cs="仿宋"/>
          <w:b/>
          <w:bCs/>
          <w:sz w:val="32"/>
          <w:szCs w:val="32"/>
          <w:lang w:val="zh-CN"/>
        </w:rPr>
      </w:pPr>
      <w:bookmarkStart w:id="105" w:name="_Toc27260"/>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105"/>
    </w:p>
    <w:p w14:paraId="641D94AF">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（一）项目基本情况。</w:t>
      </w:r>
    </w:p>
    <w:p w14:paraId="6F7C6D27">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1．对全县医疗机构实施基本药物制度的补助。</w:t>
      </w:r>
    </w:p>
    <w:p w14:paraId="1B33DEA3">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2．该项目县级财政下发354.68万元补助资金</w:t>
      </w:r>
    </w:p>
    <w:p w14:paraId="07994891">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3．县卫健局按照各医疗机构每年的取消药品的数量和取消药品加成的金额来分配资金。</w:t>
      </w:r>
    </w:p>
    <w:p w14:paraId="1934B30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7C20B728">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1．对全县16家医疗机构进行基药补助</w:t>
      </w:r>
    </w:p>
    <w:p w14:paraId="1536A421">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2．补助金额：354.68万元</w:t>
      </w:r>
    </w:p>
    <w:p w14:paraId="4661D632">
      <w:p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sz w:val="32"/>
          <w:szCs w:val="32"/>
          <w:lang w:val="zh-CN"/>
        </w:rPr>
        <w:t>3．</w:t>
      </w:r>
      <w:r>
        <w:rPr>
          <w:rFonts w:hint="eastAsia" w:ascii="仿宋" w:hAnsi="仿宋" w:eastAsia="仿宋" w:cs="仿宋"/>
          <w:sz w:val="32"/>
          <w:szCs w:val="32"/>
        </w:rPr>
        <w:t>患者满意度指标：提高了群众满意度。</w:t>
      </w:r>
    </w:p>
    <w:p w14:paraId="3D161B0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（三）项目自评步骤及方法。</w:t>
      </w:r>
    </w:p>
    <w:p w14:paraId="50DEFEAB">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该项目绩效自评主要采用实地查看和通过就医患者访问进行评估。</w:t>
      </w:r>
    </w:p>
    <w:p w14:paraId="41518907">
      <w:pPr>
        <w:adjustRightInd w:val="0"/>
        <w:snapToGrid w:val="0"/>
        <w:spacing w:line="600" w:lineRule="exact"/>
        <w:ind w:firstLine="720"/>
        <w:outlineLvl w:val="1"/>
        <w:rPr>
          <w:rFonts w:hint="eastAsia" w:ascii="仿宋" w:hAnsi="仿宋" w:eastAsia="仿宋" w:cs="仿宋"/>
          <w:sz w:val="32"/>
          <w:szCs w:val="32"/>
        </w:rPr>
      </w:pPr>
      <w:bookmarkStart w:id="106" w:name="_Toc6837"/>
      <w:r>
        <w:rPr>
          <w:rFonts w:hint="eastAsia" w:ascii="仿宋" w:hAnsi="仿宋" w:eastAsia="仿宋" w:cs="仿宋"/>
          <w:sz w:val="32"/>
          <w:szCs w:val="32"/>
        </w:rPr>
        <w:t>二、项目资金申报及使用情况</w:t>
      </w:r>
      <w:bookmarkEnd w:id="106"/>
    </w:p>
    <w:p w14:paraId="702486C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292C6C29">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已经按照程序进行申报并拨付到位354.68万补助资金。</w:t>
      </w:r>
    </w:p>
    <w:p w14:paraId="54BFBEA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（二）资金计划、到位及使用情况。</w:t>
      </w:r>
    </w:p>
    <w:p w14:paraId="7B38BE05">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1．资金计划。财政安排354.68万补助资金</w:t>
      </w:r>
    </w:p>
    <w:p w14:paraId="16A29625">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2．资金到位。财政安排354.68万补助资金已拨付到位</w:t>
      </w:r>
    </w:p>
    <w:p w14:paraId="50DF273F">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3．资金使用。</w:t>
      </w:r>
      <w:r>
        <w:rPr>
          <w:rFonts w:hint="eastAsia" w:ascii="仿宋" w:hAnsi="仿宋" w:eastAsia="仿宋" w:cs="仿宋"/>
          <w:sz w:val="32"/>
          <w:szCs w:val="32"/>
        </w:rPr>
        <w:t>对全县16家医疗机构进行了基药补助。</w:t>
      </w:r>
    </w:p>
    <w:p w14:paraId="4A2E9C6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（三）项目财务管理情况。</w:t>
      </w:r>
    </w:p>
    <w:p w14:paraId="1AC5C84E">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该项目严格按照财务管理的程序进行申报、拨付。项目严格执行财务管理制度、财务处理及时、会计核算规范。</w:t>
      </w:r>
    </w:p>
    <w:p w14:paraId="5272137B">
      <w:pPr>
        <w:adjustRightInd w:val="0"/>
        <w:snapToGrid w:val="0"/>
        <w:spacing w:line="600" w:lineRule="exact"/>
        <w:ind w:firstLine="720"/>
        <w:outlineLvl w:val="1"/>
        <w:rPr>
          <w:rFonts w:hint="eastAsia" w:ascii="仿宋" w:hAnsi="仿宋" w:eastAsia="仿宋" w:cs="仿宋"/>
          <w:sz w:val="32"/>
          <w:szCs w:val="32"/>
        </w:rPr>
      </w:pPr>
      <w:bookmarkStart w:id="107" w:name="_Toc5228"/>
      <w:r>
        <w:rPr>
          <w:rFonts w:hint="eastAsia" w:ascii="仿宋" w:hAnsi="仿宋" w:eastAsia="仿宋" w:cs="仿宋"/>
          <w:sz w:val="32"/>
          <w:szCs w:val="32"/>
        </w:rPr>
        <w:t>三、项目实施及管理情况</w:t>
      </w:r>
      <w:bookmarkEnd w:id="107"/>
    </w:p>
    <w:p w14:paraId="270FD86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（一）项目组织架构及实施流程。</w:t>
      </w:r>
    </w:p>
    <w:p w14:paraId="7AA290C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项目组织有序，实施流程规范。</w:t>
      </w:r>
    </w:p>
    <w:p w14:paraId="25B87907">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（二）项目管理情况。</w:t>
      </w:r>
    </w:p>
    <w:p w14:paraId="77BFCFD9">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各医疗机构严格按照基本药物制度，对基本药物实施零加价销售。</w:t>
      </w:r>
    </w:p>
    <w:p w14:paraId="73005E9B">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（三）项目监管情况。</w:t>
      </w:r>
    </w:p>
    <w:p w14:paraId="54E189AF">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县卫健局定期对项目的实施情况进行督查。</w:t>
      </w:r>
    </w:p>
    <w:p w14:paraId="40A5D2A6">
      <w:pPr>
        <w:adjustRightInd w:val="0"/>
        <w:snapToGrid w:val="0"/>
        <w:spacing w:line="600" w:lineRule="exact"/>
        <w:ind w:firstLine="720"/>
        <w:outlineLvl w:val="1"/>
        <w:rPr>
          <w:rFonts w:hint="eastAsia" w:ascii="仿宋" w:hAnsi="仿宋" w:eastAsia="仿宋" w:cs="仿宋"/>
          <w:sz w:val="32"/>
          <w:szCs w:val="32"/>
          <w:lang w:val="zh-CN"/>
        </w:rPr>
      </w:pPr>
      <w:bookmarkStart w:id="108" w:name="_Toc8789"/>
      <w:r>
        <w:rPr>
          <w:rFonts w:hint="eastAsia" w:ascii="仿宋" w:hAnsi="仿宋" w:eastAsia="仿宋" w:cs="仿宋"/>
          <w:sz w:val="32"/>
          <w:szCs w:val="32"/>
        </w:rPr>
        <w:t>四、项目绩效情况</w:t>
      </w:r>
      <w:bookmarkEnd w:id="108"/>
      <w:r>
        <w:rPr>
          <w:rFonts w:hint="eastAsia" w:ascii="仿宋" w:hAnsi="仿宋" w:eastAsia="仿宋" w:cs="仿宋"/>
          <w:sz w:val="32"/>
          <w:szCs w:val="32"/>
          <w:lang w:val="zh-CN"/>
        </w:rPr>
        <w:tab/>
      </w:r>
    </w:p>
    <w:p w14:paraId="5FAAED4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662446E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对全县16家医疗机构进行了基药补助，共计补偿354.68万元，完成率100%。</w:t>
      </w:r>
    </w:p>
    <w:p w14:paraId="7F5013B1">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3DAEF701">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各医疗机构按照项目实施的具体方案，全部对基本药物零加价销售，进一步减轻了就医患者的经济负担，病人满意度进一步提升。</w:t>
      </w:r>
    </w:p>
    <w:p w14:paraId="18F0CEBD">
      <w:pPr>
        <w:adjustRightInd w:val="0"/>
        <w:snapToGrid w:val="0"/>
        <w:spacing w:line="600" w:lineRule="exact"/>
        <w:ind w:firstLine="720"/>
        <w:outlineLvl w:val="1"/>
        <w:rPr>
          <w:rFonts w:hint="eastAsia" w:ascii="仿宋" w:hAnsi="仿宋" w:eastAsia="仿宋" w:cs="仿宋"/>
          <w:sz w:val="32"/>
          <w:szCs w:val="32"/>
        </w:rPr>
      </w:pPr>
      <w:bookmarkStart w:id="109" w:name="_Toc30945"/>
      <w:r>
        <w:rPr>
          <w:rFonts w:hint="eastAsia" w:ascii="仿宋" w:hAnsi="仿宋" w:eastAsia="仿宋" w:cs="仿宋"/>
          <w:sz w:val="32"/>
          <w:szCs w:val="32"/>
        </w:rPr>
        <w:t>五、评价结论及建议</w:t>
      </w:r>
      <w:bookmarkEnd w:id="109"/>
    </w:p>
    <w:p w14:paraId="5B160700">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（一）评价结论。</w:t>
      </w:r>
    </w:p>
    <w:p w14:paraId="77D672DE">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该项目具有很好的及时性和社会性，对医疗机构的基药补助，能促进医疗机构进一步降低患者费用，对社会稳定、和谐发展起到一定作用。</w:t>
      </w:r>
    </w:p>
    <w:p w14:paraId="0514951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（二）存在的问题。</w:t>
      </w:r>
    </w:p>
    <w:p w14:paraId="1D8BF9E0">
      <w:pPr>
        <w:adjustRightInd w:val="0"/>
        <w:snapToGrid w:val="0"/>
        <w:spacing w:line="60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r>
        <w:rPr>
          <w:rFonts w:hint="eastAsia" w:ascii="仿宋" w:hAnsi="仿宋" w:eastAsia="仿宋" w:cs="仿宋"/>
          <w:sz w:val="32"/>
          <w:szCs w:val="32"/>
          <w:lang w:val="zh-CN"/>
        </w:rPr>
        <w:tab/>
      </w:r>
    </w:p>
    <w:p w14:paraId="078E658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（三）相关建议。</w:t>
      </w:r>
    </w:p>
    <w:p w14:paraId="326A6F69">
      <w:pPr>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无。</w:t>
      </w:r>
    </w:p>
    <w:p w14:paraId="56FFC46B">
      <w:pPr>
        <w:ind w:left="0" w:leftChars="0" w:firstLine="640" w:firstLineChars="200"/>
        <w:rPr>
          <w:rFonts w:hint="eastAsia" w:eastAsia="仿宋_GB2312"/>
          <w:sz w:val="32"/>
          <w:szCs w:val="32"/>
          <w:lang w:val="zh-CN"/>
        </w:rPr>
      </w:pPr>
    </w:p>
    <w:p w14:paraId="5EF1FAAC">
      <w:pPr>
        <w:ind w:left="0" w:leftChars="0" w:firstLine="640" w:firstLineChars="200"/>
        <w:rPr>
          <w:rFonts w:hint="eastAsia" w:eastAsia="仿宋_GB2312"/>
          <w:sz w:val="32"/>
          <w:szCs w:val="32"/>
          <w:lang w:val="zh-CN"/>
        </w:rPr>
      </w:pPr>
    </w:p>
    <w:p w14:paraId="0A73BBE8">
      <w:pPr>
        <w:ind w:left="0" w:leftChars="0" w:firstLine="640" w:firstLineChars="200"/>
        <w:rPr>
          <w:rFonts w:hint="eastAsia" w:eastAsia="仿宋_GB2312"/>
          <w:sz w:val="32"/>
          <w:szCs w:val="32"/>
          <w:lang w:val="zh-CN"/>
        </w:rPr>
      </w:pPr>
    </w:p>
    <w:p w14:paraId="2904DA3D">
      <w:pPr>
        <w:ind w:left="0" w:leftChars="0" w:firstLine="640" w:firstLineChars="200"/>
        <w:rPr>
          <w:rFonts w:hint="eastAsia" w:eastAsia="仿宋_GB2312"/>
          <w:sz w:val="32"/>
          <w:szCs w:val="32"/>
          <w:lang w:val="zh-CN"/>
        </w:rPr>
      </w:pPr>
    </w:p>
    <w:p w14:paraId="4EFB0EB5">
      <w:pPr>
        <w:ind w:left="0" w:leftChars="0" w:firstLine="640" w:firstLineChars="200"/>
        <w:rPr>
          <w:rFonts w:hint="eastAsia" w:eastAsia="仿宋_GB2312"/>
          <w:sz w:val="32"/>
          <w:szCs w:val="32"/>
          <w:lang w:val="zh-CN"/>
        </w:rPr>
      </w:pPr>
    </w:p>
    <w:p w14:paraId="587B3F26">
      <w:pPr>
        <w:ind w:left="0" w:leftChars="0" w:firstLine="640" w:firstLineChars="200"/>
        <w:rPr>
          <w:rFonts w:hint="eastAsia" w:eastAsia="仿宋_GB2312"/>
          <w:sz w:val="32"/>
          <w:szCs w:val="32"/>
          <w:lang w:val="zh-CN"/>
        </w:rPr>
      </w:pPr>
    </w:p>
    <w:p w14:paraId="41633111">
      <w:pPr>
        <w:pStyle w:val="35"/>
        <w:spacing w:line="600" w:lineRule="exact"/>
        <w:jc w:val="center"/>
        <w:outlineLvl w:val="1"/>
        <w:rPr>
          <w:rFonts w:hint="eastAsia" w:ascii="方正小标宋简体" w:hAnsi="宋体" w:eastAsia="方正小标宋简体" w:cs="Times New Roman"/>
          <w:sz w:val="44"/>
          <w:szCs w:val="44"/>
          <w:lang w:eastAsia="zh-CN"/>
        </w:rPr>
      </w:pPr>
      <w:bookmarkStart w:id="110" w:name="_Toc24600"/>
    </w:p>
    <w:p w14:paraId="14402581">
      <w:pPr>
        <w:pStyle w:val="35"/>
        <w:spacing w:line="600" w:lineRule="exact"/>
        <w:jc w:val="center"/>
        <w:outlineLvl w:val="1"/>
        <w:rPr>
          <w:rFonts w:hint="eastAsia" w:ascii="方正小标宋简体" w:hAnsi="宋体" w:eastAsia="方正小标宋简体" w:cs="Times New Roman"/>
          <w:sz w:val="44"/>
          <w:szCs w:val="44"/>
          <w:lang w:eastAsia="zh-CN"/>
        </w:rPr>
      </w:pPr>
    </w:p>
    <w:p w14:paraId="03045EF4">
      <w:pPr>
        <w:pStyle w:val="35"/>
        <w:spacing w:line="600" w:lineRule="exact"/>
        <w:jc w:val="center"/>
        <w:outlineLvl w:val="1"/>
        <w:rPr>
          <w:rFonts w:hint="eastAsia" w:ascii="方正小标宋简体" w:hAnsi="宋体" w:eastAsia="方正小标宋简体" w:cs="Times New Roman"/>
          <w:sz w:val="44"/>
          <w:szCs w:val="44"/>
          <w:lang w:eastAsia="zh-CN"/>
        </w:rPr>
      </w:pPr>
    </w:p>
    <w:p w14:paraId="67BD9ABC">
      <w:pPr>
        <w:pStyle w:val="35"/>
        <w:spacing w:line="600" w:lineRule="exact"/>
        <w:jc w:val="center"/>
        <w:outlineLvl w:val="1"/>
        <w:rPr>
          <w:rFonts w:hint="eastAsia" w:ascii="方正小标宋简体" w:hAnsi="宋体" w:eastAsia="方正小标宋简体" w:cs="Times New Roman"/>
          <w:sz w:val="44"/>
          <w:szCs w:val="44"/>
          <w:lang w:eastAsia="zh-CN"/>
        </w:rPr>
      </w:pPr>
    </w:p>
    <w:p w14:paraId="00226B3C">
      <w:pPr>
        <w:pStyle w:val="35"/>
        <w:spacing w:line="600" w:lineRule="exact"/>
        <w:jc w:val="center"/>
        <w:outlineLvl w:val="1"/>
        <w:rPr>
          <w:rFonts w:hint="eastAsia" w:ascii="方正小标宋简体" w:hAnsi="宋体" w:eastAsia="方正小标宋简体" w:cs="Times New Roman"/>
          <w:sz w:val="44"/>
          <w:szCs w:val="44"/>
          <w:lang w:eastAsia="zh-CN"/>
        </w:rPr>
      </w:pPr>
    </w:p>
    <w:p w14:paraId="7916645E">
      <w:pPr>
        <w:pStyle w:val="35"/>
        <w:spacing w:line="600" w:lineRule="exact"/>
        <w:jc w:val="center"/>
        <w:outlineLvl w:val="1"/>
        <w:rPr>
          <w:rFonts w:hint="eastAsia" w:ascii="方正小标宋简体" w:hAnsi="宋体" w:eastAsia="方正小标宋简体" w:cs="Times New Roman"/>
          <w:sz w:val="44"/>
          <w:szCs w:val="44"/>
          <w:lang w:eastAsia="zh-CN"/>
        </w:rPr>
      </w:pPr>
    </w:p>
    <w:p w14:paraId="18A7A208">
      <w:pPr>
        <w:pStyle w:val="35"/>
        <w:spacing w:line="600" w:lineRule="exact"/>
        <w:jc w:val="center"/>
        <w:outlineLvl w:val="1"/>
        <w:rPr>
          <w:rFonts w:hint="eastAsia" w:ascii="方正小标宋简体" w:hAnsi="宋体" w:eastAsia="方正小标宋简体" w:cs="Times New Roman"/>
          <w:sz w:val="44"/>
          <w:szCs w:val="44"/>
          <w:lang w:eastAsia="zh-CN"/>
        </w:rPr>
      </w:pPr>
    </w:p>
    <w:p w14:paraId="48F9DA54">
      <w:pPr>
        <w:pStyle w:val="35"/>
        <w:spacing w:line="600" w:lineRule="exact"/>
        <w:jc w:val="center"/>
        <w:outlineLvl w:val="1"/>
        <w:rPr>
          <w:rFonts w:hint="eastAsia" w:ascii="方正小标宋简体" w:hAnsi="宋体" w:eastAsia="方正小标宋简体" w:cs="Times New Roman"/>
          <w:sz w:val="44"/>
          <w:szCs w:val="44"/>
          <w:lang w:eastAsia="zh-CN"/>
        </w:rPr>
      </w:pPr>
    </w:p>
    <w:p w14:paraId="6A94F9A4">
      <w:pPr>
        <w:pStyle w:val="35"/>
        <w:spacing w:line="600" w:lineRule="exact"/>
        <w:jc w:val="center"/>
        <w:outlineLvl w:val="1"/>
        <w:rPr>
          <w:rFonts w:hint="eastAsia" w:ascii="方正小标宋简体" w:hAnsi="宋体" w:eastAsia="方正小标宋简体" w:cs="Times New Roman"/>
          <w:sz w:val="44"/>
          <w:szCs w:val="44"/>
          <w:lang w:eastAsia="zh-CN"/>
        </w:rPr>
      </w:pPr>
    </w:p>
    <w:p w14:paraId="46C20E8E">
      <w:pPr>
        <w:pStyle w:val="35"/>
        <w:spacing w:line="600" w:lineRule="exact"/>
        <w:jc w:val="center"/>
        <w:outlineLvl w:val="1"/>
        <w:rPr>
          <w:rFonts w:hint="eastAsia" w:ascii="方正小标宋简体" w:hAnsi="宋体" w:eastAsia="方正小标宋简体" w:cs="Times New Roman"/>
          <w:sz w:val="44"/>
          <w:szCs w:val="44"/>
          <w:lang w:eastAsia="zh-CN"/>
        </w:rPr>
      </w:pPr>
    </w:p>
    <w:p w14:paraId="2059E1FE">
      <w:pPr>
        <w:pStyle w:val="35"/>
        <w:spacing w:line="600" w:lineRule="exact"/>
        <w:jc w:val="center"/>
        <w:outlineLvl w:val="1"/>
        <w:rPr>
          <w:rFonts w:hint="eastAsia" w:ascii="方正小标宋简体" w:hAnsi="宋体" w:eastAsia="方正小标宋简体" w:cs="Times New Roman"/>
          <w:sz w:val="44"/>
          <w:szCs w:val="44"/>
          <w:lang w:eastAsia="zh-CN"/>
        </w:rPr>
      </w:pPr>
    </w:p>
    <w:p w14:paraId="0140B6EC">
      <w:pPr>
        <w:pStyle w:val="35"/>
        <w:spacing w:line="600" w:lineRule="exact"/>
        <w:jc w:val="center"/>
        <w:outlineLvl w:val="1"/>
        <w:rPr>
          <w:rFonts w:hint="eastAsia" w:ascii="方正小标宋简体" w:hAnsi="宋体" w:eastAsia="方正小标宋简体" w:cs="Times New Roman"/>
          <w:sz w:val="44"/>
          <w:szCs w:val="44"/>
          <w:lang w:eastAsia="zh-CN"/>
        </w:rPr>
      </w:pPr>
    </w:p>
    <w:p w14:paraId="548853D2">
      <w:pPr>
        <w:pStyle w:val="35"/>
        <w:spacing w:line="600" w:lineRule="exact"/>
        <w:jc w:val="center"/>
        <w:outlineLvl w:val="1"/>
        <w:rPr>
          <w:rFonts w:hint="eastAsia" w:ascii="方正小标宋简体" w:hAnsi="宋体" w:eastAsia="方正小标宋简体" w:cs="Times New Roman"/>
          <w:sz w:val="44"/>
          <w:szCs w:val="44"/>
          <w:lang w:eastAsia="zh-CN"/>
        </w:rPr>
      </w:pPr>
      <w:r>
        <w:rPr>
          <w:rFonts w:hint="eastAsia" w:ascii="方正小标宋简体" w:hAnsi="宋体" w:eastAsia="方正小标宋简体" w:cs="Times New Roman"/>
          <w:sz w:val="44"/>
          <w:szCs w:val="44"/>
          <w:lang w:eastAsia="zh-CN"/>
        </w:rPr>
        <w:t>计划生育资金项目</w:t>
      </w:r>
      <w:bookmarkEnd w:id="110"/>
    </w:p>
    <w:p w14:paraId="6348F66D">
      <w:pPr>
        <w:pStyle w:val="35"/>
        <w:spacing w:line="600" w:lineRule="exact"/>
        <w:jc w:val="center"/>
        <w:rPr>
          <w:rFonts w:ascii="宋体" w:hAnsi="宋体"/>
          <w:color w:val="auto"/>
          <w:kern w:val="2"/>
          <w:sz w:val="32"/>
          <w:szCs w:val="32"/>
        </w:rPr>
      </w:pPr>
      <w:r>
        <w:rPr>
          <w:rFonts w:hint="eastAsia" w:ascii="方正小标宋简体" w:hAnsi="宋体" w:eastAsia="方正小标宋简体" w:cs="Times New Roman"/>
          <w:sz w:val="44"/>
          <w:szCs w:val="44"/>
          <w:lang w:eastAsia="zh-CN"/>
        </w:rPr>
        <w:t>支出绩效自评报告</w:t>
      </w:r>
    </w:p>
    <w:p w14:paraId="5CD09D0B">
      <w:pPr>
        <w:adjustRightInd w:val="0"/>
        <w:snapToGrid w:val="0"/>
        <w:spacing w:line="600" w:lineRule="exact"/>
        <w:ind w:firstLine="720"/>
        <w:outlineLvl w:val="1"/>
        <w:rPr>
          <w:rFonts w:hint="eastAsia" w:ascii="仿宋" w:hAnsi="仿宋" w:eastAsia="仿宋" w:cs="仿宋"/>
          <w:b/>
          <w:bCs/>
          <w:sz w:val="32"/>
          <w:szCs w:val="32"/>
          <w:lang w:val="zh-CN"/>
        </w:rPr>
      </w:pPr>
      <w:bookmarkStart w:id="111" w:name="_Toc26322"/>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111"/>
    </w:p>
    <w:p w14:paraId="42F2098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（一）项目基本情况。</w:t>
      </w:r>
    </w:p>
    <w:p w14:paraId="144A83C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1．对全县计划生育奖特扶对象的补助。</w:t>
      </w:r>
    </w:p>
    <w:p w14:paraId="534BA2BA">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2．该项目县级财政下发205.36万元补助资金</w:t>
      </w:r>
    </w:p>
    <w:p w14:paraId="511D6BD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F8E0F3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1．对全县计划生育奖特扶对象进行补助</w:t>
      </w:r>
    </w:p>
    <w:p w14:paraId="206C9D57">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2．补助金额：205.36万元</w:t>
      </w:r>
    </w:p>
    <w:p w14:paraId="0BA37661">
      <w:p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sz w:val="32"/>
          <w:szCs w:val="32"/>
          <w:lang w:val="zh-CN"/>
        </w:rPr>
        <w:t>3．</w:t>
      </w:r>
      <w:r>
        <w:rPr>
          <w:rFonts w:hint="eastAsia" w:ascii="仿宋" w:hAnsi="仿宋" w:eastAsia="仿宋" w:cs="仿宋"/>
          <w:sz w:val="32"/>
          <w:szCs w:val="32"/>
        </w:rPr>
        <w:t>补助对象满意度指标：提高了群众满意度。</w:t>
      </w:r>
    </w:p>
    <w:p w14:paraId="2A6CBB8D">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（三）项目自评步骤及方法。</w:t>
      </w:r>
    </w:p>
    <w:p w14:paraId="3E66CD62">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该项目绩效自评主要采用一卡通发放成功率和补助对象访问进行评估。</w:t>
      </w:r>
    </w:p>
    <w:p w14:paraId="3AE93817">
      <w:pPr>
        <w:adjustRightInd w:val="0"/>
        <w:snapToGrid w:val="0"/>
        <w:spacing w:line="600" w:lineRule="exact"/>
        <w:ind w:firstLine="720"/>
        <w:outlineLvl w:val="1"/>
        <w:rPr>
          <w:rFonts w:hint="eastAsia" w:ascii="仿宋" w:hAnsi="仿宋" w:eastAsia="仿宋" w:cs="仿宋"/>
          <w:sz w:val="32"/>
          <w:szCs w:val="32"/>
        </w:rPr>
      </w:pPr>
      <w:bookmarkStart w:id="112" w:name="_Toc26291"/>
      <w:r>
        <w:rPr>
          <w:rFonts w:hint="eastAsia" w:ascii="仿宋" w:hAnsi="仿宋" w:eastAsia="仿宋" w:cs="仿宋"/>
          <w:sz w:val="32"/>
          <w:szCs w:val="32"/>
        </w:rPr>
        <w:t>二、项目资金申报及使用情况</w:t>
      </w:r>
      <w:bookmarkEnd w:id="112"/>
    </w:p>
    <w:p w14:paraId="11E5EE81">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052BC655">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已经按照程序进行申报并拨付到位205.36万补助资金。</w:t>
      </w:r>
    </w:p>
    <w:p w14:paraId="107C7009">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（二）资金计划、到位及使用情况。</w:t>
      </w:r>
    </w:p>
    <w:p w14:paraId="70CA69E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1．资金计划。财政安排205.36万补助资金</w:t>
      </w:r>
    </w:p>
    <w:p w14:paraId="2BDFA76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2．资金到位。财政安排205.36万补助资金已拨付到位</w:t>
      </w:r>
    </w:p>
    <w:p w14:paraId="53CD02C9">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3．资金使用。</w:t>
      </w:r>
      <w:r>
        <w:rPr>
          <w:rFonts w:hint="eastAsia" w:ascii="仿宋" w:hAnsi="仿宋" w:eastAsia="仿宋" w:cs="仿宋"/>
          <w:sz w:val="32"/>
          <w:szCs w:val="32"/>
        </w:rPr>
        <w:t>对全县1089人进行了奖励扶助，88人特别扶助，20人并发症补助。</w:t>
      </w:r>
    </w:p>
    <w:p w14:paraId="0B8C2FBA">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（三）项目财务管理情况。</w:t>
      </w:r>
    </w:p>
    <w:p w14:paraId="38396DA0">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该项目严格按照财务管理的程序进行申报、拨付。项目严格执行财务管理制度、财务处理及时、会计核算规范。</w:t>
      </w:r>
    </w:p>
    <w:p w14:paraId="36CF6710">
      <w:pPr>
        <w:adjustRightInd w:val="0"/>
        <w:snapToGrid w:val="0"/>
        <w:spacing w:line="600" w:lineRule="exact"/>
        <w:ind w:firstLine="720"/>
        <w:outlineLvl w:val="1"/>
        <w:rPr>
          <w:rFonts w:hint="eastAsia" w:ascii="仿宋" w:hAnsi="仿宋" w:eastAsia="仿宋" w:cs="仿宋"/>
          <w:sz w:val="32"/>
          <w:szCs w:val="32"/>
        </w:rPr>
      </w:pPr>
      <w:bookmarkStart w:id="113" w:name="_Toc3924"/>
      <w:r>
        <w:rPr>
          <w:rFonts w:hint="eastAsia" w:ascii="仿宋" w:hAnsi="仿宋" w:eastAsia="仿宋" w:cs="仿宋"/>
          <w:sz w:val="32"/>
          <w:szCs w:val="32"/>
        </w:rPr>
        <w:t>三、项目实施及管理情况</w:t>
      </w:r>
      <w:bookmarkEnd w:id="113"/>
    </w:p>
    <w:p w14:paraId="07A881E4">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（一）项目组织架构及实施流程。</w:t>
      </w:r>
    </w:p>
    <w:p w14:paraId="37D4D6D3">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项目组织有序，实施流程规范。</w:t>
      </w:r>
    </w:p>
    <w:p w14:paraId="40526D9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（二）项目管理情况。</w:t>
      </w:r>
    </w:p>
    <w:p w14:paraId="4DF3C65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按实核对各补助对象人数，依规一卡通发放至各补助对象。</w:t>
      </w:r>
      <w:r>
        <w:rPr>
          <w:rFonts w:hint="eastAsia" w:ascii="仿宋" w:hAnsi="仿宋" w:eastAsia="仿宋" w:cs="仿宋"/>
          <w:b/>
          <w:sz w:val="32"/>
          <w:szCs w:val="32"/>
          <w:lang w:val="zh-CN"/>
        </w:rPr>
        <w:t>（三）项目监管情况。</w:t>
      </w:r>
    </w:p>
    <w:p w14:paraId="4BC682B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县卫健局定期对项目的实施情况进行督查。</w:t>
      </w:r>
    </w:p>
    <w:p w14:paraId="29136E18">
      <w:pPr>
        <w:adjustRightInd w:val="0"/>
        <w:snapToGrid w:val="0"/>
        <w:spacing w:line="600" w:lineRule="exact"/>
        <w:ind w:firstLine="720"/>
        <w:outlineLvl w:val="1"/>
        <w:rPr>
          <w:rFonts w:hint="eastAsia" w:ascii="仿宋" w:hAnsi="仿宋" w:eastAsia="仿宋" w:cs="仿宋"/>
          <w:sz w:val="32"/>
          <w:szCs w:val="32"/>
          <w:lang w:val="zh-CN"/>
        </w:rPr>
      </w:pPr>
      <w:bookmarkStart w:id="114" w:name="_Toc12116"/>
      <w:r>
        <w:rPr>
          <w:rFonts w:hint="eastAsia" w:ascii="仿宋" w:hAnsi="仿宋" w:eastAsia="仿宋" w:cs="仿宋"/>
          <w:sz w:val="32"/>
          <w:szCs w:val="32"/>
        </w:rPr>
        <w:t>四、项目绩效情况</w:t>
      </w:r>
      <w:bookmarkEnd w:id="114"/>
      <w:r>
        <w:rPr>
          <w:rFonts w:hint="eastAsia" w:ascii="仿宋" w:hAnsi="仿宋" w:eastAsia="仿宋" w:cs="仿宋"/>
          <w:sz w:val="32"/>
          <w:szCs w:val="32"/>
          <w:lang w:val="zh-CN"/>
        </w:rPr>
        <w:tab/>
      </w:r>
    </w:p>
    <w:p w14:paraId="141AD0A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126F1744">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对全县计划生育奖特扶对象的补助，共计补偿250.36万元，完成率100%。</w:t>
      </w:r>
    </w:p>
    <w:p w14:paraId="5DB3FC41">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0D052E9F">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补助对象满意度进一步提升，促进了社会稳定性。</w:t>
      </w:r>
    </w:p>
    <w:p w14:paraId="63A30E18">
      <w:pPr>
        <w:adjustRightInd w:val="0"/>
        <w:snapToGrid w:val="0"/>
        <w:spacing w:line="600" w:lineRule="exact"/>
        <w:ind w:firstLine="720"/>
        <w:outlineLvl w:val="1"/>
        <w:rPr>
          <w:rFonts w:hint="eastAsia" w:ascii="仿宋" w:hAnsi="仿宋" w:eastAsia="仿宋" w:cs="仿宋"/>
          <w:sz w:val="32"/>
          <w:szCs w:val="32"/>
        </w:rPr>
      </w:pPr>
      <w:bookmarkStart w:id="115" w:name="_Toc2462"/>
      <w:r>
        <w:rPr>
          <w:rFonts w:hint="eastAsia" w:ascii="仿宋" w:hAnsi="仿宋" w:eastAsia="仿宋" w:cs="仿宋"/>
          <w:sz w:val="32"/>
          <w:szCs w:val="32"/>
        </w:rPr>
        <w:t>五、评价结论及建议</w:t>
      </w:r>
      <w:bookmarkEnd w:id="115"/>
    </w:p>
    <w:p w14:paraId="5EB9603B">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（一）评价结论。</w:t>
      </w:r>
    </w:p>
    <w:p w14:paraId="33159E4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该项目具有很好的及时性和社会性，对社会稳定、和谐发展起到一定作用。</w:t>
      </w:r>
    </w:p>
    <w:p w14:paraId="70B6459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（二）存在的问题。</w:t>
      </w:r>
    </w:p>
    <w:p w14:paraId="181A109C">
      <w:pPr>
        <w:adjustRightInd w:val="0"/>
        <w:snapToGrid w:val="0"/>
        <w:spacing w:line="60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r>
        <w:rPr>
          <w:rFonts w:hint="eastAsia" w:ascii="仿宋" w:hAnsi="仿宋" w:eastAsia="仿宋" w:cs="仿宋"/>
          <w:sz w:val="32"/>
          <w:szCs w:val="32"/>
          <w:lang w:val="zh-CN"/>
        </w:rPr>
        <w:tab/>
      </w:r>
    </w:p>
    <w:p w14:paraId="409FB550">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（三）相关建议。</w:t>
      </w:r>
    </w:p>
    <w:p w14:paraId="05CC02F2">
      <w:pPr>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无。</w:t>
      </w:r>
    </w:p>
    <w:p w14:paraId="0A19B1F8">
      <w:pPr>
        <w:pStyle w:val="35"/>
        <w:spacing w:line="600" w:lineRule="exact"/>
        <w:jc w:val="center"/>
        <w:rPr>
          <w:rFonts w:hint="eastAsia" w:ascii="方正小标宋简体" w:hAnsi="宋体" w:eastAsia="方正小标宋简体" w:cs="Times New Roman"/>
          <w:sz w:val="44"/>
          <w:szCs w:val="44"/>
          <w:lang w:val="en-US" w:eastAsia="zh-CN"/>
        </w:rPr>
      </w:pPr>
      <w:r>
        <w:rPr>
          <w:rFonts w:hint="eastAsia" w:ascii="方正小标宋简体" w:hAnsi="宋体" w:eastAsia="方正小标宋简体" w:cs="Times New Roman"/>
          <w:sz w:val="44"/>
          <w:szCs w:val="44"/>
          <w:lang w:val="en-US" w:eastAsia="zh-CN"/>
        </w:rPr>
        <w:t>2023年医疗服务与保障能力提升</w:t>
      </w:r>
    </w:p>
    <w:p w14:paraId="18448015">
      <w:pPr>
        <w:pStyle w:val="35"/>
        <w:spacing w:line="600" w:lineRule="exact"/>
        <w:jc w:val="center"/>
        <w:outlineLvl w:val="1"/>
        <w:rPr>
          <w:rFonts w:hint="eastAsia" w:ascii="方正小标宋简体" w:hAnsi="宋体" w:eastAsia="方正小标宋简体" w:cs="Times New Roman"/>
          <w:sz w:val="44"/>
          <w:szCs w:val="44"/>
          <w:lang w:eastAsia="zh-CN"/>
        </w:rPr>
      </w:pPr>
      <w:bookmarkStart w:id="116" w:name="_Toc29707"/>
      <w:r>
        <w:rPr>
          <w:rFonts w:hint="eastAsia" w:ascii="方正小标宋简体" w:hAnsi="宋体" w:eastAsia="方正小标宋简体" w:cs="Times New Roman"/>
          <w:sz w:val="44"/>
          <w:szCs w:val="44"/>
          <w:lang w:eastAsia="zh-CN"/>
        </w:rPr>
        <w:t>项目支出绩效自评报告</w:t>
      </w:r>
      <w:bookmarkEnd w:id="116"/>
    </w:p>
    <w:p w14:paraId="54DD6A30">
      <w:pPr>
        <w:pStyle w:val="35"/>
        <w:spacing w:line="240" w:lineRule="auto"/>
        <w:ind w:firstLine="640"/>
        <w:jc w:val="center"/>
        <w:rPr>
          <w:rFonts w:asciiTheme="minorEastAsia" w:hAnsiTheme="minorEastAsia" w:eastAsiaTheme="minorEastAsia" w:cstheme="minorEastAsia"/>
          <w:b/>
          <w:bCs/>
          <w:color w:val="auto"/>
          <w:kern w:val="2"/>
          <w:sz w:val="44"/>
          <w:szCs w:val="44"/>
        </w:rPr>
      </w:pPr>
    </w:p>
    <w:p w14:paraId="5D7FAD07">
      <w:pPr>
        <w:adjustRightInd w:val="0"/>
        <w:snapToGrid w:val="0"/>
        <w:spacing w:line="520" w:lineRule="exact"/>
        <w:ind w:firstLine="643" w:firstLineChars="200"/>
        <w:outlineLvl w:val="1"/>
        <w:rPr>
          <w:rFonts w:hint="eastAsia" w:ascii="仿宋" w:hAnsi="仿宋" w:eastAsia="仿宋" w:cs="仿宋"/>
          <w:b/>
          <w:bCs/>
          <w:sz w:val="32"/>
          <w:szCs w:val="32"/>
          <w:lang w:val="zh-CN"/>
        </w:rPr>
      </w:pPr>
      <w:bookmarkStart w:id="117" w:name="_Toc4180"/>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117"/>
    </w:p>
    <w:p w14:paraId="57B3C36D">
      <w:pPr>
        <w:adjustRightInd w:val="0"/>
        <w:snapToGrid w:val="0"/>
        <w:spacing w:line="520" w:lineRule="exact"/>
        <w:ind w:firstLine="643" w:firstLineChars="200"/>
        <w:rPr>
          <w:rFonts w:hint="eastAsia" w:ascii="仿宋" w:hAnsi="仿宋" w:eastAsia="仿宋" w:cs="仿宋"/>
          <w:sz w:val="32"/>
          <w:szCs w:val="32"/>
        </w:rPr>
      </w:pPr>
      <w:r>
        <w:rPr>
          <w:rFonts w:hint="eastAsia" w:ascii="仿宋" w:hAnsi="仿宋" w:eastAsia="仿宋" w:cs="仿宋"/>
          <w:b/>
          <w:sz w:val="32"/>
          <w:szCs w:val="32"/>
          <w:lang w:val="zh-CN"/>
        </w:rPr>
        <w:t>（一）项目资金申报及批复情况。</w:t>
      </w:r>
      <w:r>
        <w:rPr>
          <w:rFonts w:hint="eastAsia" w:ascii="仿宋" w:hAnsi="仿宋" w:eastAsia="仿宋" w:cs="仿宋"/>
          <w:sz w:val="32"/>
          <w:szCs w:val="32"/>
        </w:rPr>
        <w:t>根据四川省财政厅  四川省卫生健康委</w:t>
      </w:r>
      <w:r>
        <w:rPr>
          <w:rFonts w:hint="eastAsia" w:ascii="仿宋" w:hAnsi="仿宋" w:eastAsia="仿宋" w:cs="仿宋"/>
          <w:sz w:val="32"/>
          <w:szCs w:val="32"/>
          <w:lang w:val="zh-CN"/>
        </w:rPr>
        <w:t>《关于下达 2023 年民族地区卫生发展十年行动计划专项资金的通知》（川财社﹝2023﹞21号）和提前下达</w:t>
      </w:r>
      <w:r>
        <w:rPr>
          <w:rFonts w:hint="eastAsia" w:ascii="仿宋" w:hAnsi="仿宋" w:eastAsia="仿宋" w:cs="仿宋"/>
          <w:sz w:val="32"/>
          <w:szCs w:val="32"/>
        </w:rPr>
        <w:t>2023年医疗服务与保障能力提升（</w:t>
      </w:r>
      <w:r>
        <w:rPr>
          <w:rFonts w:hint="eastAsia" w:ascii="仿宋" w:hAnsi="仿宋" w:eastAsia="仿宋" w:cs="仿宋"/>
          <w:sz w:val="32"/>
          <w:szCs w:val="32"/>
          <w:lang w:val="zh-CN"/>
        </w:rPr>
        <w:t>川财社〔2022〕150号</w:t>
      </w:r>
      <w:r>
        <w:rPr>
          <w:rFonts w:hint="eastAsia" w:ascii="仿宋" w:hAnsi="仿宋" w:eastAsia="仿宋" w:cs="仿宋"/>
          <w:sz w:val="32"/>
          <w:szCs w:val="32"/>
        </w:rPr>
        <w:t>）等文件精神，下达我院医院能力提升直达资金240.45万元。</w:t>
      </w:r>
    </w:p>
    <w:p w14:paraId="73A2E306">
      <w:pPr>
        <w:adjustRightInd w:val="0"/>
        <w:snapToGrid w:val="0"/>
        <w:spacing w:line="520" w:lineRule="exact"/>
        <w:ind w:firstLine="643" w:firstLineChars="200"/>
        <w:rPr>
          <w:rFonts w:hint="eastAsia" w:ascii="仿宋" w:hAnsi="仿宋" w:eastAsia="仿宋" w:cs="仿宋"/>
          <w:sz w:val="32"/>
          <w:szCs w:val="32"/>
        </w:rPr>
      </w:pPr>
      <w:r>
        <w:rPr>
          <w:rFonts w:hint="eastAsia" w:ascii="仿宋" w:hAnsi="仿宋" w:eastAsia="仿宋" w:cs="仿宋"/>
          <w:b/>
          <w:sz w:val="32"/>
          <w:szCs w:val="32"/>
          <w:lang w:val="zh-CN"/>
        </w:rPr>
        <w:t>（二）项目绩效目标。</w:t>
      </w:r>
      <w:r>
        <w:rPr>
          <w:rFonts w:hint="eastAsia" w:ascii="仿宋" w:hAnsi="仿宋" w:eastAsia="仿宋" w:cs="仿宋"/>
          <w:sz w:val="32"/>
          <w:szCs w:val="32"/>
        </w:rPr>
        <w:t>计划重点加强诊疗设施设备配备和人才培养，从而提升县域公立医院服务能力，提高医疗水平，</w:t>
      </w:r>
      <w:r>
        <w:rPr>
          <w:rFonts w:hint="eastAsia" w:ascii="仿宋" w:hAnsi="仿宋" w:eastAsia="仿宋" w:cs="仿宋"/>
          <w:sz w:val="32"/>
          <w:szCs w:val="32"/>
          <w:lang w:eastAsia="zh-CN"/>
        </w:rPr>
        <w:t>更好地服务</w:t>
      </w:r>
      <w:r>
        <w:rPr>
          <w:rFonts w:hint="eastAsia" w:ascii="仿宋" w:hAnsi="仿宋" w:eastAsia="仿宋" w:cs="仿宋"/>
          <w:sz w:val="32"/>
          <w:szCs w:val="32"/>
        </w:rPr>
        <w:t>当地群众。</w:t>
      </w:r>
    </w:p>
    <w:p w14:paraId="11A4DECF">
      <w:pPr>
        <w:pStyle w:val="5"/>
        <w:spacing w:line="52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val="zh-CN"/>
        </w:rPr>
        <w:t>三）项目资金申报相符性。</w:t>
      </w:r>
      <w:r>
        <w:rPr>
          <w:rFonts w:hint="eastAsia" w:ascii="仿宋" w:hAnsi="仿宋" w:eastAsia="仿宋" w:cs="仿宋"/>
          <w:sz w:val="32"/>
          <w:szCs w:val="32"/>
        </w:rPr>
        <w:t>与上级实施本项目的目标一致</w:t>
      </w:r>
      <w:r>
        <w:rPr>
          <w:rFonts w:hint="eastAsia" w:ascii="仿宋" w:hAnsi="仿宋" w:eastAsia="仿宋" w:cs="仿宋"/>
          <w:color w:val="333333"/>
          <w:sz w:val="32"/>
          <w:szCs w:val="32"/>
          <w:shd w:val="clear" w:color="auto" w:fill="FFFFFF"/>
        </w:rPr>
        <w:t>，符合申报条件。</w:t>
      </w:r>
    </w:p>
    <w:p w14:paraId="0F16E5F0">
      <w:pPr>
        <w:adjustRightInd w:val="0"/>
        <w:snapToGrid w:val="0"/>
        <w:spacing w:line="520" w:lineRule="exact"/>
        <w:ind w:firstLine="720"/>
        <w:outlineLvl w:val="1"/>
        <w:rPr>
          <w:rFonts w:hint="eastAsia" w:ascii="仿宋" w:hAnsi="仿宋" w:eastAsia="仿宋" w:cs="仿宋"/>
          <w:sz w:val="32"/>
          <w:szCs w:val="32"/>
          <w:lang w:val="zh-CN"/>
        </w:rPr>
      </w:pPr>
      <w:r>
        <w:rPr>
          <w:rFonts w:hint="eastAsia" w:ascii="仿宋" w:hAnsi="仿宋" w:eastAsia="仿宋" w:cs="仿宋"/>
          <w:sz w:val="32"/>
          <w:szCs w:val="32"/>
          <w:lang w:val="zh-CN"/>
        </w:rPr>
        <w:tab/>
      </w:r>
      <w:bookmarkStart w:id="118" w:name="_Toc4732"/>
      <w:r>
        <w:rPr>
          <w:rFonts w:hint="eastAsia" w:ascii="仿宋" w:hAnsi="仿宋" w:eastAsia="仿宋" w:cs="仿宋"/>
          <w:sz w:val="32"/>
          <w:szCs w:val="32"/>
        </w:rPr>
        <w:t>二、项目实施及管理情况</w:t>
      </w:r>
      <w:bookmarkEnd w:id="118"/>
    </w:p>
    <w:p w14:paraId="6AC35177">
      <w:pPr>
        <w:adjustRightInd w:val="0"/>
        <w:snapToGrid w:val="0"/>
        <w:spacing w:line="52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（一）资金计划、到位及使用情况。</w:t>
      </w:r>
    </w:p>
    <w:p w14:paraId="2EA27DEB">
      <w:pPr>
        <w:adjustRightInd w:val="0"/>
        <w:snapToGrid w:val="0"/>
        <w:spacing w:line="520" w:lineRule="exact"/>
        <w:ind w:firstLine="720"/>
        <w:rPr>
          <w:rFonts w:hint="eastAsia" w:ascii="仿宋" w:hAnsi="仿宋" w:eastAsia="仿宋" w:cs="仿宋"/>
          <w:sz w:val="32"/>
          <w:szCs w:val="32"/>
        </w:rPr>
      </w:pPr>
      <w:r>
        <w:rPr>
          <w:rFonts w:hint="eastAsia" w:ascii="仿宋" w:hAnsi="仿宋" w:eastAsia="仿宋" w:cs="仿宋"/>
          <w:sz w:val="32"/>
          <w:szCs w:val="32"/>
          <w:lang w:val="zh-CN"/>
        </w:rPr>
        <w:t>1．资金计划及到位。</w:t>
      </w:r>
      <w:r>
        <w:rPr>
          <w:rFonts w:hint="eastAsia" w:ascii="仿宋" w:hAnsi="仿宋" w:eastAsia="仿宋" w:cs="仿宋"/>
          <w:sz w:val="32"/>
          <w:szCs w:val="32"/>
        </w:rPr>
        <w:t>截至</w:t>
      </w:r>
      <w:r>
        <w:rPr>
          <w:rFonts w:hint="eastAsia" w:ascii="仿宋" w:hAnsi="仿宋" w:eastAsia="仿宋" w:cs="仿宋"/>
          <w:color w:val="000000"/>
          <w:sz w:val="32"/>
          <w:szCs w:val="32"/>
        </w:rPr>
        <w:t>2023年12月31日</w:t>
      </w:r>
      <w:r>
        <w:rPr>
          <w:rFonts w:hint="eastAsia" w:ascii="仿宋" w:hAnsi="仿宋" w:eastAsia="仿宋" w:cs="仿宋"/>
          <w:sz w:val="32"/>
          <w:szCs w:val="32"/>
        </w:rPr>
        <w:t>，项目资金实际到位240.45万元，资金到位率为100%，其中：中省市级资金实际到位240.45万元，资金到位率为100%。</w:t>
      </w:r>
    </w:p>
    <w:p w14:paraId="09B9C5ED">
      <w:pPr>
        <w:adjustRightInd w:val="0"/>
        <w:snapToGrid w:val="0"/>
        <w:spacing w:line="520" w:lineRule="exact"/>
        <w:ind w:firstLine="720"/>
        <w:rPr>
          <w:rFonts w:hint="eastAsia" w:ascii="仿宋" w:hAnsi="仿宋" w:eastAsia="仿宋" w:cs="仿宋"/>
          <w:sz w:val="32"/>
          <w:szCs w:val="32"/>
        </w:rPr>
      </w:pPr>
      <w:r>
        <w:rPr>
          <w:rFonts w:hint="eastAsia" w:ascii="仿宋" w:hAnsi="仿宋" w:eastAsia="仿宋" w:cs="仿宋"/>
          <w:sz w:val="32"/>
          <w:szCs w:val="32"/>
          <w:lang w:val="zh-CN"/>
        </w:rPr>
        <w:t>2．资金使用。</w:t>
      </w:r>
      <w:r>
        <w:rPr>
          <w:rFonts w:hint="eastAsia" w:ascii="仿宋" w:hAnsi="仿宋" w:eastAsia="仿宋" w:cs="仿宋"/>
          <w:sz w:val="32"/>
          <w:szCs w:val="32"/>
        </w:rPr>
        <w:t>截至</w:t>
      </w:r>
      <w:r>
        <w:rPr>
          <w:rFonts w:hint="eastAsia" w:ascii="仿宋" w:hAnsi="仿宋" w:eastAsia="仿宋" w:cs="仿宋"/>
          <w:color w:val="000000"/>
          <w:sz w:val="32"/>
          <w:szCs w:val="32"/>
        </w:rPr>
        <w:t>2023年12月31日</w:t>
      </w:r>
      <w:r>
        <w:rPr>
          <w:rFonts w:hint="eastAsia" w:ascii="仿宋" w:hAnsi="仿宋" w:eastAsia="仿宋" w:cs="仿宋"/>
          <w:sz w:val="32"/>
          <w:szCs w:val="32"/>
        </w:rPr>
        <w:t>，项目资金实际使用240.45万元，资金使用率为100%，资金开支范围：采购智能跟踪系统、手麻系统、麻醉机、TCD、监护仪、信息化采购、设备采购和电子健康卡、采购电子胃肠镜等。</w:t>
      </w:r>
    </w:p>
    <w:p w14:paraId="0131053C">
      <w:pPr>
        <w:adjustRightInd w:val="0"/>
        <w:snapToGrid w:val="0"/>
        <w:spacing w:line="52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600B4C88">
      <w:pPr>
        <w:spacing w:line="52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本项目为上级直达资金，制定了项目实施方案，专款专用，会计凭证专卷保存。项目资金的使用、支付严格执行医院“三重一大”管理制度。严格按照政府采购合同约定进行资金支付，杜绝挪用、截留现象的发生。会计核算及账务处理按新政府会计制度设置。</w:t>
      </w:r>
    </w:p>
    <w:p w14:paraId="49733A1D">
      <w:pPr>
        <w:adjustRightInd w:val="0"/>
        <w:snapToGrid w:val="0"/>
        <w:spacing w:line="52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0DA520E1">
      <w:pPr>
        <w:widowControl/>
        <w:adjustRightInd w:val="0"/>
        <w:snapToGrid w:val="0"/>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按照下达的绩效目标要求，制定了资金使用计划和管理方案，实际使用专项资金240.45万元，执行率100%。</w:t>
      </w:r>
    </w:p>
    <w:p w14:paraId="781E64B5">
      <w:pPr>
        <w:pStyle w:val="5"/>
        <w:spacing w:line="520" w:lineRule="exact"/>
        <w:outlineLvl w:val="1"/>
        <w:rPr>
          <w:rFonts w:hint="eastAsia" w:ascii="仿宋" w:hAnsi="仿宋" w:eastAsia="仿宋" w:cs="仿宋"/>
          <w:b/>
          <w:bCs/>
          <w:sz w:val="32"/>
          <w:szCs w:val="32"/>
          <w:lang w:val="zh-CN"/>
        </w:rPr>
      </w:pPr>
      <w:r>
        <w:rPr>
          <w:rFonts w:hint="eastAsia" w:ascii="仿宋" w:hAnsi="仿宋" w:eastAsia="仿宋" w:cs="仿宋"/>
          <w:sz w:val="32"/>
          <w:szCs w:val="32"/>
        </w:rPr>
        <w:t xml:space="preserve">    </w:t>
      </w:r>
      <w:bookmarkStart w:id="119" w:name="_Toc2538"/>
      <w:r>
        <w:rPr>
          <w:rFonts w:hint="eastAsia" w:ascii="仿宋" w:hAnsi="仿宋" w:eastAsia="仿宋" w:cs="仿宋"/>
          <w:b/>
          <w:bCs/>
          <w:sz w:val="32"/>
          <w:szCs w:val="32"/>
        </w:rPr>
        <w:t>三、项目绩效情况</w:t>
      </w:r>
      <w:bookmarkEnd w:id="119"/>
      <w:r>
        <w:rPr>
          <w:rFonts w:hint="eastAsia" w:ascii="仿宋" w:hAnsi="仿宋" w:eastAsia="仿宋" w:cs="仿宋"/>
          <w:b/>
          <w:bCs/>
          <w:sz w:val="32"/>
          <w:szCs w:val="32"/>
          <w:lang w:val="zh-CN"/>
        </w:rPr>
        <w:tab/>
      </w:r>
    </w:p>
    <w:p w14:paraId="7436FD57">
      <w:pPr>
        <w:adjustRightInd w:val="0"/>
        <w:snapToGrid w:val="0"/>
        <w:spacing w:line="520" w:lineRule="exact"/>
        <w:ind w:firstLine="643" w:firstLineChars="20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3F5761A2">
      <w:pPr>
        <w:widowControl/>
        <w:adjustRightInd w:val="0"/>
        <w:snapToGrid w:val="0"/>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截</w:t>
      </w:r>
      <w:r>
        <w:rPr>
          <w:rFonts w:hint="eastAsia" w:ascii="仿宋" w:hAnsi="仿宋" w:eastAsia="仿宋" w:cs="仿宋"/>
          <w:sz w:val="32"/>
          <w:szCs w:val="32"/>
          <w:lang w:eastAsia="zh-CN"/>
        </w:rPr>
        <w:t>至</w:t>
      </w:r>
      <w:r>
        <w:rPr>
          <w:rFonts w:hint="eastAsia" w:ascii="仿宋" w:hAnsi="仿宋" w:eastAsia="仿宋" w:cs="仿宋"/>
          <w:sz w:val="32"/>
          <w:szCs w:val="32"/>
        </w:rPr>
        <w:t>2023年12月，项目所有内容全部实施完成，并通过验收，所采购设备全部投入使用。医院全年诊疗人次数提高，医疗各项指标趋于合理范围，患者就诊成本等进一步下降，各项绩效指标基本完成，群众满意度持续提升，经济效益和社会效益获得双丰收。</w:t>
      </w:r>
    </w:p>
    <w:p w14:paraId="752BA5E8">
      <w:pPr>
        <w:numPr>
          <w:ilvl w:val="0"/>
          <w:numId w:val="7"/>
        </w:numPr>
        <w:adjustRightInd w:val="0"/>
        <w:snapToGrid w:val="0"/>
        <w:spacing w:line="52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项目效益情况。</w:t>
      </w:r>
    </w:p>
    <w:p w14:paraId="12FA6C5C">
      <w:pPr>
        <w:pStyle w:val="5"/>
        <w:spacing w:line="520" w:lineRule="exact"/>
        <w:ind w:firstLine="640"/>
        <w:rPr>
          <w:rFonts w:hint="eastAsia" w:ascii="仿宋" w:hAnsi="仿宋" w:eastAsia="仿宋" w:cs="仿宋"/>
          <w:sz w:val="32"/>
          <w:szCs w:val="32"/>
        </w:rPr>
      </w:pPr>
      <w:r>
        <w:rPr>
          <w:rFonts w:hint="eastAsia" w:ascii="仿宋" w:hAnsi="仿宋" w:eastAsia="仿宋" w:cs="仿宋"/>
          <w:sz w:val="32"/>
          <w:szCs w:val="32"/>
        </w:rPr>
        <w:t>（1）经济效益：本项目所采购设备投入使用后，带动了科室的发展，诊疗人才和业务收入均有了提高；</w:t>
      </w:r>
    </w:p>
    <w:p w14:paraId="6F7DE6BA">
      <w:pPr>
        <w:pStyle w:val="5"/>
        <w:spacing w:line="520" w:lineRule="exact"/>
        <w:ind w:firstLine="640"/>
        <w:rPr>
          <w:rFonts w:hint="eastAsia" w:ascii="仿宋" w:hAnsi="仿宋" w:eastAsia="仿宋" w:cs="仿宋"/>
          <w:sz w:val="32"/>
          <w:szCs w:val="32"/>
        </w:rPr>
      </w:pPr>
      <w:r>
        <w:rPr>
          <w:rFonts w:hint="eastAsia" w:ascii="仿宋" w:hAnsi="仿宋" w:eastAsia="仿宋" w:cs="仿宋"/>
          <w:sz w:val="32"/>
          <w:szCs w:val="32"/>
        </w:rPr>
        <w:t>（2）社会效益：丰富了诊疗技术，满足了患者的就医需求；</w:t>
      </w:r>
    </w:p>
    <w:p w14:paraId="3C609CD4">
      <w:pPr>
        <w:pStyle w:val="5"/>
        <w:spacing w:line="520" w:lineRule="exact"/>
        <w:ind w:firstLine="640"/>
        <w:rPr>
          <w:rFonts w:hint="eastAsia" w:ascii="仿宋" w:hAnsi="仿宋" w:eastAsia="仿宋" w:cs="仿宋"/>
          <w:sz w:val="32"/>
          <w:szCs w:val="32"/>
        </w:rPr>
      </w:pPr>
      <w:r>
        <w:rPr>
          <w:rFonts w:hint="eastAsia" w:ascii="仿宋" w:hAnsi="仿宋" w:eastAsia="仿宋" w:cs="仿宋"/>
          <w:sz w:val="32"/>
          <w:szCs w:val="32"/>
        </w:rPr>
        <w:t>（3）服务对象满意度：患者满意度≥95%</w:t>
      </w:r>
    </w:p>
    <w:p w14:paraId="700B02C7">
      <w:pPr>
        <w:spacing w:line="520" w:lineRule="exact"/>
        <w:ind w:firstLine="645"/>
        <w:jc w:val="left"/>
        <w:rPr>
          <w:rFonts w:hint="eastAsia" w:ascii="仿宋" w:hAnsi="仿宋" w:eastAsia="仿宋" w:cs="仿宋"/>
          <w:sz w:val="32"/>
          <w:szCs w:val="32"/>
        </w:rPr>
      </w:pPr>
      <w:r>
        <w:rPr>
          <w:rFonts w:hint="eastAsia" w:ascii="仿宋" w:hAnsi="仿宋" w:eastAsia="仿宋" w:cs="仿宋"/>
          <w:sz w:val="32"/>
          <w:szCs w:val="32"/>
        </w:rPr>
        <w:t>通过项目实施丰富了公立医院科室的诊疗项目，满足了患者的就医需求，提高了科室的诊疗人次和诊疗水平，提升了患者的就医体验感，为医院打造优质服务提供了有利条件和保障。</w:t>
      </w:r>
    </w:p>
    <w:p w14:paraId="3C9FA631">
      <w:pPr>
        <w:adjustRightInd w:val="0"/>
        <w:snapToGrid w:val="0"/>
        <w:spacing w:line="600" w:lineRule="exact"/>
        <w:ind w:firstLine="720"/>
        <w:outlineLvl w:val="1"/>
        <w:rPr>
          <w:rFonts w:hint="eastAsia" w:ascii="仿宋" w:hAnsi="仿宋" w:eastAsia="仿宋" w:cs="仿宋"/>
          <w:sz w:val="32"/>
          <w:szCs w:val="32"/>
        </w:rPr>
      </w:pPr>
      <w:bookmarkStart w:id="120" w:name="_Toc24867"/>
      <w:r>
        <w:rPr>
          <w:rFonts w:hint="eastAsia" w:ascii="仿宋" w:hAnsi="仿宋" w:eastAsia="仿宋" w:cs="仿宋"/>
          <w:sz w:val="32"/>
          <w:szCs w:val="32"/>
        </w:rPr>
        <w:t>四、评价结论及建议</w:t>
      </w:r>
      <w:bookmarkEnd w:id="120"/>
    </w:p>
    <w:p w14:paraId="15265F3B">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（一）评价结论。</w:t>
      </w:r>
    </w:p>
    <w:p w14:paraId="21B291F5">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该项目具有很好的及时性和社会性，对医疗卫生健康发展起到一定作用。</w:t>
      </w:r>
    </w:p>
    <w:p w14:paraId="605E475A">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（二）存在的问题。</w:t>
      </w:r>
    </w:p>
    <w:p w14:paraId="6880ACAF">
      <w:pPr>
        <w:adjustRightInd w:val="0"/>
        <w:snapToGrid w:val="0"/>
        <w:spacing w:line="60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r>
        <w:rPr>
          <w:rFonts w:hint="eastAsia" w:ascii="仿宋" w:hAnsi="仿宋" w:eastAsia="仿宋" w:cs="仿宋"/>
          <w:sz w:val="32"/>
          <w:szCs w:val="32"/>
          <w:lang w:val="zh-CN"/>
        </w:rPr>
        <w:tab/>
      </w:r>
    </w:p>
    <w:p w14:paraId="01458AB8">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（三）相关建议。</w:t>
      </w:r>
    </w:p>
    <w:p w14:paraId="02CA0CA9">
      <w:pPr>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无。</w:t>
      </w:r>
    </w:p>
    <w:p w14:paraId="45C4BEEF">
      <w:pPr>
        <w:ind w:left="0" w:leftChars="0" w:firstLine="640" w:firstLineChars="200"/>
        <w:rPr>
          <w:rFonts w:hint="eastAsia" w:eastAsia="仿宋_GB2312"/>
          <w:sz w:val="32"/>
          <w:szCs w:val="32"/>
          <w:lang w:val="zh-CN"/>
        </w:rPr>
      </w:pPr>
    </w:p>
    <w:p w14:paraId="5B18A92B">
      <w:pPr>
        <w:ind w:left="0" w:leftChars="0" w:firstLine="640" w:firstLineChars="200"/>
        <w:rPr>
          <w:rFonts w:hint="eastAsia" w:eastAsia="仿宋_GB2312"/>
          <w:sz w:val="32"/>
          <w:szCs w:val="32"/>
          <w:lang w:val="zh-CN"/>
        </w:rPr>
      </w:pPr>
    </w:p>
    <w:p w14:paraId="1AA638B8">
      <w:pPr>
        <w:ind w:left="0" w:leftChars="0" w:firstLine="640" w:firstLineChars="200"/>
        <w:rPr>
          <w:rFonts w:hint="eastAsia" w:eastAsia="仿宋_GB2312"/>
          <w:sz w:val="32"/>
          <w:szCs w:val="32"/>
          <w:lang w:val="zh-CN"/>
        </w:rPr>
      </w:pPr>
    </w:p>
    <w:p w14:paraId="6785B631">
      <w:pPr>
        <w:ind w:left="0" w:leftChars="0" w:firstLine="640" w:firstLineChars="200"/>
        <w:rPr>
          <w:rFonts w:hint="eastAsia" w:eastAsia="仿宋_GB2312"/>
          <w:sz w:val="32"/>
          <w:szCs w:val="32"/>
          <w:lang w:val="zh-CN"/>
        </w:rPr>
      </w:pPr>
    </w:p>
    <w:p w14:paraId="1AF79FA2">
      <w:pPr>
        <w:pStyle w:val="35"/>
        <w:spacing w:line="600" w:lineRule="exact"/>
        <w:jc w:val="center"/>
        <w:outlineLvl w:val="1"/>
        <w:rPr>
          <w:rFonts w:hint="eastAsia" w:ascii="方正小标宋简体" w:hAnsi="宋体" w:eastAsia="方正小标宋简体" w:cs="Times New Roman"/>
          <w:sz w:val="44"/>
          <w:szCs w:val="44"/>
          <w:lang w:val="en-US" w:eastAsia="zh-CN"/>
        </w:rPr>
      </w:pPr>
      <w:bookmarkStart w:id="121" w:name="_Toc15710"/>
    </w:p>
    <w:p w14:paraId="74B68D59">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4C4C6943">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293B573E">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0546A2A3">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3B11656C">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67544329">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2795BDF0">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4B2FF35F">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02BD2C38">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32AA09AC">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486E09EE">
      <w:pPr>
        <w:pStyle w:val="35"/>
        <w:spacing w:line="600" w:lineRule="exact"/>
        <w:jc w:val="center"/>
        <w:outlineLvl w:val="1"/>
        <w:rPr>
          <w:rFonts w:hint="eastAsia" w:ascii="方正小标宋简体" w:hAnsi="宋体" w:eastAsia="方正小标宋简体" w:cs="Times New Roman"/>
          <w:sz w:val="44"/>
          <w:szCs w:val="44"/>
          <w:lang w:val="en-US" w:eastAsia="zh-CN"/>
        </w:rPr>
      </w:pPr>
    </w:p>
    <w:p w14:paraId="657948CF">
      <w:pPr>
        <w:pStyle w:val="35"/>
        <w:spacing w:line="600" w:lineRule="exact"/>
        <w:jc w:val="center"/>
        <w:outlineLvl w:val="1"/>
        <w:rPr>
          <w:rFonts w:hint="eastAsia" w:ascii="方正小标宋简体" w:hAnsi="宋体" w:eastAsia="方正小标宋简体" w:cs="Times New Roman"/>
          <w:sz w:val="44"/>
          <w:szCs w:val="44"/>
          <w:lang w:val="en-US" w:eastAsia="zh-CN"/>
        </w:rPr>
      </w:pPr>
      <w:r>
        <w:rPr>
          <w:rFonts w:hint="eastAsia" w:ascii="方正小标宋简体" w:hAnsi="宋体" w:eastAsia="方正小标宋简体" w:cs="Times New Roman"/>
          <w:sz w:val="44"/>
          <w:szCs w:val="44"/>
          <w:lang w:val="en-US" w:eastAsia="zh-CN"/>
        </w:rPr>
        <w:t>疫情防控经费、医务人员工作补助项目</w:t>
      </w:r>
      <w:bookmarkEnd w:id="121"/>
    </w:p>
    <w:p w14:paraId="0026F2B4">
      <w:pPr>
        <w:pStyle w:val="35"/>
        <w:spacing w:line="600" w:lineRule="exact"/>
        <w:jc w:val="center"/>
        <w:rPr>
          <w:rFonts w:hint="eastAsia" w:ascii="方正小标宋简体" w:hAnsi="宋体" w:eastAsia="方正小标宋简体" w:cs="Times New Roman"/>
          <w:sz w:val="44"/>
          <w:szCs w:val="44"/>
          <w:lang w:val="en-US" w:eastAsia="zh-CN"/>
        </w:rPr>
      </w:pPr>
      <w:r>
        <w:rPr>
          <w:rFonts w:hint="eastAsia" w:ascii="方正小标宋简体" w:hAnsi="宋体" w:eastAsia="方正小标宋简体" w:cs="Times New Roman"/>
          <w:sz w:val="44"/>
          <w:szCs w:val="44"/>
          <w:lang w:val="en-US" w:eastAsia="zh-CN"/>
        </w:rPr>
        <w:t>支出绩效自评报告</w:t>
      </w:r>
    </w:p>
    <w:p w14:paraId="3496A101">
      <w:pPr>
        <w:pStyle w:val="35"/>
        <w:spacing w:line="600" w:lineRule="exact"/>
        <w:ind w:firstLine="640"/>
        <w:jc w:val="center"/>
        <w:rPr>
          <w:rFonts w:ascii="宋体" w:hAnsi="宋体"/>
          <w:color w:val="auto"/>
          <w:kern w:val="2"/>
          <w:sz w:val="32"/>
          <w:szCs w:val="32"/>
        </w:rPr>
      </w:pPr>
    </w:p>
    <w:p w14:paraId="44780B7C">
      <w:pPr>
        <w:adjustRightInd w:val="0"/>
        <w:snapToGrid w:val="0"/>
        <w:spacing w:line="600" w:lineRule="exact"/>
        <w:ind w:firstLine="720"/>
        <w:outlineLvl w:val="1"/>
        <w:rPr>
          <w:rFonts w:hint="eastAsia" w:ascii="仿宋" w:hAnsi="仿宋" w:eastAsia="仿宋" w:cs="仿宋"/>
          <w:b/>
          <w:bCs/>
          <w:sz w:val="32"/>
          <w:szCs w:val="32"/>
          <w:lang w:val="zh-CN"/>
        </w:rPr>
      </w:pPr>
      <w:bookmarkStart w:id="122" w:name="_Toc29615"/>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122"/>
    </w:p>
    <w:p w14:paraId="22039503">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（一）项目基本情况。</w:t>
      </w:r>
    </w:p>
    <w:p w14:paraId="7A19F217">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1．对疫情期间全县医疗机构医务人员的临时性工作补助。</w:t>
      </w:r>
    </w:p>
    <w:p w14:paraId="6CDD88C3">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2．对疫情期间医疗机构免费核酸费用的补助</w:t>
      </w:r>
    </w:p>
    <w:p w14:paraId="01E3FF21">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3．该项目各级财政下发722.66万补助资金</w:t>
      </w:r>
    </w:p>
    <w:p w14:paraId="7C24A2C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850F42D">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1．对全县523人次进行临时性工作补助</w:t>
      </w:r>
    </w:p>
    <w:p w14:paraId="5E134EC5">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2.对人民医院、中医院核酸费用进行补助</w:t>
      </w:r>
    </w:p>
    <w:p w14:paraId="3603704A">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3．补助金额：722.66万元</w:t>
      </w:r>
    </w:p>
    <w:p w14:paraId="60211759">
      <w:p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sz w:val="32"/>
          <w:szCs w:val="32"/>
          <w:lang w:val="zh-CN"/>
        </w:rPr>
        <w:t>4．</w:t>
      </w:r>
      <w:r>
        <w:rPr>
          <w:rFonts w:hint="eastAsia" w:ascii="仿宋" w:hAnsi="仿宋" w:eastAsia="仿宋" w:cs="仿宋"/>
          <w:sz w:val="32"/>
          <w:szCs w:val="32"/>
        </w:rPr>
        <w:t>满意度指标：提高了群众满意度。</w:t>
      </w:r>
    </w:p>
    <w:p w14:paraId="1695BFF7">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（三）项目自评步骤及方法。</w:t>
      </w:r>
    </w:p>
    <w:p w14:paraId="2E0E4F1C">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该项目绩效自评主要采用实地查看和通过补助对象访问进行评估。</w:t>
      </w:r>
    </w:p>
    <w:p w14:paraId="16D1ABF5">
      <w:pPr>
        <w:adjustRightInd w:val="0"/>
        <w:snapToGrid w:val="0"/>
        <w:spacing w:line="600" w:lineRule="exact"/>
        <w:ind w:firstLine="720"/>
        <w:outlineLvl w:val="1"/>
        <w:rPr>
          <w:rFonts w:hint="eastAsia" w:ascii="仿宋" w:hAnsi="仿宋" w:eastAsia="仿宋" w:cs="仿宋"/>
          <w:sz w:val="32"/>
          <w:szCs w:val="32"/>
        </w:rPr>
      </w:pPr>
      <w:bookmarkStart w:id="123" w:name="_Toc23970"/>
      <w:r>
        <w:rPr>
          <w:rFonts w:hint="eastAsia" w:ascii="仿宋" w:hAnsi="仿宋" w:eastAsia="仿宋" w:cs="仿宋"/>
          <w:sz w:val="32"/>
          <w:szCs w:val="32"/>
        </w:rPr>
        <w:t>二、项目资金申报及使用情况</w:t>
      </w:r>
      <w:bookmarkEnd w:id="123"/>
    </w:p>
    <w:p w14:paraId="3D51BB70">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2B090DD6">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已经按照程序进行申报并拨付到位722.66万补助资金。</w:t>
      </w:r>
    </w:p>
    <w:p w14:paraId="1BCB13FC">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（二）资金计划、到位及使用情况。</w:t>
      </w:r>
    </w:p>
    <w:p w14:paraId="23C3604F">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1．资金计划。财政安排722.66万补助资金</w:t>
      </w:r>
    </w:p>
    <w:p w14:paraId="6E833203">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2．资金到位。财政安排722.66万补助资金已拨付到位</w:t>
      </w:r>
    </w:p>
    <w:p w14:paraId="706E49E8">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3．资金使用。</w:t>
      </w:r>
      <w:r>
        <w:rPr>
          <w:rFonts w:hint="eastAsia" w:ascii="仿宋" w:hAnsi="仿宋" w:eastAsia="仿宋" w:cs="仿宋"/>
          <w:sz w:val="32"/>
          <w:szCs w:val="32"/>
        </w:rPr>
        <w:t>对</w:t>
      </w:r>
      <w:r>
        <w:rPr>
          <w:rFonts w:hint="eastAsia" w:ascii="仿宋" w:hAnsi="仿宋" w:eastAsia="仿宋" w:cs="仿宋"/>
          <w:sz w:val="32"/>
          <w:szCs w:val="32"/>
          <w:lang w:val="zh-CN"/>
        </w:rPr>
        <w:t>523人次进行临时性工作补助</w:t>
      </w:r>
      <w:r>
        <w:rPr>
          <w:rFonts w:hint="eastAsia" w:ascii="仿宋" w:hAnsi="仿宋" w:eastAsia="仿宋" w:cs="仿宋"/>
          <w:sz w:val="32"/>
          <w:szCs w:val="32"/>
        </w:rPr>
        <w:t>，</w:t>
      </w:r>
      <w:r>
        <w:rPr>
          <w:rFonts w:hint="eastAsia" w:ascii="仿宋" w:hAnsi="仿宋" w:eastAsia="仿宋" w:cs="仿宋"/>
          <w:sz w:val="32"/>
          <w:szCs w:val="32"/>
          <w:lang w:val="zh-CN"/>
        </w:rPr>
        <w:t>对人民医院、中医院核酸费用进行补助。</w:t>
      </w:r>
    </w:p>
    <w:p w14:paraId="76EF58FD">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（三）项目财务管理情况。</w:t>
      </w:r>
    </w:p>
    <w:p w14:paraId="3CC81E9B">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该项目严格按照财务管理的程序进行申报、拨付。项目严格执行财务管理制度、财务处理及时、会计核算规范。</w:t>
      </w:r>
    </w:p>
    <w:p w14:paraId="26ABE183">
      <w:pPr>
        <w:adjustRightInd w:val="0"/>
        <w:snapToGrid w:val="0"/>
        <w:spacing w:line="600" w:lineRule="exact"/>
        <w:ind w:firstLine="720"/>
        <w:outlineLvl w:val="1"/>
        <w:rPr>
          <w:rFonts w:hint="eastAsia" w:ascii="仿宋" w:hAnsi="仿宋" w:eastAsia="仿宋" w:cs="仿宋"/>
          <w:sz w:val="32"/>
          <w:szCs w:val="32"/>
        </w:rPr>
      </w:pPr>
      <w:bookmarkStart w:id="124" w:name="_Toc28482"/>
      <w:r>
        <w:rPr>
          <w:rFonts w:hint="eastAsia" w:ascii="仿宋" w:hAnsi="仿宋" w:eastAsia="仿宋" w:cs="仿宋"/>
          <w:sz w:val="32"/>
          <w:szCs w:val="32"/>
        </w:rPr>
        <w:t>三、项目实施及管理情况</w:t>
      </w:r>
      <w:bookmarkEnd w:id="124"/>
    </w:p>
    <w:p w14:paraId="3FC15365">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（一）项目组织架构及实施流程。</w:t>
      </w:r>
    </w:p>
    <w:p w14:paraId="4420C7BF">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项目组织有序，实施流程规范。</w:t>
      </w:r>
    </w:p>
    <w:p w14:paraId="288216DA">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（二）项目管理情况。</w:t>
      </w:r>
    </w:p>
    <w:p w14:paraId="11FDE79E">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各医疗机构严格按照统计人数进行了补助，发放及时。</w:t>
      </w:r>
    </w:p>
    <w:p w14:paraId="7950D63F">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（三）项目监管情况。</w:t>
      </w:r>
    </w:p>
    <w:p w14:paraId="4E6CFDA0">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县卫健局定期对项目的实施情况进行督查。</w:t>
      </w:r>
    </w:p>
    <w:p w14:paraId="081613A6">
      <w:pPr>
        <w:adjustRightInd w:val="0"/>
        <w:snapToGrid w:val="0"/>
        <w:spacing w:line="600" w:lineRule="exact"/>
        <w:ind w:firstLine="720"/>
        <w:outlineLvl w:val="1"/>
        <w:rPr>
          <w:rFonts w:hint="eastAsia" w:ascii="仿宋" w:hAnsi="仿宋" w:eastAsia="仿宋" w:cs="仿宋"/>
          <w:sz w:val="32"/>
          <w:szCs w:val="32"/>
          <w:lang w:val="zh-CN"/>
        </w:rPr>
      </w:pPr>
      <w:bookmarkStart w:id="125" w:name="_Toc10601"/>
      <w:r>
        <w:rPr>
          <w:rFonts w:hint="eastAsia" w:ascii="仿宋" w:hAnsi="仿宋" w:eastAsia="仿宋" w:cs="仿宋"/>
          <w:sz w:val="32"/>
          <w:szCs w:val="32"/>
        </w:rPr>
        <w:t>四、项目绩效情况</w:t>
      </w:r>
      <w:bookmarkEnd w:id="125"/>
      <w:r>
        <w:rPr>
          <w:rFonts w:hint="eastAsia" w:ascii="仿宋" w:hAnsi="仿宋" w:eastAsia="仿宋" w:cs="仿宋"/>
          <w:sz w:val="32"/>
          <w:szCs w:val="32"/>
          <w:lang w:val="zh-CN"/>
        </w:rPr>
        <w:tab/>
      </w:r>
    </w:p>
    <w:p w14:paraId="2EBCBB15">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6F5E6E8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sz w:val="32"/>
          <w:szCs w:val="32"/>
        </w:rPr>
        <w:t>对</w:t>
      </w:r>
      <w:r>
        <w:rPr>
          <w:rFonts w:hint="eastAsia" w:ascii="仿宋" w:hAnsi="仿宋" w:eastAsia="仿宋" w:cs="仿宋"/>
          <w:sz w:val="32"/>
          <w:szCs w:val="32"/>
          <w:lang w:val="zh-CN"/>
        </w:rPr>
        <w:t>523人次进行临时性工作补助</w:t>
      </w:r>
      <w:r>
        <w:rPr>
          <w:rFonts w:hint="eastAsia" w:ascii="仿宋" w:hAnsi="仿宋" w:eastAsia="仿宋" w:cs="仿宋"/>
          <w:sz w:val="32"/>
          <w:szCs w:val="32"/>
        </w:rPr>
        <w:t>，</w:t>
      </w:r>
      <w:r>
        <w:rPr>
          <w:rFonts w:hint="eastAsia" w:ascii="仿宋" w:hAnsi="仿宋" w:eastAsia="仿宋" w:cs="仿宋"/>
          <w:sz w:val="32"/>
          <w:szCs w:val="32"/>
          <w:lang w:val="zh-CN"/>
        </w:rPr>
        <w:t>对人民医院、中医院核酸费用进行补助。共计补偿722.66万元，完成率100%。</w:t>
      </w:r>
    </w:p>
    <w:p w14:paraId="6DA06E00">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711D365A">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稳定了医疗队伍，充分让医务人员得到了心理安慰。减轻了疫情期间医疗机构垫付的费用，促进医疗机构的健康发展。</w:t>
      </w:r>
    </w:p>
    <w:p w14:paraId="52374D8B">
      <w:pPr>
        <w:adjustRightInd w:val="0"/>
        <w:snapToGrid w:val="0"/>
        <w:spacing w:line="600" w:lineRule="exact"/>
        <w:ind w:firstLine="720"/>
        <w:outlineLvl w:val="1"/>
        <w:rPr>
          <w:rFonts w:hint="eastAsia" w:ascii="仿宋" w:hAnsi="仿宋" w:eastAsia="仿宋" w:cs="仿宋"/>
          <w:sz w:val="32"/>
          <w:szCs w:val="32"/>
        </w:rPr>
      </w:pPr>
      <w:bookmarkStart w:id="126" w:name="_Toc21906"/>
      <w:r>
        <w:rPr>
          <w:rFonts w:hint="eastAsia" w:ascii="仿宋" w:hAnsi="仿宋" w:eastAsia="仿宋" w:cs="仿宋"/>
          <w:sz w:val="32"/>
          <w:szCs w:val="32"/>
        </w:rPr>
        <w:t>五、评价结论及建议</w:t>
      </w:r>
      <w:bookmarkEnd w:id="126"/>
    </w:p>
    <w:p w14:paraId="36520BB7">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（一）评价结论。</w:t>
      </w:r>
    </w:p>
    <w:p w14:paraId="7ADDBEF7">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该项目具有很好的及时性和社会性，对医疗机构的补助，能促进医疗机构良性发展，对社会稳定、和谐发展起到一定作用。</w:t>
      </w:r>
    </w:p>
    <w:p w14:paraId="5FFF7032">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（二）存在的问题。</w:t>
      </w:r>
    </w:p>
    <w:p w14:paraId="491E9A1C">
      <w:pPr>
        <w:adjustRightInd w:val="0"/>
        <w:snapToGrid w:val="0"/>
        <w:spacing w:line="60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无。</w:t>
      </w:r>
      <w:r>
        <w:rPr>
          <w:rFonts w:hint="eastAsia" w:ascii="仿宋" w:hAnsi="仿宋" w:eastAsia="仿宋" w:cs="仿宋"/>
          <w:sz w:val="32"/>
          <w:szCs w:val="32"/>
          <w:lang w:val="zh-CN"/>
        </w:rPr>
        <w:tab/>
      </w:r>
    </w:p>
    <w:p w14:paraId="571405FE">
      <w:pPr>
        <w:adjustRightInd w:val="0"/>
        <w:snapToGrid w:val="0"/>
        <w:spacing w:line="60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（三）相关建议。</w:t>
      </w:r>
    </w:p>
    <w:p w14:paraId="204E6FA3">
      <w:pPr>
        <w:ind w:firstLine="640" w:firstLineChars="200"/>
        <w:rPr>
          <w:rFonts w:hint="eastAsia" w:ascii="仿宋" w:hAnsi="仿宋" w:eastAsia="仿宋" w:cs="仿宋"/>
          <w:sz w:val="32"/>
          <w:szCs w:val="32"/>
        </w:rPr>
      </w:pPr>
      <w:r>
        <w:rPr>
          <w:rFonts w:hint="eastAsia" w:ascii="仿宋" w:hAnsi="仿宋" w:eastAsia="仿宋" w:cs="仿宋"/>
          <w:sz w:val="32"/>
          <w:szCs w:val="32"/>
          <w:lang w:val="zh-CN"/>
        </w:rPr>
        <w:t>无。</w:t>
      </w:r>
    </w:p>
    <w:p w14:paraId="33116AE2">
      <w:pPr>
        <w:ind w:left="0" w:leftChars="0" w:firstLine="640" w:firstLineChars="200"/>
        <w:rPr>
          <w:rFonts w:hint="eastAsia" w:eastAsia="仿宋_GB2312"/>
          <w:sz w:val="32"/>
          <w:szCs w:val="32"/>
          <w:lang w:val="zh-CN"/>
        </w:rPr>
      </w:pPr>
    </w:p>
    <w:p w14:paraId="2D1A4F28">
      <w:pPr>
        <w:ind w:left="0" w:leftChars="0" w:firstLine="640" w:firstLineChars="200"/>
        <w:rPr>
          <w:rFonts w:hint="eastAsia" w:eastAsia="仿宋_GB2312"/>
          <w:sz w:val="32"/>
          <w:szCs w:val="32"/>
          <w:lang w:val="zh-CN"/>
        </w:rPr>
      </w:pPr>
    </w:p>
    <w:p w14:paraId="64E39582">
      <w:pPr>
        <w:ind w:left="0" w:leftChars="0" w:firstLine="640" w:firstLineChars="200"/>
        <w:rPr>
          <w:rFonts w:hint="eastAsia" w:eastAsia="仿宋_GB2312"/>
          <w:sz w:val="32"/>
          <w:szCs w:val="32"/>
          <w:lang w:val="zh-CN"/>
        </w:rPr>
      </w:pPr>
    </w:p>
    <w:p w14:paraId="302348EE">
      <w:pPr>
        <w:pStyle w:val="35"/>
        <w:spacing w:line="600" w:lineRule="exact"/>
        <w:jc w:val="center"/>
        <w:rPr>
          <w:rFonts w:hint="eastAsia" w:ascii="方正小标宋简体" w:hAnsi="宋体" w:eastAsia="方正小标宋简体"/>
          <w:sz w:val="44"/>
          <w:szCs w:val="44"/>
          <w:lang w:val="en-US"/>
        </w:rPr>
      </w:pPr>
    </w:p>
    <w:p w14:paraId="63EB66C9">
      <w:pPr>
        <w:pStyle w:val="35"/>
        <w:spacing w:line="600" w:lineRule="exact"/>
        <w:jc w:val="center"/>
        <w:rPr>
          <w:rFonts w:hint="eastAsia" w:ascii="方正小标宋简体" w:hAnsi="宋体" w:eastAsia="方正小标宋简体"/>
          <w:sz w:val="44"/>
          <w:szCs w:val="44"/>
          <w:lang w:val="en-US"/>
        </w:rPr>
      </w:pPr>
    </w:p>
    <w:p w14:paraId="47DA400E">
      <w:pPr>
        <w:pStyle w:val="35"/>
        <w:spacing w:line="600" w:lineRule="exact"/>
        <w:jc w:val="center"/>
        <w:rPr>
          <w:rFonts w:hint="eastAsia" w:ascii="方正小标宋简体" w:hAnsi="宋体" w:eastAsia="方正小标宋简体"/>
          <w:sz w:val="44"/>
          <w:szCs w:val="44"/>
          <w:lang w:val="en-US"/>
        </w:rPr>
      </w:pPr>
    </w:p>
    <w:p w14:paraId="33783E1B">
      <w:pPr>
        <w:pStyle w:val="35"/>
        <w:spacing w:line="600" w:lineRule="exact"/>
        <w:jc w:val="center"/>
        <w:rPr>
          <w:rFonts w:hint="eastAsia" w:ascii="方正小标宋简体" w:hAnsi="宋体" w:eastAsia="方正小标宋简体"/>
          <w:sz w:val="44"/>
          <w:szCs w:val="44"/>
          <w:lang w:val="en-US"/>
        </w:rPr>
      </w:pPr>
    </w:p>
    <w:p w14:paraId="68961173">
      <w:pPr>
        <w:pStyle w:val="35"/>
        <w:spacing w:line="600" w:lineRule="exact"/>
        <w:jc w:val="center"/>
        <w:rPr>
          <w:rFonts w:hint="eastAsia" w:ascii="方正小标宋简体" w:hAnsi="宋体" w:eastAsia="方正小标宋简体"/>
          <w:sz w:val="44"/>
          <w:szCs w:val="44"/>
          <w:lang w:val="en-US"/>
        </w:rPr>
      </w:pPr>
    </w:p>
    <w:p w14:paraId="2D6FAB60">
      <w:pPr>
        <w:pStyle w:val="35"/>
        <w:spacing w:line="600" w:lineRule="exact"/>
        <w:jc w:val="center"/>
        <w:rPr>
          <w:rFonts w:hint="eastAsia" w:ascii="方正小标宋简体" w:hAnsi="宋体" w:eastAsia="方正小标宋简体"/>
          <w:sz w:val="44"/>
          <w:szCs w:val="44"/>
          <w:lang w:val="en-US"/>
        </w:rPr>
      </w:pPr>
    </w:p>
    <w:p w14:paraId="7DFC3857">
      <w:pPr>
        <w:pStyle w:val="35"/>
        <w:spacing w:line="600" w:lineRule="exact"/>
        <w:jc w:val="center"/>
        <w:rPr>
          <w:rFonts w:hint="eastAsia" w:ascii="方正小标宋简体" w:hAnsi="宋体" w:eastAsia="方正小标宋简体"/>
          <w:sz w:val="44"/>
          <w:szCs w:val="44"/>
          <w:lang w:val="en-US"/>
        </w:rPr>
      </w:pPr>
    </w:p>
    <w:p w14:paraId="1FFF00AF">
      <w:pPr>
        <w:pStyle w:val="35"/>
        <w:spacing w:line="600" w:lineRule="exact"/>
        <w:jc w:val="center"/>
        <w:rPr>
          <w:rFonts w:hint="eastAsia" w:ascii="方正小标宋简体" w:hAnsi="宋体" w:eastAsia="方正小标宋简体"/>
          <w:sz w:val="44"/>
          <w:szCs w:val="44"/>
          <w:lang w:val="en-US"/>
        </w:rPr>
      </w:pPr>
    </w:p>
    <w:p w14:paraId="3DFBC6C8">
      <w:pPr>
        <w:pStyle w:val="35"/>
        <w:spacing w:line="600" w:lineRule="exact"/>
        <w:jc w:val="center"/>
        <w:rPr>
          <w:rFonts w:hint="eastAsia" w:ascii="方正小标宋简体" w:hAnsi="宋体" w:eastAsia="方正小标宋简体"/>
          <w:sz w:val="44"/>
          <w:szCs w:val="44"/>
          <w:lang w:val="en-US"/>
        </w:rPr>
      </w:pPr>
    </w:p>
    <w:p w14:paraId="4FC66350">
      <w:pPr>
        <w:pStyle w:val="35"/>
        <w:spacing w:line="600" w:lineRule="exact"/>
        <w:jc w:val="center"/>
        <w:rPr>
          <w:rFonts w:hint="eastAsia" w:ascii="方正小标宋简体" w:hAnsi="宋体" w:eastAsia="方正小标宋简体"/>
          <w:sz w:val="44"/>
          <w:szCs w:val="44"/>
          <w:lang w:val="en-US"/>
        </w:rPr>
      </w:pPr>
    </w:p>
    <w:p w14:paraId="5BF8E99C">
      <w:pPr>
        <w:pStyle w:val="35"/>
        <w:spacing w:line="600" w:lineRule="exact"/>
        <w:jc w:val="center"/>
        <w:rPr>
          <w:rFonts w:hint="eastAsia" w:ascii="方正小标宋简体" w:hAnsi="宋体" w:eastAsia="方正小标宋简体"/>
          <w:sz w:val="44"/>
          <w:szCs w:val="44"/>
          <w:lang w:val="en-US"/>
        </w:rPr>
      </w:pPr>
    </w:p>
    <w:p w14:paraId="2EE52D44">
      <w:pPr>
        <w:pStyle w:val="35"/>
        <w:spacing w:line="600" w:lineRule="exact"/>
        <w:jc w:val="center"/>
        <w:rPr>
          <w:rFonts w:hint="eastAsia" w:ascii="方正小标宋简体" w:hAnsi="宋体" w:eastAsia="方正小标宋简体"/>
          <w:sz w:val="44"/>
          <w:szCs w:val="44"/>
          <w:lang w:val="en-US"/>
        </w:rPr>
      </w:pPr>
    </w:p>
    <w:p w14:paraId="00D1F7BC">
      <w:pPr>
        <w:pStyle w:val="35"/>
        <w:spacing w:line="600" w:lineRule="exact"/>
        <w:jc w:val="center"/>
        <w:rPr>
          <w:rFonts w:hint="eastAsia" w:ascii="方正小标宋简体" w:hAnsi="宋体" w:eastAsia="方正小标宋简体"/>
          <w:sz w:val="44"/>
          <w:szCs w:val="44"/>
          <w:lang w:val="en-US"/>
        </w:rPr>
      </w:pPr>
    </w:p>
    <w:p w14:paraId="55B51ABA">
      <w:pPr>
        <w:pStyle w:val="35"/>
        <w:spacing w:line="600" w:lineRule="exact"/>
        <w:jc w:val="center"/>
        <w:rPr>
          <w:rFonts w:hint="eastAsia" w:ascii="方正小标宋简体" w:hAnsi="宋体" w:eastAsia="方正小标宋简体"/>
          <w:sz w:val="44"/>
          <w:szCs w:val="44"/>
          <w:lang w:val="en-US"/>
        </w:rPr>
      </w:pPr>
    </w:p>
    <w:p w14:paraId="0A14A7F6">
      <w:pPr>
        <w:pStyle w:val="35"/>
        <w:spacing w:line="600" w:lineRule="exact"/>
        <w:jc w:val="center"/>
        <w:rPr>
          <w:rFonts w:ascii="方正小标宋简体" w:hAnsi="宋体" w:eastAsia="方正小标宋简体"/>
          <w:sz w:val="44"/>
          <w:szCs w:val="44"/>
          <w:lang w:val="en-US"/>
        </w:rPr>
      </w:pPr>
      <w:r>
        <w:rPr>
          <w:rFonts w:hint="eastAsia" w:ascii="方正小标宋简体" w:hAnsi="宋体" w:eastAsia="方正小标宋简体"/>
          <w:sz w:val="44"/>
          <w:szCs w:val="44"/>
          <w:lang w:val="en-US"/>
        </w:rPr>
        <w:t>重大公共卫生项目</w:t>
      </w:r>
    </w:p>
    <w:p w14:paraId="4A2CBF0C">
      <w:pPr>
        <w:pStyle w:val="35"/>
        <w:spacing w:line="600" w:lineRule="exact"/>
        <w:jc w:val="center"/>
        <w:outlineLvl w:val="1"/>
        <w:rPr>
          <w:rFonts w:ascii="方正小标宋简体" w:hAnsi="宋体" w:eastAsia="方正小标宋简体"/>
          <w:sz w:val="44"/>
          <w:szCs w:val="44"/>
        </w:rPr>
      </w:pPr>
      <w:bookmarkStart w:id="127" w:name="_Toc2605"/>
      <w:r>
        <w:rPr>
          <w:rFonts w:hint="eastAsia" w:ascii="方正小标宋简体" w:hAnsi="宋体" w:eastAsia="方正小标宋简体"/>
          <w:sz w:val="44"/>
          <w:szCs w:val="44"/>
        </w:rPr>
        <w:t>支出绩效自评报告</w:t>
      </w:r>
      <w:bookmarkEnd w:id="127"/>
    </w:p>
    <w:p w14:paraId="3E6842A2">
      <w:pPr>
        <w:pStyle w:val="35"/>
        <w:spacing w:line="560" w:lineRule="exact"/>
        <w:ind w:firstLine="640"/>
        <w:jc w:val="center"/>
        <w:rPr>
          <w:rFonts w:ascii="宋体" w:hAnsi="宋体"/>
          <w:color w:val="auto"/>
          <w:kern w:val="2"/>
          <w:sz w:val="32"/>
          <w:szCs w:val="32"/>
        </w:rPr>
      </w:pPr>
    </w:p>
    <w:p w14:paraId="699E2C89">
      <w:pPr>
        <w:adjustRightInd w:val="0"/>
        <w:snapToGrid w:val="0"/>
        <w:spacing w:line="560" w:lineRule="exact"/>
        <w:ind w:firstLine="720"/>
        <w:outlineLvl w:val="1"/>
        <w:rPr>
          <w:rFonts w:hint="eastAsia" w:ascii="仿宋" w:hAnsi="仿宋" w:eastAsia="仿宋" w:cs="仿宋"/>
          <w:b/>
          <w:bCs/>
          <w:sz w:val="32"/>
          <w:szCs w:val="32"/>
          <w:lang w:val="zh-CN"/>
        </w:rPr>
      </w:pPr>
      <w:bookmarkStart w:id="128" w:name="_Toc9797"/>
      <w:r>
        <w:rPr>
          <w:rFonts w:hint="eastAsia" w:ascii="仿宋" w:hAnsi="仿宋" w:eastAsia="仿宋" w:cs="仿宋"/>
          <w:b/>
          <w:bCs/>
          <w:sz w:val="32"/>
          <w:szCs w:val="32"/>
        </w:rPr>
        <w:t>一、</w:t>
      </w:r>
      <w:r>
        <w:rPr>
          <w:rFonts w:hint="eastAsia" w:ascii="仿宋" w:hAnsi="仿宋" w:eastAsia="仿宋" w:cs="仿宋"/>
          <w:b/>
          <w:bCs/>
          <w:sz w:val="32"/>
          <w:szCs w:val="32"/>
          <w:lang w:val="zh-CN"/>
        </w:rPr>
        <w:t>项目概况</w:t>
      </w:r>
      <w:bookmarkEnd w:id="128"/>
    </w:p>
    <w:p w14:paraId="3AE269B1">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根据四川省遏制结核病行动方案、乐山市卫生健康工作领导小组办公室2023年乐山市重大传染病和地方病综合防治重点工作任务的通知及财政对非免疫规划疫苗预防接种服务费的规范管理要求，本年预算资金261.15万元，用于疫苗预防接种服务费发放及结核病、艾滋病、麻风病等重大传染病防控工作开展，进一步提升对重大传染病防控工作的能力，保障人民群众的身体健康。</w:t>
      </w:r>
    </w:p>
    <w:p w14:paraId="609F20A7">
      <w:pPr>
        <w:numPr>
          <w:ilvl w:val="0"/>
          <w:numId w:val="3"/>
        </w:numPr>
        <w:adjustRightInd w:val="0"/>
        <w:snapToGrid w:val="0"/>
        <w:spacing w:line="560" w:lineRule="exact"/>
        <w:ind w:firstLine="720"/>
        <w:rPr>
          <w:rFonts w:hint="eastAsia" w:ascii="仿宋" w:hAnsi="仿宋" w:eastAsia="仿宋" w:cs="仿宋"/>
          <w:sz w:val="32"/>
          <w:szCs w:val="32"/>
        </w:rPr>
      </w:pPr>
      <w:r>
        <w:rPr>
          <w:rFonts w:hint="eastAsia" w:ascii="仿宋" w:hAnsi="仿宋" w:eastAsia="仿宋" w:cs="仿宋"/>
          <w:b/>
          <w:sz w:val="32"/>
          <w:szCs w:val="32"/>
          <w:lang w:val="zh-CN"/>
        </w:rPr>
        <w:t>项目资金申报及批复情况。</w:t>
      </w:r>
    </w:p>
    <w:p w14:paraId="7B2FCB53">
      <w:pPr>
        <w:adjustRightInd w:val="0"/>
        <w:snapToGrid w:val="0"/>
        <w:spacing w:line="600" w:lineRule="exact"/>
        <w:ind w:firstLine="720"/>
        <w:rPr>
          <w:rFonts w:hint="eastAsia" w:ascii="仿宋" w:hAnsi="仿宋" w:eastAsia="仿宋" w:cs="仿宋"/>
          <w:sz w:val="32"/>
          <w:szCs w:val="32"/>
        </w:rPr>
      </w:pPr>
      <w:r>
        <w:rPr>
          <w:rFonts w:hint="eastAsia" w:ascii="仿宋" w:hAnsi="仿宋" w:eastAsia="仿宋" w:cs="仿宋"/>
          <w:sz w:val="32"/>
          <w:szCs w:val="32"/>
        </w:rPr>
        <w:t>按照四川省遏制结核病行动方案、乐山市卫生健康工作领导小组办公室2023年乐山市重大传染病和地方病综合防治重点工作任务的通知及财政对疫苗预防接种服务费的规范管理要求，县财政下达公共卫生项目经费261.15万元，用于非免疫规划疫苗预防接种服务费发放及结核病、艾滋病、麻风病等重大传染病防控工作开展，从预算管理一体化中录入项目库，资金指标下达，到用款计划申请，录入支付，</w:t>
      </w:r>
      <w:r>
        <w:rPr>
          <w:rFonts w:hint="eastAsia" w:ascii="仿宋" w:hAnsi="仿宋" w:eastAsia="仿宋" w:cs="仿宋"/>
          <w:sz w:val="32"/>
          <w:szCs w:val="32"/>
          <w:lang w:val="zh-CN"/>
        </w:rPr>
        <w:t>符合资金管理办法等相关规定。</w:t>
      </w:r>
    </w:p>
    <w:p w14:paraId="40801523">
      <w:pPr>
        <w:numPr>
          <w:ilvl w:val="0"/>
          <w:numId w:val="3"/>
        </w:num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b/>
          <w:sz w:val="32"/>
          <w:szCs w:val="32"/>
          <w:lang w:val="zh-CN"/>
        </w:rPr>
        <w:t>项目绩效目标。</w:t>
      </w:r>
    </w:p>
    <w:p w14:paraId="4EBC3131">
      <w:pPr>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项目主要内容：预防接种单位疫苗预防接种服务费的发放，结核病、艾滋病、麻风病等重大传染病培训、督导、随访、病人的管理等，结核病、艾滋病等重大传染病病人关心关爱，保障疾控中心重大传染病防控工作顺利开展，保障人民群众的身体健康。</w:t>
      </w:r>
    </w:p>
    <w:p w14:paraId="3E93D2BA">
      <w:pPr>
        <w:adjustRightInd w:val="0"/>
        <w:snapToGrid w:val="0"/>
        <w:spacing w:line="560" w:lineRule="exact"/>
        <w:ind w:firstLine="643" w:firstLineChars="200"/>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6EFAE0BF">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项目申报内容与具体实施内容相符、申报目标合理可行。</w:t>
      </w:r>
    </w:p>
    <w:p w14:paraId="6A736F95">
      <w:pPr>
        <w:adjustRightInd w:val="0"/>
        <w:snapToGrid w:val="0"/>
        <w:spacing w:line="560" w:lineRule="exact"/>
        <w:ind w:firstLine="720"/>
        <w:outlineLvl w:val="1"/>
        <w:rPr>
          <w:rFonts w:hint="eastAsia" w:ascii="仿宋" w:hAnsi="仿宋" w:eastAsia="仿宋" w:cs="仿宋"/>
          <w:sz w:val="32"/>
          <w:szCs w:val="32"/>
        </w:rPr>
      </w:pPr>
      <w:bookmarkStart w:id="129" w:name="_Toc13491"/>
      <w:r>
        <w:rPr>
          <w:rFonts w:hint="eastAsia" w:ascii="仿宋" w:hAnsi="仿宋" w:eastAsia="仿宋" w:cs="仿宋"/>
          <w:sz w:val="32"/>
          <w:szCs w:val="32"/>
        </w:rPr>
        <w:t>二、项目实施及管理情况</w:t>
      </w:r>
      <w:bookmarkEnd w:id="129"/>
    </w:p>
    <w:p w14:paraId="30E7CF71">
      <w:p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sz w:val="32"/>
          <w:szCs w:val="32"/>
          <w:lang w:val="zh-CN"/>
        </w:rPr>
        <w:tab/>
      </w:r>
      <w:r>
        <w:rPr>
          <w:rFonts w:hint="eastAsia" w:ascii="仿宋" w:hAnsi="仿宋" w:eastAsia="仿宋" w:cs="仿宋"/>
          <w:b/>
          <w:sz w:val="32"/>
          <w:szCs w:val="32"/>
          <w:lang w:val="zh-CN"/>
        </w:rPr>
        <w:t>（一）资金计划、到位及使用情况。</w:t>
      </w:r>
    </w:p>
    <w:p w14:paraId="659B608F">
      <w:p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sz w:val="32"/>
          <w:szCs w:val="32"/>
          <w:lang w:val="zh-CN"/>
        </w:rPr>
        <w:t>1．资金计划及到位。</w:t>
      </w:r>
    </w:p>
    <w:p w14:paraId="43DFC599">
      <w:pPr>
        <w:spacing w:line="580" w:lineRule="exact"/>
        <w:ind w:firstLine="652" w:firstLineChars="200"/>
        <w:rPr>
          <w:rFonts w:hint="eastAsia" w:ascii="仿宋" w:hAnsi="仿宋" w:eastAsia="仿宋" w:cs="仿宋"/>
          <w:sz w:val="32"/>
          <w:szCs w:val="32"/>
          <w:lang w:val="zh-CN"/>
        </w:rPr>
      </w:pPr>
      <w:r>
        <w:rPr>
          <w:rFonts w:hint="eastAsia" w:ascii="仿宋" w:hAnsi="仿宋" w:eastAsia="仿宋" w:cs="仿宋"/>
          <w:spacing w:val="3"/>
          <w:sz w:val="32"/>
          <w:szCs w:val="32"/>
        </w:rPr>
        <w:t>截至2023年12月31日，</w:t>
      </w:r>
      <w:r>
        <w:rPr>
          <w:rFonts w:hint="eastAsia" w:ascii="仿宋" w:hAnsi="仿宋" w:eastAsia="仿宋" w:cs="仿宋"/>
          <w:sz w:val="32"/>
          <w:szCs w:val="32"/>
        </w:rPr>
        <w:t>下达</w:t>
      </w:r>
      <w:r>
        <w:rPr>
          <w:rFonts w:hint="eastAsia" w:ascii="仿宋" w:hAnsi="仿宋" w:eastAsia="仿宋" w:cs="仿宋"/>
          <w:color w:val="000000"/>
          <w:sz w:val="32"/>
          <w:szCs w:val="32"/>
        </w:rPr>
        <w:t>资金共计</w:t>
      </w:r>
      <w:r>
        <w:rPr>
          <w:rFonts w:hint="eastAsia" w:ascii="仿宋" w:hAnsi="仿宋" w:eastAsia="仿宋" w:cs="仿宋"/>
          <w:sz w:val="32"/>
          <w:szCs w:val="32"/>
        </w:rPr>
        <w:t>261.15</w:t>
      </w:r>
      <w:r>
        <w:rPr>
          <w:rFonts w:hint="eastAsia" w:ascii="仿宋" w:hAnsi="仿宋" w:eastAsia="仿宋" w:cs="仿宋"/>
          <w:color w:val="000000"/>
          <w:sz w:val="32"/>
          <w:szCs w:val="32"/>
        </w:rPr>
        <w:t>万元</w:t>
      </w:r>
      <w:r>
        <w:rPr>
          <w:rFonts w:hint="eastAsia" w:ascii="仿宋" w:hAnsi="仿宋" w:eastAsia="仿宋" w:cs="仿宋"/>
          <w:sz w:val="32"/>
          <w:szCs w:val="32"/>
          <w:lang w:val="zh-CN"/>
        </w:rPr>
        <w:t>。</w:t>
      </w:r>
      <w:r>
        <w:rPr>
          <w:rFonts w:hint="eastAsia" w:ascii="仿宋" w:hAnsi="仿宋" w:eastAsia="仿宋" w:cs="仿宋"/>
          <w:spacing w:val="-5"/>
          <w:sz w:val="32"/>
          <w:szCs w:val="32"/>
        </w:rPr>
        <w:t>项目资金</w:t>
      </w:r>
      <w:r>
        <w:rPr>
          <w:rFonts w:hint="eastAsia" w:ascii="仿宋" w:hAnsi="仿宋" w:eastAsia="仿宋" w:cs="仿宋"/>
          <w:spacing w:val="-8"/>
          <w:sz w:val="32"/>
          <w:szCs w:val="32"/>
        </w:rPr>
        <w:t>实际到</w:t>
      </w:r>
      <w:r>
        <w:rPr>
          <w:rFonts w:hint="eastAsia" w:ascii="仿宋" w:hAnsi="仿宋" w:eastAsia="仿宋" w:cs="仿宋"/>
          <w:spacing w:val="-5"/>
          <w:sz w:val="32"/>
          <w:szCs w:val="32"/>
        </w:rPr>
        <w:t>位</w:t>
      </w:r>
      <w:r>
        <w:rPr>
          <w:rFonts w:hint="eastAsia" w:ascii="仿宋" w:hAnsi="仿宋" w:eastAsia="仿宋" w:cs="仿宋"/>
          <w:sz w:val="32"/>
          <w:szCs w:val="32"/>
        </w:rPr>
        <w:t>261.15</w:t>
      </w:r>
      <w:r>
        <w:rPr>
          <w:rFonts w:hint="eastAsia" w:ascii="仿宋" w:hAnsi="仿宋" w:eastAsia="仿宋" w:cs="仿宋"/>
          <w:spacing w:val="-4"/>
          <w:sz w:val="32"/>
          <w:szCs w:val="32"/>
        </w:rPr>
        <w:t>万元，资金到位率为100%。</w:t>
      </w:r>
    </w:p>
    <w:p w14:paraId="6F3D5B75">
      <w:pPr>
        <w:spacing w:line="58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lang w:val="zh-CN"/>
        </w:rPr>
        <w:t>2．资金使用。</w:t>
      </w:r>
      <w:r>
        <w:rPr>
          <w:rFonts w:hint="eastAsia" w:ascii="仿宋" w:hAnsi="仿宋" w:eastAsia="仿宋" w:cs="仿宋"/>
          <w:spacing w:val="-6"/>
          <w:sz w:val="32"/>
          <w:szCs w:val="32"/>
        </w:rPr>
        <w:t>截至2023年12月31日</w:t>
      </w:r>
      <w:r>
        <w:rPr>
          <w:rFonts w:hint="eastAsia" w:ascii="仿宋" w:hAnsi="仿宋" w:eastAsia="仿宋" w:cs="仿宋"/>
          <w:sz w:val="32"/>
          <w:szCs w:val="32"/>
        </w:rPr>
        <w:t>，</w:t>
      </w:r>
      <w:r>
        <w:rPr>
          <w:rFonts w:hint="eastAsia" w:ascii="仿宋" w:hAnsi="仿宋" w:eastAsia="仿宋" w:cs="仿宋"/>
          <w:spacing w:val="-6"/>
          <w:sz w:val="32"/>
          <w:szCs w:val="32"/>
        </w:rPr>
        <w:t>实际支出</w:t>
      </w:r>
      <w:r>
        <w:rPr>
          <w:rFonts w:hint="eastAsia" w:ascii="仿宋" w:hAnsi="仿宋" w:eastAsia="仿宋" w:cs="仿宋"/>
          <w:sz w:val="32"/>
          <w:szCs w:val="32"/>
        </w:rPr>
        <w:t>261.15</w:t>
      </w:r>
      <w:r>
        <w:rPr>
          <w:rFonts w:hint="eastAsia" w:ascii="仿宋" w:hAnsi="仿宋" w:eastAsia="仿宋" w:cs="仿宋"/>
          <w:spacing w:val="-5"/>
          <w:sz w:val="32"/>
          <w:szCs w:val="32"/>
        </w:rPr>
        <w:t>万</w:t>
      </w:r>
      <w:r>
        <w:rPr>
          <w:rFonts w:hint="eastAsia" w:ascii="仿宋" w:hAnsi="仿宋" w:eastAsia="仿宋" w:cs="仿宋"/>
          <w:spacing w:val="-4"/>
          <w:sz w:val="32"/>
          <w:szCs w:val="32"/>
        </w:rPr>
        <w:t>元，执行率为100%，主要用于</w:t>
      </w:r>
      <w:r>
        <w:rPr>
          <w:rFonts w:hint="eastAsia" w:ascii="仿宋" w:hAnsi="仿宋" w:eastAsia="仿宋" w:cs="仿宋"/>
          <w:sz w:val="32"/>
          <w:szCs w:val="32"/>
        </w:rPr>
        <w:t>预防接种单位疫苗预防接种，开展结核病、艾滋病、麻风病、婚检、孕检等重大公共卫生项目的培训、督导、随访、追踪、病人的管理等工作</w:t>
      </w:r>
      <w:r>
        <w:rPr>
          <w:rFonts w:hint="eastAsia" w:ascii="仿宋" w:hAnsi="仿宋" w:eastAsia="仿宋" w:cs="仿宋"/>
          <w:spacing w:val="-4"/>
          <w:sz w:val="32"/>
          <w:szCs w:val="32"/>
        </w:rPr>
        <w:t>。资金</w:t>
      </w:r>
      <w:r>
        <w:rPr>
          <w:rFonts w:hint="eastAsia" w:ascii="仿宋" w:hAnsi="仿宋" w:eastAsia="仿宋" w:cs="仿宋"/>
          <w:sz w:val="32"/>
          <w:szCs w:val="32"/>
          <w:lang w:val="zh-CN"/>
        </w:rPr>
        <w:t>支付依据合规合法，资金支付与预算相符。</w:t>
      </w:r>
    </w:p>
    <w:p w14:paraId="119853C1">
      <w:p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060E0263">
      <w:pPr>
        <w:spacing w:line="580" w:lineRule="exact"/>
        <w:ind w:firstLine="656" w:firstLineChars="200"/>
        <w:rPr>
          <w:rFonts w:hint="eastAsia" w:ascii="仿宋" w:hAnsi="仿宋" w:eastAsia="仿宋" w:cs="仿宋"/>
          <w:sz w:val="32"/>
          <w:szCs w:val="32"/>
          <w:lang w:val="zh-CN"/>
        </w:rPr>
      </w:pPr>
      <w:r>
        <w:rPr>
          <w:rFonts w:hint="eastAsia" w:ascii="仿宋" w:hAnsi="仿宋" w:eastAsia="仿宋" w:cs="仿宋"/>
          <w:spacing w:val="4"/>
          <w:position w:val="2"/>
          <w:sz w:val="32"/>
          <w:szCs w:val="32"/>
        </w:rPr>
        <w:t>本项目为县级一般公共预算资金，确保了项目资金专款专用；项目资金的使用、支付及时、会计核算规范；严格按照相关规定进行资金支付，杜绝挪用、截留现象的发生。</w:t>
      </w:r>
    </w:p>
    <w:p w14:paraId="5F9F0B35">
      <w:pPr>
        <w:adjustRightInd w:val="0"/>
        <w:snapToGrid w:val="0"/>
        <w:spacing w:line="560" w:lineRule="exact"/>
        <w:ind w:firstLine="643" w:firstLineChars="200"/>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51EA10BF">
      <w:pPr>
        <w:spacing w:line="580" w:lineRule="exact"/>
        <w:ind w:firstLine="680" w:firstLineChars="200"/>
        <w:rPr>
          <w:rFonts w:hint="eastAsia" w:ascii="仿宋" w:hAnsi="仿宋" w:eastAsia="仿宋" w:cs="仿宋"/>
          <w:spacing w:val="5"/>
          <w:position w:val="2"/>
          <w:sz w:val="32"/>
          <w:szCs w:val="32"/>
        </w:rPr>
      </w:pPr>
      <w:r>
        <w:rPr>
          <w:rFonts w:hint="eastAsia" w:ascii="仿宋" w:hAnsi="仿宋" w:eastAsia="仿宋" w:cs="仿宋"/>
          <w:spacing w:val="10"/>
          <w:position w:val="2"/>
          <w:sz w:val="32"/>
          <w:szCs w:val="32"/>
        </w:rPr>
        <w:t>1</w:t>
      </w:r>
      <w:r>
        <w:rPr>
          <w:rFonts w:hint="eastAsia" w:ascii="仿宋" w:hAnsi="仿宋" w:eastAsia="仿宋" w:cs="仿宋"/>
          <w:spacing w:val="8"/>
          <w:position w:val="2"/>
          <w:sz w:val="32"/>
          <w:szCs w:val="32"/>
        </w:rPr>
        <w:t>.</w:t>
      </w:r>
      <w:r>
        <w:rPr>
          <w:rFonts w:hint="eastAsia" w:ascii="仿宋" w:hAnsi="仿宋" w:eastAsia="仿宋" w:cs="仿宋"/>
          <w:spacing w:val="5"/>
          <w:position w:val="2"/>
          <w:sz w:val="32"/>
          <w:szCs w:val="32"/>
        </w:rPr>
        <w:t>项目实施流程。</w:t>
      </w:r>
    </w:p>
    <w:p w14:paraId="4C7430B8">
      <w:pPr>
        <w:spacing w:line="580" w:lineRule="exact"/>
        <w:ind w:firstLine="640" w:firstLineChars="200"/>
        <w:rPr>
          <w:rFonts w:hint="eastAsia" w:ascii="仿宋" w:hAnsi="仿宋" w:eastAsia="仿宋" w:cs="仿宋"/>
          <w:spacing w:val="5"/>
          <w:position w:val="2"/>
          <w:sz w:val="32"/>
          <w:szCs w:val="32"/>
        </w:rPr>
      </w:pPr>
      <w:r>
        <w:rPr>
          <w:rFonts w:hint="eastAsia" w:ascii="仿宋" w:hAnsi="仿宋" w:eastAsia="仿宋" w:cs="仿宋"/>
          <w:sz w:val="32"/>
          <w:szCs w:val="32"/>
        </w:rPr>
        <w:t>为了项目的顺利实施，按照省、市、县下达的结核病、艾滋病等重大公共卫生服务要求制定了相关项目实施方案，相关单位按照制定的实施方案开展各项工作。</w:t>
      </w:r>
      <w:r>
        <w:rPr>
          <w:rFonts w:hint="eastAsia" w:ascii="仿宋" w:hAnsi="仿宋" w:eastAsia="仿宋" w:cs="仿宋"/>
          <w:spacing w:val="5"/>
          <w:position w:val="2"/>
          <w:sz w:val="32"/>
          <w:szCs w:val="32"/>
        </w:rPr>
        <w:t>确保完成项目的既定目标。</w:t>
      </w:r>
    </w:p>
    <w:p w14:paraId="62C2F180">
      <w:pPr>
        <w:spacing w:line="580" w:lineRule="exact"/>
        <w:ind w:firstLine="680" w:firstLineChars="200"/>
        <w:rPr>
          <w:rFonts w:hint="eastAsia" w:ascii="仿宋" w:hAnsi="仿宋" w:eastAsia="仿宋" w:cs="仿宋"/>
          <w:spacing w:val="10"/>
          <w:position w:val="2"/>
          <w:sz w:val="32"/>
          <w:szCs w:val="32"/>
        </w:rPr>
      </w:pPr>
      <w:r>
        <w:rPr>
          <w:rFonts w:hint="eastAsia" w:ascii="仿宋" w:hAnsi="仿宋" w:eastAsia="仿宋" w:cs="仿宋"/>
          <w:spacing w:val="10"/>
          <w:position w:val="2"/>
          <w:sz w:val="32"/>
          <w:szCs w:val="32"/>
        </w:rPr>
        <w:t>2.项目资金监管和绩效管理开展情况。</w:t>
      </w:r>
    </w:p>
    <w:p w14:paraId="6188CD3A">
      <w:pPr>
        <w:spacing w:line="580" w:lineRule="exact"/>
        <w:ind w:firstLine="680" w:firstLineChars="200"/>
        <w:rPr>
          <w:rFonts w:hint="eastAsia" w:ascii="仿宋" w:hAnsi="仿宋" w:eastAsia="仿宋" w:cs="仿宋"/>
          <w:spacing w:val="4"/>
          <w:position w:val="2"/>
          <w:sz w:val="32"/>
          <w:szCs w:val="32"/>
        </w:rPr>
      </w:pPr>
      <w:r>
        <w:rPr>
          <w:rFonts w:hint="eastAsia" w:ascii="仿宋" w:hAnsi="仿宋" w:eastAsia="仿宋" w:cs="仿宋"/>
          <w:spacing w:val="10"/>
          <w:position w:val="2"/>
          <w:sz w:val="32"/>
          <w:szCs w:val="32"/>
        </w:rPr>
        <w:t>本项目为</w:t>
      </w:r>
      <w:r>
        <w:rPr>
          <w:rFonts w:hint="eastAsia" w:ascii="仿宋" w:hAnsi="仿宋" w:eastAsia="仿宋" w:cs="仿宋"/>
          <w:spacing w:val="4"/>
          <w:position w:val="2"/>
          <w:sz w:val="32"/>
          <w:szCs w:val="32"/>
        </w:rPr>
        <w:t>县级一般公共预算资金</w:t>
      </w:r>
      <w:r>
        <w:rPr>
          <w:rFonts w:hint="eastAsia" w:ascii="仿宋" w:hAnsi="仿宋" w:eastAsia="仿宋" w:cs="仿宋"/>
          <w:spacing w:val="10"/>
          <w:position w:val="2"/>
          <w:sz w:val="32"/>
          <w:szCs w:val="32"/>
        </w:rPr>
        <w:t>，确保了项目资金专款专用；项目资金的使用、支付严格执行相关管理制度；严格按照相关规定进行资</w:t>
      </w:r>
      <w:r>
        <w:rPr>
          <w:rFonts w:hint="eastAsia" w:ascii="仿宋" w:hAnsi="仿宋" w:eastAsia="仿宋" w:cs="仿宋"/>
          <w:spacing w:val="4"/>
          <w:position w:val="2"/>
          <w:sz w:val="32"/>
          <w:szCs w:val="32"/>
        </w:rPr>
        <w:t>金支付，杜绝挪用、截留现象的发生。</w:t>
      </w:r>
    </w:p>
    <w:p w14:paraId="2BF118C8">
      <w:pPr>
        <w:adjustRightInd w:val="0"/>
        <w:snapToGrid w:val="0"/>
        <w:spacing w:line="560" w:lineRule="exact"/>
        <w:ind w:firstLine="720"/>
        <w:outlineLvl w:val="1"/>
        <w:rPr>
          <w:rFonts w:hint="eastAsia" w:ascii="仿宋" w:hAnsi="仿宋" w:eastAsia="仿宋" w:cs="仿宋"/>
          <w:sz w:val="32"/>
          <w:szCs w:val="32"/>
          <w:lang w:val="zh-CN"/>
        </w:rPr>
      </w:pPr>
      <w:bookmarkStart w:id="130" w:name="_Toc28669"/>
      <w:r>
        <w:rPr>
          <w:rFonts w:hint="eastAsia" w:ascii="仿宋" w:hAnsi="仿宋" w:eastAsia="仿宋" w:cs="仿宋"/>
          <w:sz w:val="32"/>
          <w:szCs w:val="32"/>
        </w:rPr>
        <w:t>三、项目绩效情况</w:t>
      </w:r>
      <w:bookmarkEnd w:id="130"/>
      <w:r>
        <w:rPr>
          <w:rFonts w:hint="eastAsia" w:ascii="仿宋" w:hAnsi="仿宋" w:eastAsia="仿宋" w:cs="仿宋"/>
          <w:sz w:val="32"/>
          <w:szCs w:val="32"/>
          <w:lang w:val="zh-CN"/>
        </w:rPr>
        <w:tab/>
      </w:r>
    </w:p>
    <w:p w14:paraId="7AB1AC8D">
      <w:p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4BC72C2B">
      <w:pPr>
        <w:adjustRightInd w:val="0"/>
        <w:snapToGrid w:val="0"/>
        <w:spacing w:line="600" w:lineRule="exact"/>
        <w:ind w:firstLine="720"/>
        <w:rPr>
          <w:rFonts w:hint="eastAsia" w:ascii="仿宋" w:hAnsi="仿宋" w:eastAsia="仿宋" w:cs="仿宋"/>
          <w:sz w:val="32"/>
          <w:szCs w:val="32"/>
        </w:rPr>
      </w:pPr>
      <w:r>
        <w:rPr>
          <w:rFonts w:hint="eastAsia" w:ascii="仿宋" w:hAnsi="仿宋" w:eastAsia="仿宋" w:cs="仿宋"/>
          <w:sz w:val="32"/>
          <w:szCs w:val="32"/>
        </w:rPr>
        <w:t>（1）完成数量：全县非免疫规划疫苗全年累计接种16849剂次；存活艾滋病感染者和病人303例，抗体筛查58230人次，抗病毒治疗299人，治疗覆盖率98.68%,CD4细胞检测294人，检测覆盖率97.03%，病毒载量检测274人，检测覆盖率96.82%；治疗管理肺结核病人148人，需追踪疑似肺结核病例188例，追踪到位160例，追踪到位率97.67%；麻风疑似病例调查304人。</w:t>
      </w:r>
    </w:p>
    <w:p w14:paraId="09116919">
      <w:pPr>
        <w:pStyle w:val="5"/>
        <w:ind w:firstLine="640"/>
        <w:rPr>
          <w:rFonts w:hint="eastAsia" w:ascii="仿宋" w:hAnsi="仿宋" w:eastAsia="仿宋" w:cs="仿宋"/>
          <w:sz w:val="32"/>
          <w:szCs w:val="32"/>
        </w:rPr>
      </w:pPr>
      <w:r>
        <w:rPr>
          <w:rFonts w:hint="eastAsia" w:ascii="仿宋" w:hAnsi="仿宋" w:eastAsia="仿宋" w:cs="仿宋"/>
          <w:sz w:val="32"/>
          <w:szCs w:val="32"/>
        </w:rPr>
        <w:t>（2）完成质量：艾滋病感染者及病人</w:t>
      </w:r>
      <w:r>
        <w:rPr>
          <w:rFonts w:hint="eastAsia" w:ascii="仿宋" w:hAnsi="仿宋" w:eastAsia="仿宋" w:cs="仿宋"/>
          <w:sz w:val="32"/>
          <w:szCs w:val="32"/>
          <w:lang w:val="zh-CN"/>
        </w:rPr>
        <w:t>生存生活质量得到了一定提高</w:t>
      </w:r>
      <w:r>
        <w:rPr>
          <w:rFonts w:hint="eastAsia" w:ascii="仿宋" w:hAnsi="仿宋" w:eastAsia="仿宋" w:cs="仿宋"/>
          <w:sz w:val="32"/>
          <w:szCs w:val="32"/>
        </w:rPr>
        <w:t>；</w:t>
      </w:r>
    </w:p>
    <w:p w14:paraId="2A187CCC">
      <w:pPr>
        <w:pStyle w:val="5"/>
        <w:ind w:firstLine="640"/>
        <w:rPr>
          <w:rFonts w:hint="eastAsia" w:ascii="仿宋" w:hAnsi="仿宋" w:eastAsia="仿宋" w:cs="仿宋"/>
          <w:sz w:val="32"/>
          <w:szCs w:val="32"/>
        </w:rPr>
      </w:pPr>
      <w:r>
        <w:rPr>
          <w:rFonts w:hint="eastAsia" w:ascii="仿宋" w:hAnsi="仿宋" w:eastAsia="仿宋" w:cs="仿宋"/>
          <w:sz w:val="32"/>
          <w:szCs w:val="32"/>
        </w:rPr>
        <w:t>（3）完成时效：在计划的2023年12月全部完成；</w:t>
      </w:r>
    </w:p>
    <w:p w14:paraId="509155F6">
      <w:pPr>
        <w:spacing w:line="580" w:lineRule="exact"/>
        <w:ind w:firstLine="640" w:firstLineChars="200"/>
        <w:rPr>
          <w:rFonts w:hint="eastAsia" w:ascii="仿宋" w:hAnsi="仿宋" w:eastAsia="仿宋" w:cs="仿宋"/>
          <w:sz w:val="32"/>
          <w:szCs w:val="32"/>
          <w:lang w:val="zh-CN"/>
        </w:rPr>
      </w:pPr>
      <w:r>
        <w:rPr>
          <w:rFonts w:hint="eastAsia" w:ascii="仿宋" w:hAnsi="仿宋" w:eastAsia="仿宋" w:cs="仿宋"/>
          <w:sz w:val="32"/>
          <w:szCs w:val="32"/>
        </w:rPr>
        <w:t>（4）完成成本：项目资金261.15万元，全部用于本项目。</w:t>
      </w:r>
    </w:p>
    <w:p w14:paraId="6C54FD72">
      <w:pPr>
        <w:numPr>
          <w:ilvl w:val="0"/>
          <w:numId w:val="4"/>
        </w:numPr>
        <w:adjustRightInd w:val="0"/>
        <w:snapToGrid w:val="0"/>
        <w:spacing w:line="560" w:lineRule="exact"/>
        <w:ind w:firstLine="720"/>
        <w:rPr>
          <w:rFonts w:hint="eastAsia" w:ascii="仿宋" w:hAnsi="仿宋" w:eastAsia="仿宋" w:cs="仿宋"/>
          <w:sz w:val="32"/>
          <w:szCs w:val="32"/>
          <w:lang w:val="zh-CN"/>
        </w:rPr>
      </w:pPr>
      <w:r>
        <w:rPr>
          <w:rFonts w:hint="eastAsia" w:ascii="仿宋" w:hAnsi="仿宋" w:eastAsia="仿宋" w:cs="仿宋"/>
          <w:b/>
          <w:sz w:val="32"/>
          <w:szCs w:val="32"/>
          <w:lang w:val="zh-CN"/>
        </w:rPr>
        <w:t>项目效益情况。</w:t>
      </w:r>
    </w:p>
    <w:p w14:paraId="796C5A24">
      <w:pPr>
        <w:pStyle w:val="5"/>
        <w:numPr>
          <w:ilvl w:val="0"/>
          <w:numId w:val="5"/>
        </w:numPr>
        <w:ind w:firstLine="640"/>
        <w:rPr>
          <w:rFonts w:hint="eastAsia" w:ascii="仿宋" w:hAnsi="仿宋" w:eastAsia="仿宋" w:cs="仿宋"/>
          <w:sz w:val="32"/>
          <w:szCs w:val="32"/>
          <w:lang w:val="zh-CN"/>
        </w:rPr>
      </w:pPr>
      <w:r>
        <w:rPr>
          <w:rFonts w:hint="eastAsia" w:ascii="仿宋" w:hAnsi="仿宋" w:eastAsia="仿宋" w:cs="仿宋"/>
          <w:sz w:val="32"/>
          <w:szCs w:val="32"/>
        </w:rPr>
        <w:t>社会效益：重大公共卫生项目实施保障了群众身体健康</w:t>
      </w:r>
      <w:r>
        <w:rPr>
          <w:rFonts w:hint="eastAsia" w:ascii="仿宋" w:hAnsi="仿宋" w:eastAsia="仿宋" w:cs="仿宋"/>
          <w:sz w:val="32"/>
          <w:szCs w:val="32"/>
          <w:lang w:val="zh-CN"/>
        </w:rPr>
        <w:t>；</w:t>
      </w:r>
    </w:p>
    <w:p w14:paraId="65A61A71">
      <w:pPr>
        <w:adjustRightInd w:val="0"/>
        <w:snapToGrid w:val="0"/>
        <w:spacing w:line="600" w:lineRule="exact"/>
        <w:ind w:firstLine="720"/>
        <w:rPr>
          <w:rFonts w:hint="eastAsia"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可持续影响：艾滋病人纳入管理人数增加，抗病毒治疗覆盖率提高，人均寿命延长；</w:t>
      </w:r>
    </w:p>
    <w:p w14:paraId="11278A50">
      <w:pPr>
        <w:pStyle w:val="5"/>
        <w:ind w:firstLine="640" w:firstLineChars="200"/>
        <w:rPr>
          <w:rFonts w:hint="eastAsia" w:ascii="仿宋" w:hAnsi="仿宋" w:eastAsia="仿宋" w:cs="仿宋"/>
          <w:sz w:val="32"/>
          <w:szCs w:val="32"/>
          <w:lang w:val="zh-CN"/>
        </w:rPr>
      </w:pPr>
      <w:r>
        <w:rPr>
          <w:rFonts w:hint="eastAsia" w:ascii="仿宋" w:hAnsi="仿宋" w:eastAsia="仿宋" w:cs="仿宋"/>
          <w:sz w:val="32"/>
          <w:szCs w:val="32"/>
        </w:rPr>
        <w:t>（3）服务对象满意度：群众</w:t>
      </w:r>
      <w:r>
        <w:rPr>
          <w:rFonts w:hint="eastAsia" w:ascii="仿宋" w:hAnsi="仿宋" w:eastAsia="仿宋" w:cs="仿宋"/>
          <w:sz w:val="32"/>
          <w:szCs w:val="32"/>
          <w:lang w:val="zh-CN"/>
        </w:rPr>
        <w:t>满意度提高</w:t>
      </w:r>
      <w:r>
        <w:rPr>
          <w:rFonts w:hint="eastAsia" w:ascii="仿宋" w:hAnsi="仿宋" w:eastAsia="仿宋" w:cs="仿宋"/>
          <w:sz w:val="32"/>
          <w:szCs w:val="32"/>
        </w:rPr>
        <w:t>。</w:t>
      </w:r>
    </w:p>
    <w:p w14:paraId="719C0427">
      <w:pPr>
        <w:adjustRightInd w:val="0"/>
        <w:snapToGrid w:val="0"/>
        <w:spacing w:line="560" w:lineRule="exact"/>
        <w:ind w:firstLine="720"/>
        <w:outlineLvl w:val="1"/>
        <w:rPr>
          <w:rFonts w:hint="eastAsia" w:ascii="仿宋" w:hAnsi="仿宋" w:eastAsia="仿宋" w:cs="仿宋"/>
          <w:sz w:val="32"/>
          <w:szCs w:val="32"/>
        </w:rPr>
      </w:pPr>
      <w:bookmarkStart w:id="131" w:name="_Toc7760"/>
      <w:r>
        <w:rPr>
          <w:rFonts w:hint="eastAsia" w:ascii="仿宋" w:hAnsi="仿宋" w:eastAsia="仿宋" w:cs="仿宋"/>
          <w:sz w:val="32"/>
          <w:szCs w:val="32"/>
        </w:rPr>
        <w:t>四、问题及建议</w:t>
      </w:r>
      <w:bookmarkEnd w:id="131"/>
    </w:p>
    <w:p w14:paraId="2762699F">
      <w:p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339469DE">
      <w:pPr>
        <w:adjustRightInd w:val="0"/>
        <w:snapToGrid w:val="0"/>
        <w:spacing w:line="600" w:lineRule="exact"/>
        <w:ind w:firstLine="1040" w:firstLineChars="325"/>
        <w:rPr>
          <w:rFonts w:hint="eastAsia" w:ascii="仿宋" w:hAnsi="仿宋" w:eastAsia="仿宋" w:cs="仿宋"/>
          <w:sz w:val="32"/>
          <w:szCs w:val="32"/>
        </w:rPr>
      </w:pPr>
      <w:r>
        <w:rPr>
          <w:rFonts w:hint="eastAsia" w:ascii="仿宋" w:hAnsi="仿宋" w:eastAsia="仿宋" w:cs="仿宋"/>
          <w:sz w:val="32"/>
          <w:szCs w:val="32"/>
        </w:rPr>
        <w:t>无。</w:t>
      </w:r>
    </w:p>
    <w:p w14:paraId="009E5F37">
      <w:pPr>
        <w:numPr>
          <w:ilvl w:val="0"/>
          <w:numId w:val="6"/>
        </w:numPr>
        <w:adjustRightInd w:val="0"/>
        <w:snapToGrid w:val="0"/>
        <w:spacing w:line="560" w:lineRule="exact"/>
        <w:ind w:firstLine="720"/>
        <w:rPr>
          <w:rFonts w:hint="eastAsia" w:ascii="仿宋" w:hAnsi="仿宋" w:eastAsia="仿宋" w:cs="仿宋"/>
          <w:b/>
          <w:sz w:val="32"/>
          <w:szCs w:val="32"/>
          <w:lang w:val="zh-CN"/>
        </w:rPr>
      </w:pPr>
      <w:r>
        <w:rPr>
          <w:rFonts w:hint="eastAsia" w:ascii="仿宋" w:hAnsi="仿宋" w:eastAsia="仿宋" w:cs="仿宋"/>
          <w:b/>
          <w:sz w:val="32"/>
          <w:szCs w:val="32"/>
          <w:lang w:val="zh-CN"/>
        </w:rPr>
        <w:t>相关建议。</w:t>
      </w:r>
    </w:p>
    <w:p w14:paraId="4BCE8628">
      <w:pPr>
        <w:ind w:left="0" w:leftChars="0" w:firstLine="1059" w:firstLineChars="331"/>
        <w:rPr>
          <w:rFonts w:hint="eastAsia" w:ascii="仿宋" w:hAnsi="仿宋" w:eastAsia="仿宋" w:cs="仿宋"/>
          <w:sz w:val="32"/>
          <w:szCs w:val="32"/>
        </w:rPr>
      </w:pPr>
      <w:r>
        <w:rPr>
          <w:rFonts w:hint="eastAsia" w:ascii="仿宋" w:hAnsi="仿宋" w:eastAsia="仿宋" w:cs="仿宋"/>
          <w:sz w:val="32"/>
          <w:szCs w:val="32"/>
        </w:rPr>
        <w:t>无。</w:t>
      </w:r>
    </w:p>
    <w:p w14:paraId="6F482B99">
      <w:pPr>
        <w:ind w:left="0" w:leftChars="0" w:firstLine="640" w:firstLineChars="200"/>
        <w:rPr>
          <w:rFonts w:hint="eastAsia" w:ascii="仿宋" w:hAnsi="仿宋" w:eastAsia="仿宋" w:cs="仿宋"/>
          <w:sz w:val="32"/>
          <w:szCs w:val="32"/>
        </w:rPr>
      </w:pPr>
    </w:p>
    <w:p w14:paraId="5DCE9001">
      <w:pPr>
        <w:ind w:left="0" w:leftChars="0" w:firstLine="640" w:firstLineChars="200"/>
        <w:rPr>
          <w:rFonts w:hint="eastAsia" w:ascii="仿宋" w:hAnsi="仿宋" w:eastAsia="仿宋" w:cs="仿宋"/>
          <w:sz w:val="32"/>
          <w:szCs w:val="32"/>
        </w:rPr>
      </w:pPr>
    </w:p>
    <w:p w14:paraId="62AF49E7">
      <w:pPr>
        <w:ind w:left="0" w:leftChars="0" w:firstLine="640" w:firstLineChars="200"/>
        <w:rPr>
          <w:rFonts w:hint="eastAsia" w:eastAsia="仿宋_GB2312"/>
          <w:sz w:val="32"/>
          <w:szCs w:val="32"/>
          <w:lang w:val="zh-CN"/>
        </w:rPr>
      </w:pPr>
    </w:p>
    <w:p w14:paraId="540356F6">
      <w:pPr>
        <w:pStyle w:val="35"/>
        <w:spacing w:line="600" w:lineRule="exact"/>
        <w:jc w:val="center"/>
        <w:outlineLvl w:val="1"/>
        <w:rPr>
          <w:rFonts w:hint="eastAsia" w:ascii="方正小标宋简体" w:hAnsi="宋体" w:eastAsia="方正小标宋简体"/>
          <w:sz w:val="44"/>
          <w:szCs w:val="44"/>
        </w:rPr>
      </w:pPr>
      <w:bookmarkStart w:id="132" w:name="_Toc30447"/>
    </w:p>
    <w:p w14:paraId="657DADB8">
      <w:pPr>
        <w:pStyle w:val="35"/>
        <w:spacing w:line="600" w:lineRule="exact"/>
        <w:jc w:val="center"/>
        <w:outlineLvl w:val="1"/>
        <w:rPr>
          <w:rFonts w:hint="eastAsia" w:ascii="方正小标宋简体" w:hAnsi="宋体" w:eastAsia="方正小标宋简体"/>
          <w:sz w:val="44"/>
          <w:szCs w:val="44"/>
        </w:rPr>
      </w:pPr>
    </w:p>
    <w:p w14:paraId="66EA5F1A">
      <w:pPr>
        <w:pStyle w:val="35"/>
        <w:spacing w:line="600" w:lineRule="exact"/>
        <w:jc w:val="center"/>
        <w:outlineLvl w:val="1"/>
        <w:rPr>
          <w:rFonts w:hint="eastAsia" w:ascii="方正小标宋简体" w:hAnsi="宋体" w:eastAsia="方正小标宋简体"/>
          <w:sz w:val="44"/>
          <w:szCs w:val="44"/>
        </w:rPr>
      </w:pPr>
    </w:p>
    <w:p w14:paraId="59CD2C0B">
      <w:pPr>
        <w:pStyle w:val="35"/>
        <w:spacing w:line="600" w:lineRule="exact"/>
        <w:jc w:val="center"/>
        <w:outlineLvl w:val="1"/>
        <w:rPr>
          <w:rFonts w:hint="eastAsia" w:ascii="方正小标宋简体" w:hAnsi="宋体" w:eastAsia="方正小标宋简体"/>
          <w:sz w:val="44"/>
          <w:szCs w:val="44"/>
        </w:rPr>
      </w:pPr>
    </w:p>
    <w:p w14:paraId="505EE9D4">
      <w:pPr>
        <w:pStyle w:val="35"/>
        <w:spacing w:line="600" w:lineRule="exact"/>
        <w:jc w:val="center"/>
        <w:outlineLvl w:val="1"/>
        <w:rPr>
          <w:rFonts w:hint="eastAsia" w:ascii="方正小标宋简体" w:hAnsi="宋体" w:eastAsia="方正小标宋简体"/>
          <w:sz w:val="44"/>
          <w:szCs w:val="44"/>
        </w:rPr>
      </w:pPr>
    </w:p>
    <w:p w14:paraId="485C1F23">
      <w:pPr>
        <w:pStyle w:val="35"/>
        <w:spacing w:line="600" w:lineRule="exact"/>
        <w:jc w:val="center"/>
        <w:outlineLvl w:val="1"/>
        <w:rPr>
          <w:rFonts w:hint="eastAsia" w:ascii="方正小标宋简体" w:hAnsi="宋体" w:eastAsia="方正小标宋简体"/>
          <w:sz w:val="44"/>
          <w:szCs w:val="44"/>
        </w:rPr>
      </w:pPr>
    </w:p>
    <w:p w14:paraId="2307B84E">
      <w:pPr>
        <w:pStyle w:val="35"/>
        <w:spacing w:line="600" w:lineRule="exact"/>
        <w:jc w:val="center"/>
        <w:outlineLvl w:val="1"/>
        <w:rPr>
          <w:rFonts w:hint="eastAsia" w:ascii="方正小标宋简体" w:hAnsi="宋体" w:eastAsia="方正小标宋简体"/>
          <w:sz w:val="44"/>
          <w:szCs w:val="44"/>
        </w:rPr>
      </w:pPr>
    </w:p>
    <w:p w14:paraId="445C9A57">
      <w:pPr>
        <w:pStyle w:val="35"/>
        <w:spacing w:line="600" w:lineRule="exact"/>
        <w:jc w:val="center"/>
        <w:outlineLvl w:val="1"/>
        <w:rPr>
          <w:rFonts w:hint="eastAsia" w:ascii="方正小标宋简体" w:hAnsi="宋体" w:eastAsia="方正小标宋简体"/>
          <w:sz w:val="44"/>
          <w:szCs w:val="44"/>
        </w:rPr>
      </w:pPr>
    </w:p>
    <w:p w14:paraId="48B02561">
      <w:pPr>
        <w:pStyle w:val="35"/>
        <w:spacing w:line="600" w:lineRule="exact"/>
        <w:jc w:val="center"/>
        <w:outlineLvl w:val="1"/>
        <w:rPr>
          <w:rFonts w:hint="eastAsia" w:ascii="方正小标宋简体" w:hAnsi="宋体" w:eastAsia="方正小标宋简体"/>
          <w:sz w:val="44"/>
          <w:szCs w:val="44"/>
        </w:rPr>
      </w:pPr>
    </w:p>
    <w:p w14:paraId="544A573A">
      <w:pPr>
        <w:pStyle w:val="35"/>
        <w:spacing w:line="600" w:lineRule="exact"/>
        <w:jc w:val="center"/>
        <w:outlineLvl w:val="1"/>
        <w:rPr>
          <w:rFonts w:hint="eastAsia" w:ascii="方正小标宋简体" w:hAnsi="宋体" w:eastAsia="方正小标宋简体"/>
          <w:sz w:val="44"/>
          <w:szCs w:val="44"/>
        </w:rPr>
      </w:pPr>
    </w:p>
    <w:p w14:paraId="6C71F8C5">
      <w:pPr>
        <w:pStyle w:val="35"/>
        <w:spacing w:line="600" w:lineRule="exact"/>
        <w:jc w:val="center"/>
        <w:outlineLvl w:val="1"/>
        <w:rPr>
          <w:rFonts w:hint="eastAsia" w:ascii="方正小标宋简体" w:hAnsi="宋体" w:eastAsia="方正小标宋简体"/>
          <w:sz w:val="44"/>
          <w:szCs w:val="44"/>
        </w:rPr>
      </w:pPr>
    </w:p>
    <w:p w14:paraId="35A7EDDE">
      <w:pPr>
        <w:pStyle w:val="35"/>
        <w:spacing w:line="600" w:lineRule="exact"/>
        <w:jc w:val="center"/>
        <w:outlineLvl w:val="1"/>
        <w:rPr>
          <w:rFonts w:hint="eastAsia" w:ascii="方正小标宋简体" w:hAnsi="宋体" w:eastAsia="方正小标宋简体"/>
          <w:sz w:val="44"/>
          <w:szCs w:val="44"/>
        </w:rPr>
      </w:pPr>
    </w:p>
    <w:p w14:paraId="66FAC1B2">
      <w:pPr>
        <w:pStyle w:val="35"/>
        <w:spacing w:line="600" w:lineRule="exact"/>
        <w:jc w:val="center"/>
        <w:outlineLvl w:val="1"/>
        <w:rPr>
          <w:rFonts w:ascii="方正小标宋简体" w:hAnsi="宋体" w:eastAsia="方正小标宋简体"/>
          <w:sz w:val="44"/>
          <w:szCs w:val="44"/>
        </w:rPr>
      </w:pPr>
      <w:bookmarkStart w:id="151" w:name="_GoBack"/>
      <w:bookmarkEnd w:id="151"/>
      <w:r>
        <w:rPr>
          <w:rFonts w:hint="eastAsia" w:ascii="方正小标宋简体" w:hAnsi="宋体" w:eastAsia="方正小标宋简体"/>
          <w:sz w:val="44"/>
          <w:szCs w:val="44"/>
        </w:rPr>
        <w:t>峨边彝族自治县人民医院</w:t>
      </w:r>
      <w:bookmarkEnd w:id="132"/>
    </w:p>
    <w:p w14:paraId="51C3CE30">
      <w:pPr>
        <w:pStyle w:val="35"/>
        <w:spacing w:line="600" w:lineRule="exact"/>
        <w:jc w:val="center"/>
        <w:rPr>
          <w:rFonts w:ascii="仿宋_GB2312" w:hAnsi="宋体" w:eastAsia="仿宋_GB2312"/>
          <w:color w:val="auto"/>
          <w:kern w:val="2"/>
          <w:sz w:val="32"/>
          <w:szCs w:val="32"/>
        </w:rPr>
      </w:pPr>
      <w:r>
        <w:rPr>
          <w:rFonts w:hint="eastAsia" w:ascii="方正小标宋简体" w:hAnsi="宋体" w:eastAsia="方正小标宋简体"/>
          <w:sz w:val="44"/>
          <w:szCs w:val="44"/>
        </w:rPr>
        <w:t>四川省“组团式”帮扶乡村振兴重点帮扶县人民医院工作经费项目绩效自评报告</w:t>
      </w:r>
    </w:p>
    <w:p w14:paraId="669E4B81">
      <w:pPr>
        <w:pStyle w:val="35"/>
        <w:spacing w:line="560" w:lineRule="exact"/>
        <w:ind w:firstLine="640"/>
        <w:jc w:val="center"/>
        <w:rPr>
          <w:rFonts w:ascii="宋体" w:hAnsi="宋体"/>
          <w:color w:val="auto"/>
          <w:kern w:val="2"/>
          <w:sz w:val="32"/>
          <w:szCs w:val="32"/>
        </w:rPr>
      </w:pPr>
    </w:p>
    <w:p w14:paraId="34CF1E31">
      <w:pPr>
        <w:widowControl/>
        <w:adjustRightInd w:val="0"/>
        <w:snapToGrid w:val="0"/>
        <w:spacing w:line="560" w:lineRule="exact"/>
        <w:ind w:firstLine="640" w:firstLineChars="200"/>
        <w:jc w:val="left"/>
        <w:outlineLvl w:val="1"/>
        <w:rPr>
          <w:rFonts w:ascii="仿宋" w:hAnsi="仿宋" w:eastAsia="仿宋" w:cs="仿宋"/>
          <w:sz w:val="32"/>
          <w:szCs w:val="32"/>
        </w:rPr>
      </w:pPr>
      <w:bookmarkStart w:id="133" w:name="_Toc30143"/>
      <w:r>
        <w:rPr>
          <w:rFonts w:hint="eastAsia" w:ascii="仿宋" w:hAnsi="仿宋" w:eastAsia="仿宋" w:cs="仿宋"/>
          <w:sz w:val="32"/>
          <w:szCs w:val="32"/>
        </w:rPr>
        <w:t>一、项目概况</w:t>
      </w:r>
      <w:bookmarkEnd w:id="133"/>
    </w:p>
    <w:p w14:paraId="2047D373">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 xml:space="preserve">1、按照“组团式”帮扶乡村振兴重点帮扶县人民医院工作经费要求，县级财政预算并下达“组团式”帮扶乡村振兴重点帮扶县人民医院工作经费专项资金20万元；预算编制合理，资金使用管理规范，符合专项资金管理办法。 </w:t>
      </w:r>
    </w:p>
    <w:p w14:paraId="2150656E">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2、按照四川省“组团式”帮扶乡村振兴重点帮扶县人民医院实施方案要求，全面、规范完成乡村巡回义诊、人员培训、业务研讨工作。</w:t>
      </w:r>
    </w:p>
    <w:p w14:paraId="0A01CAC8">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3、“组团式”帮扶项目申报与实施相符，申报目标合理可行。</w:t>
      </w:r>
    </w:p>
    <w:p w14:paraId="1FDDBC19">
      <w:pPr>
        <w:widowControl/>
        <w:adjustRightInd w:val="0"/>
        <w:snapToGrid w:val="0"/>
        <w:spacing w:line="560" w:lineRule="exact"/>
        <w:ind w:firstLine="640" w:firstLineChars="200"/>
        <w:jc w:val="left"/>
        <w:outlineLvl w:val="1"/>
        <w:rPr>
          <w:rFonts w:ascii="仿宋" w:hAnsi="仿宋" w:eastAsia="仿宋" w:cs="仿宋"/>
          <w:sz w:val="32"/>
          <w:szCs w:val="32"/>
        </w:rPr>
      </w:pPr>
      <w:bookmarkStart w:id="134" w:name="_Toc1269"/>
      <w:r>
        <w:rPr>
          <w:rFonts w:hint="eastAsia" w:ascii="仿宋" w:hAnsi="仿宋" w:eastAsia="仿宋" w:cs="仿宋"/>
          <w:sz w:val="32"/>
          <w:szCs w:val="32"/>
        </w:rPr>
        <w:t>二、项目实施及管理情况</w:t>
      </w:r>
      <w:bookmarkEnd w:id="134"/>
    </w:p>
    <w:p w14:paraId="722B9EF5">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（一）项目资金计划、到位及使用情况</w:t>
      </w:r>
    </w:p>
    <w:p w14:paraId="6C137503">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1、“组团式”帮扶预算资金20万元，到位20万元。</w:t>
      </w:r>
    </w:p>
    <w:p w14:paraId="736A700A">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2、资金使用情况</w:t>
      </w:r>
    </w:p>
    <w:p w14:paraId="2AEB1631">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全面、规范完成乡村巡回义诊、人员培训、业务研讨工作，实际使用专项资金20万元，执行率100%。</w:t>
      </w:r>
    </w:p>
    <w:p w14:paraId="37496691">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（二）项目财务管理情况</w:t>
      </w:r>
    </w:p>
    <w:p w14:paraId="1E35BD7D">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在资金管理上强化责任意识，建立健全管理制度，专款专用，执行情况良好，提高了资金使用效益，确保了财政资金使用安全。</w:t>
      </w:r>
    </w:p>
    <w:p w14:paraId="1900F4EF">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（三）项目组织实施情况</w:t>
      </w:r>
    </w:p>
    <w:p w14:paraId="79997C26">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医院制定了“组团式”帮扶工作实施方案，并按方案有效实施。</w:t>
      </w:r>
    </w:p>
    <w:p w14:paraId="7A3EBB2E">
      <w:pPr>
        <w:widowControl/>
        <w:adjustRightInd w:val="0"/>
        <w:snapToGrid w:val="0"/>
        <w:spacing w:line="560" w:lineRule="exact"/>
        <w:ind w:firstLine="640" w:firstLineChars="200"/>
        <w:jc w:val="left"/>
        <w:outlineLvl w:val="1"/>
        <w:rPr>
          <w:rFonts w:ascii="仿宋" w:hAnsi="仿宋" w:eastAsia="仿宋" w:cs="仿宋"/>
          <w:sz w:val="32"/>
          <w:szCs w:val="32"/>
        </w:rPr>
      </w:pPr>
      <w:bookmarkStart w:id="135" w:name="_Toc847"/>
      <w:r>
        <w:rPr>
          <w:rFonts w:hint="eastAsia" w:ascii="仿宋" w:hAnsi="仿宋" w:eastAsia="仿宋" w:cs="仿宋"/>
          <w:sz w:val="32"/>
          <w:szCs w:val="32"/>
        </w:rPr>
        <w:t>三、项目绩效完成情况</w:t>
      </w:r>
      <w:bookmarkEnd w:id="135"/>
    </w:p>
    <w:p w14:paraId="0CA83847">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1、数量指标：按照“组团式”帮扶工作实施方案， 培训医务人员1211人次</w:t>
      </w:r>
      <w:r>
        <w:rPr>
          <w:rFonts w:hint="eastAsia" w:ascii="仿宋" w:hAnsi="仿宋" w:eastAsia="仿宋" w:cs="仿宋"/>
          <w:sz w:val="32"/>
          <w:szCs w:val="32"/>
          <w:lang w:eastAsia="zh-CN"/>
        </w:rPr>
        <w:t>，</w:t>
      </w:r>
      <w:r>
        <w:rPr>
          <w:rFonts w:hint="eastAsia" w:ascii="仿宋" w:hAnsi="仿宋" w:eastAsia="仿宋" w:cs="仿宋"/>
          <w:sz w:val="32"/>
          <w:szCs w:val="32"/>
        </w:rPr>
        <w:t>乡村义诊873人次。</w:t>
      </w:r>
    </w:p>
    <w:p w14:paraId="388806FF">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2、时效指标：按要求2023年完成，实际按时完成。</w:t>
      </w:r>
    </w:p>
    <w:p w14:paraId="776780E1">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3、成本指标</w:t>
      </w:r>
      <w:r>
        <w:rPr>
          <w:rFonts w:hint="eastAsia" w:ascii="仿宋" w:hAnsi="仿宋" w:eastAsia="仿宋" w:cs="仿宋"/>
          <w:sz w:val="32"/>
          <w:szCs w:val="32"/>
          <w:lang w:eastAsia="zh-CN"/>
        </w:rPr>
        <w:t>：</w:t>
      </w:r>
      <w:r>
        <w:rPr>
          <w:rFonts w:hint="eastAsia" w:ascii="仿宋" w:hAnsi="仿宋" w:eastAsia="仿宋" w:cs="仿宋"/>
          <w:sz w:val="32"/>
          <w:szCs w:val="32"/>
        </w:rPr>
        <w:t>完成乡村巡回义诊、人员培训、业务研讨工作，实际使用工作经费20万元。</w:t>
      </w:r>
    </w:p>
    <w:p w14:paraId="621A0198">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4、效益指标：持续、有效提升县人民医院诊疗水平，达到目标要求。</w:t>
      </w:r>
    </w:p>
    <w:p w14:paraId="6195EEF5">
      <w:pPr>
        <w:widowControl/>
        <w:adjustRightInd w:val="0"/>
        <w:snapToGrid w:val="0"/>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5、满意度指标：逐步提升患者满意度，力争达到95%，实际达到95.3%，达到目标要求。</w:t>
      </w:r>
    </w:p>
    <w:p w14:paraId="06757FBF">
      <w:pPr>
        <w:widowControl/>
        <w:adjustRightInd w:val="0"/>
        <w:snapToGrid w:val="0"/>
        <w:spacing w:line="560" w:lineRule="exact"/>
        <w:ind w:firstLine="640" w:firstLineChars="200"/>
        <w:jc w:val="left"/>
        <w:outlineLvl w:val="1"/>
        <w:rPr>
          <w:rFonts w:ascii="仿宋" w:hAnsi="仿宋" w:eastAsia="仿宋" w:cs="仿宋"/>
          <w:sz w:val="32"/>
          <w:szCs w:val="32"/>
        </w:rPr>
      </w:pPr>
      <w:bookmarkStart w:id="136" w:name="_Toc22401"/>
      <w:r>
        <w:rPr>
          <w:rFonts w:hint="eastAsia" w:ascii="仿宋" w:hAnsi="仿宋" w:eastAsia="仿宋" w:cs="仿宋"/>
          <w:sz w:val="32"/>
          <w:szCs w:val="32"/>
        </w:rPr>
        <w:t>四、其他需要说明的问题</w:t>
      </w:r>
      <w:bookmarkEnd w:id="136"/>
    </w:p>
    <w:p w14:paraId="28188BEF">
      <w:pPr>
        <w:ind w:left="0" w:leftChars="0" w:firstLine="640" w:firstLineChars="200"/>
        <w:rPr>
          <w:rFonts w:eastAsia="仿宋_GB2312"/>
          <w:sz w:val="32"/>
          <w:szCs w:val="32"/>
          <w:lang w:val="zh-CN"/>
        </w:rPr>
      </w:pPr>
      <w:r>
        <w:rPr>
          <w:rFonts w:hint="eastAsia" w:ascii="仿宋" w:hAnsi="仿宋" w:eastAsia="仿宋" w:cs="仿宋"/>
          <w:sz w:val="32"/>
          <w:szCs w:val="32"/>
        </w:rPr>
        <w:t>无。</w:t>
      </w:r>
    </w:p>
    <w:p w14:paraId="7BBE6508"/>
    <w:p w14:paraId="76E19720">
      <w:pPr>
        <w:pStyle w:val="2"/>
        <w:jc w:val="center"/>
        <w:rPr>
          <w:rFonts w:ascii="黑体" w:hAnsi="黑体" w:eastAsia="黑体"/>
        </w:rPr>
      </w:pPr>
      <w:bookmarkStart w:id="137" w:name="_Toc13214"/>
      <w:r>
        <w:rPr>
          <w:rFonts w:hint="eastAsia" w:ascii="黑体" w:hAnsi="黑体" w:eastAsia="黑体"/>
        </w:rPr>
        <w:t>第五部分 附表</w:t>
      </w:r>
      <w:bookmarkEnd w:id="137"/>
    </w:p>
    <w:p w14:paraId="646D8869">
      <w:pPr>
        <w:outlineLvl w:val="1"/>
        <w:rPr>
          <w:rFonts w:ascii="仿宋" w:hAnsi="仿宋" w:eastAsia="仿宋"/>
          <w:sz w:val="32"/>
          <w:szCs w:val="32"/>
        </w:rPr>
      </w:pPr>
      <w:bookmarkStart w:id="138" w:name="_Toc475"/>
      <w:r>
        <w:rPr>
          <w:rFonts w:hint="eastAsia" w:ascii="仿宋" w:hAnsi="仿宋" w:eastAsia="仿宋"/>
          <w:sz w:val="32"/>
          <w:szCs w:val="32"/>
        </w:rPr>
        <w:t>一、收入支出决算总表</w:t>
      </w:r>
      <w:bookmarkEnd w:id="138"/>
    </w:p>
    <w:p w14:paraId="495F61F0">
      <w:pPr>
        <w:outlineLvl w:val="1"/>
        <w:rPr>
          <w:rFonts w:ascii="仿宋" w:hAnsi="仿宋" w:eastAsia="仿宋"/>
          <w:sz w:val="32"/>
          <w:szCs w:val="32"/>
        </w:rPr>
      </w:pPr>
      <w:bookmarkStart w:id="139" w:name="_Toc26965"/>
      <w:r>
        <w:rPr>
          <w:rFonts w:hint="eastAsia" w:ascii="仿宋" w:hAnsi="仿宋" w:eastAsia="仿宋"/>
          <w:sz w:val="32"/>
          <w:szCs w:val="32"/>
        </w:rPr>
        <w:t>二、收入决算表</w:t>
      </w:r>
      <w:bookmarkEnd w:id="139"/>
    </w:p>
    <w:p w14:paraId="7E89FCB0">
      <w:pPr>
        <w:outlineLvl w:val="1"/>
        <w:rPr>
          <w:rFonts w:ascii="仿宋" w:hAnsi="仿宋" w:eastAsia="仿宋"/>
          <w:sz w:val="32"/>
          <w:szCs w:val="32"/>
        </w:rPr>
      </w:pPr>
      <w:bookmarkStart w:id="140" w:name="_Toc3722"/>
      <w:r>
        <w:rPr>
          <w:rFonts w:hint="eastAsia" w:ascii="仿宋" w:hAnsi="仿宋" w:eastAsia="仿宋"/>
          <w:sz w:val="32"/>
          <w:szCs w:val="32"/>
        </w:rPr>
        <w:t>三、支出决算表</w:t>
      </w:r>
      <w:bookmarkEnd w:id="140"/>
    </w:p>
    <w:p w14:paraId="126ADAFA">
      <w:pPr>
        <w:outlineLvl w:val="1"/>
        <w:rPr>
          <w:rFonts w:ascii="仿宋" w:hAnsi="仿宋" w:eastAsia="仿宋"/>
          <w:sz w:val="32"/>
          <w:szCs w:val="32"/>
        </w:rPr>
      </w:pPr>
      <w:bookmarkStart w:id="141" w:name="_Toc21871"/>
      <w:r>
        <w:rPr>
          <w:rFonts w:hint="eastAsia" w:ascii="仿宋" w:hAnsi="仿宋" w:eastAsia="仿宋"/>
          <w:sz w:val="32"/>
          <w:szCs w:val="32"/>
        </w:rPr>
        <w:t>四、财政拨款收入支出决算总表</w:t>
      </w:r>
      <w:bookmarkEnd w:id="141"/>
    </w:p>
    <w:p w14:paraId="22E8F674">
      <w:pPr>
        <w:outlineLvl w:val="1"/>
        <w:rPr>
          <w:rFonts w:ascii="仿宋" w:hAnsi="仿宋" w:eastAsia="仿宋"/>
          <w:sz w:val="32"/>
          <w:szCs w:val="32"/>
        </w:rPr>
      </w:pPr>
      <w:bookmarkStart w:id="142" w:name="_Toc16610"/>
      <w:r>
        <w:rPr>
          <w:rFonts w:hint="eastAsia" w:ascii="仿宋" w:hAnsi="仿宋" w:eastAsia="仿宋"/>
          <w:sz w:val="32"/>
          <w:szCs w:val="32"/>
        </w:rPr>
        <w:t>五、财政拨款支出决算明细表</w:t>
      </w:r>
      <w:bookmarkEnd w:id="142"/>
    </w:p>
    <w:p w14:paraId="1AC8948F">
      <w:pPr>
        <w:outlineLvl w:val="1"/>
        <w:rPr>
          <w:rFonts w:ascii="仿宋" w:hAnsi="仿宋" w:eastAsia="仿宋"/>
          <w:sz w:val="32"/>
          <w:szCs w:val="32"/>
        </w:rPr>
      </w:pPr>
      <w:bookmarkStart w:id="143" w:name="_Toc21269"/>
      <w:r>
        <w:rPr>
          <w:rFonts w:hint="eastAsia" w:ascii="仿宋" w:hAnsi="仿宋" w:eastAsia="仿宋"/>
          <w:sz w:val="32"/>
          <w:szCs w:val="32"/>
        </w:rPr>
        <w:t>六、一般公共预算财政拨款支出决算表</w:t>
      </w:r>
      <w:bookmarkEnd w:id="143"/>
    </w:p>
    <w:p w14:paraId="50C8725E">
      <w:pPr>
        <w:outlineLvl w:val="1"/>
        <w:rPr>
          <w:rFonts w:ascii="仿宋" w:hAnsi="仿宋" w:eastAsia="仿宋"/>
          <w:sz w:val="32"/>
          <w:szCs w:val="32"/>
        </w:rPr>
      </w:pPr>
      <w:bookmarkStart w:id="144" w:name="_Toc8193"/>
      <w:r>
        <w:rPr>
          <w:rFonts w:hint="eastAsia" w:ascii="仿宋" w:hAnsi="仿宋" w:eastAsia="仿宋"/>
          <w:sz w:val="32"/>
          <w:szCs w:val="32"/>
        </w:rPr>
        <w:t>七、一般公共预算财政拨款支出决算明细表</w:t>
      </w:r>
      <w:bookmarkEnd w:id="144"/>
    </w:p>
    <w:p w14:paraId="43D37FA6">
      <w:pPr>
        <w:outlineLvl w:val="1"/>
        <w:rPr>
          <w:rFonts w:ascii="仿宋" w:hAnsi="仿宋" w:eastAsia="仿宋"/>
          <w:sz w:val="32"/>
          <w:szCs w:val="32"/>
        </w:rPr>
      </w:pPr>
      <w:bookmarkStart w:id="145" w:name="_Toc27426"/>
      <w:r>
        <w:rPr>
          <w:rFonts w:hint="eastAsia" w:ascii="仿宋" w:hAnsi="仿宋" w:eastAsia="仿宋"/>
          <w:sz w:val="32"/>
          <w:szCs w:val="32"/>
        </w:rPr>
        <w:t>八、一般公共预算财政拨款基本支出决算表</w:t>
      </w:r>
      <w:bookmarkEnd w:id="145"/>
    </w:p>
    <w:p w14:paraId="6755E9D3">
      <w:pPr>
        <w:outlineLvl w:val="1"/>
        <w:rPr>
          <w:rFonts w:ascii="仿宋" w:hAnsi="仿宋" w:eastAsia="仿宋"/>
          <w:sz w:val="32"/>
          <w:szCs w:val="32"/>
        </w:rPr>
      </w:pPr>
      <w:bookmarkStart w:id="146" w:name="_Toc32455"/>
      <w:r>
        <w:rPr>
          <w:rFonts w:hint="eastAsia" w:ascii="仿宋" w:hAnsi="仿宋" w:eastAsia="仿宋"/>
          <w:sz w:val="32"/>
          <w:szCs w:val="32"/>
        </w:rPr>
        <w:t>九、一般公共预算财政拨款项目支出决算表</w:t>
      </w:r>
      <w:bookmarkEnd w:id="146"/>
    </w:p>
    <w:p w14:paraId="5D5F0351">
      <w:pPr>
        <w:outlineLvl w:val="1"/>
        <w:rPr>
          <w:rFonts w:ascii="仿宋" w:hAnsi="仿宋" w:eastAsia="仿宋"/>
          <w:sz w:val="32"/>
          <w:szCs w:val="32"/>
        </w:rPr>
      </w:pPr>
      <w:bookmarkStart w:id="147" w:name="_Toc1202"/>
      <w:r>
        <w:rPr>
          <w:rFonts w:hint="eastAsia" w:ascii="仿宋" w:hAnsi="仿宋" w:eastAsia="仿宋"/>
          <w:sz w:val="32"/>
          <w:szCs w:val="32"/>
        </w:rPr>
        <w:t>十、政府性基金预算财政拨款收入支出决算表</w:t>
      </w:r>
      <w:bookmarkEnd w:id="147"/>
    </w:p>
    <w:p w14:paraId="34A5B09B">
      <w:pPr>
        <w:outlineLvl w:val="1"/>
        <w:rPr>
          <w:rFonts w:ascii="仿宋" w:hAnsi="仿宋" w:eastAsia="仿宋"/>
          <w:sz w:val="32"/>
          <w:szCs w:val="32"/>
        </w:rPr>
      </w:pPr>
      <w:bookmarkStart w:id="148" w:name="_Toc4241"/>
      <w:r>
        <w:rPr>
          <w:rFonts w:hint="eastAsia" w:ascii="仿宋" w:hAnsi="仿宋" w:eastAsia="仿宋"/>
          <w:sz w:val="32"/>
          <w:szCs w:val="32"/>
        </w:rPr>
        <w:t>十一、国有资本经营预算财政拨款收入支出决算表</w:t>
      </w:r>
      <w:bookmarkEnd w:id="148"/>
    </w:p>
    <w:p w14:paraId="7DC83F80">
      <w:pPr>
        <w:outlineLvl w:val="1"/>
        <w:rPr>
          <w:rFonts w:ascii="仿宋" w:hAnsi="仿宋" w:eastAsia="仿宋"/>
          <w:sz w:val="32"/>
          <w:szCs w:val="32"/>
        </w:rPr>
      </w:pPr>
      <w:bookmarkStart w:id="149" w:name="_Toc13185"/>
      <w:r>
        <w:rPr>
          <w:rFonts w:hint="eastAsia" w:ascii="仿宋" w:hAnsi="仿宋" w:eastAsia="仿宋"/>
          <w:sz w:val="32"/>
          <w:szCs w:val="32"/>
        </w:rPr>
        <w:t>十二、国有资本经营预算财政拨款支出决算表</w:t>
      </w:r>
      <w:bookmarkEnd w:id="149"/>
    </w:p>
    <w:p w14:paraId="6DF47374">
      <w:pPr>
        <w:outlineLvl w:val="1"/>
        <w:rPr>
          <w:rFonts w:ascii="仿宋" w:hAnsi="仿宋" w:eastAsia="仿宋"/>
          <w:sz w:val="32"/>
          <w:szCs w:val="32"/>
        </w:rPr>
      </w:pPr>
      <w:bookmarkStart w:id="150" w:name="_Toc22716"/>
      <w:r>
        <w:rPr>
          <w:rFonts w:hint="eastAsia" w:ascii="仿宋" w:hAnsi="仿宋" w:eastAsia="仿宋"/>
          <w:sz w:val="32"/>
          <w:szCs w:val="32"/>
        </w:rPr>
        <w:t>十三、财政拨款“三公”经费支出决算表</w:t>
      </w:r>
      <w:bookmarkEnd w:id="150"/>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F2DAEF-41AB-42DE-AE13-AC76FC4B07C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810DCF5-A870-4968-93B5-61FB852BC9E5}"/>
  </w:font>
  <w:font w:name="仿宋">
    <w:panose1 w:val="02010609060101010101"/>
    <w:charset w:val="86"/>
    <w:family w:val="modern"/>
    <w:pitch w:val="default"/>
    <w:sig w:usb0="800002BF" w:usb1="38CF7CFA" w:usb2="00000016" w:usb3="00000000" w:csb0="00040001" w:csb1="00000000"/>
    <w:embedRegular r:id="rId3" w:fontKey="{824F1E26-564C-4534-8B3C-08047F2DDB68}"/>
  </w:font>
  <w:font w:name="Cambria">
    <w:panose1 w:val="02040503050406030204"/>
    <w:charset w:val="00"/>
    <w:family w:val="roman"/>
    <w:pitch w:val="default"/>
    <w:sig w:usb0="E00002FF" w:usb1="400004FF" w:usb2="00000000" w:usb3="00000000" w:csb0="2000019F" w:csb1="00000000"/>
    <w:embedRegular r:id="rId4" w:fontKey="{F3F8B39F-D692-4401-A92C-6DA990DB874B}"/>
  </w:font>
  <w:font w:name="仿宋_GB2312">
    <w:panose1 w:val="02010609030101010101"/>
    <w:charset w:val="86"/>
    <w:family w:val="modern"/>
    <w:pitch w:val="default"/>
    <w:sig w:usb0="00000001" w:usb1="080E0000" w:usb2="00000000" w:usb3="00000000" w:csb0="00040000" w:csb1="00000000"/>
    <w:embedRegular r:id="rId5" w:fontKey="{E6BD110B-B108-4413-B8FA-3B0EF2D976A5}"/>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6" w:fontKey="{D7415F4F-8D81-4416-B188-BC50C2CD89D5}"/>
  </w:font>
  <w:font w:name="楷体_GB2312">
    <w:panose1 w:val="02010609030101010101"/>
    <w:charset w:val="86"/>
    <w:family w:val="auto"/>
    <w:pitch w:val="default"/>
    <w:sig w:usb0="00000001" w:usb1="080E0000" w:usb2="00000000" w:usb3="00000000" w:csb0="00040000" w:csb1="00000000"/>
    <w:embedRegular r:id="rId7" w:fontKey="{8B227615-7B4B-4368-887C-627DCEA9D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417A9942">
        <w:pPr>
          <w:pStyle w:val="10"/>
          <w:jc w:val="center"/>
        </w:pPr>
        <w:r>
          <w:fldChar w:fldCharType="begin"/>
        </w:r>
        <w:r>
          <w:instrText xml:space="preserve">PAGE   \* MERGEFORMAT</w:instrText>
        </w:r>
        <w:r>
          <w:fldChar w:fldCharType="separate"/>
        </w:r>
        <w:r>
          <w:rPr>
            <w:lang w:val="zh-CN"/>
          </w:rPr>
          <w:t>23</w:t>
        </w:r>
        <w:r>
          <w:fldChar w:fldCharType="end"/>
        </w:r>
      </w:p>
    </w:sdtContent>
  </w:sdt>
  <w:p w14:paraId="7C76D9E8">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1358">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ADD75"/>
    <w:multiLevelType w:val="singleLevel"/>
    <w:tmpl w:val="921ADD75"/>
    <w:lvl w:ilvl="0" w:tentative="0">
      <w:start w:val="2"/>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B664B4D"/>
    <w:multiLevelType w:val="singleLevel"/>
    <w:tmpl w:val="EB664B4D"/>
    <w:lvl w:ilvl="0" w:tentative="0">
      <w:start w:val="2"/>
      <w:numFmt w:val="chineseCounting"/>
      <w:suff w:val="nothing"/>
      <w:lvlText w:val="（%1）"/>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4B74947"/>
    <w:multiLevelType w:val="singleLevel"/>
    <w:tmpl w:val="44B74947"/>
    <w:lvl w:ilvl="0" w:tentative="0">
      <w:start w:val="1"/>
      <w:numFmt w:val="chineseCounting"/>
      <w:suff w:val="nothing"/>
      <w:lvlText w:val="（%1）"/>
      <w:lvlJc w:val="left"/>
      <w:rPr>
        <w:rFonts w:hint="eastAsia"/>
      </w:rPr>
    </w:lvl>
  </w:abstractNum>
  <w:abstractNum w:abstractNumId="5">
    <w:nsid w:val="5507F0D4"/>
    <w:multiLevelType w:val="singleLevel"/>
    <w:tmpl w:val="5507F0D4"/>
    <w:lvl w:ilvl="0" w:tentative="0">
      <w:start w:val="1"/>
      <w:numFmt w:val="decimal"/>
      <w:suff w:val="nothing"/>
      <w:lvlText w:val="（%1）"/>
      <w:lvlJc w:val="left"/>
    </w:lvl>
  </w:abstractNum>
  <w:abstractNum w:abstractNumId="6">
    <w:nsid w:val="62E42BA3"/>
    <w:multiLevelType w:val="singleLevel"/>
    <w:tmpl w:val="62E42BA3"/>
    <w:lvl w:ilvl="0" w:tentative="0">
      <w:start w:val="2"/>
      <w:numFmt w:val="chineseCounting"/>
      <w:suff w:val="nothing"/>
      <w:lvlText w:val="（%1）"/>
      <w:lvlJc w:val="left"/>
      <w:rPr>
        <w:rFonts w:hint="eastAsia"/>
      </w:r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1MjFjMDUwODIwZDg4NDczZTI5ZmU1NTQ5YzljMTk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C0962"/>
    <w:rsid w:val="001C2738"/>
    <w:rsid w:val="001D7531"/>
    <w:rsid w:val="001E737D"/>
    <w:rsid w:val="001F0592"/>
    <w:rsid w:val="001F6419"/>
    <w:rsid w:val="001F7506"/>
    <w:rsid w:val="002006CD"/>
    <w:rsid w:val="00202B36"/>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A09FD"/>
    <w:rsid w:val="005B0198"/>
    <w:rsid w:val="005B321C"/>
    <w:rsid w:val="005B5C64"/>
    <w:rsid w:val="005C5337"/>
    <w:rsid w:val="005C6BD0"/>
    <w:rsid w:val="005D1C8B"/>
    <w:rsid w:val="005D468D"/>
    <w:rsid w:val="005D5CED"/>
    <w:rsid w:val="005F1A4C"/>
    <w:rsid w:val="00602C15"/>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B00"/>
    <w:rsid w:val="00A93C21"/>
    <w:rsid w:val="00AB64C9"/>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33E72"/>
    <w:rsid w:val="00C354B2"/>
    <w:rsid w:val="00C35554"/>
    <w:rsid w:val="00C42709"/>
    <w:rsid w:val="00C46119"/>
    <w:rsid w:val="00C533CC"/>
    <w:rsid w:val="00C5751C"/>
    <w:rsid w:val="00C61BFC"/>
    <w:rsid w:val="00C62B85"/>
    <w:rsid w:val="00C6543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410D"/>
    <w:rsid w:val="00DC5A81"/>
    <w:rsid w:val="00DC68CA"/>
    <w:rsid w:val="00DC7CBA"/>
    <w:rsid w:val="00DD73B7"/>
    <w:rsid w:val="00DF24DF"/>
    <w:rsid w:val="00DF28BC"/>
    <w:rsid w:val="00DF34B9"/>
    <w:rsid w:val="00E01053"/>
    <w:rsid w:val="00E01B70"/>
    <w:rsid w:val="00E07ACF"/>
    <w:rsid w:val="00E11813"/>
    <w:rsid w:val="00E331A1"/>
    <w:rsid w:val="00E33202"/>
    <w:rsid w:val="00E336A9"/>
    <w:rsid w:val="00E472B1"/>
    <w:rsid w:val="00E50624"/>
    <w:rsid w:val="00E568DF"/>
    <w:rsid w:val="00E64269"/>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F1E02"/>
    <w:rsid w:val="00FF30B4"/>
    <w:rsid w:val="015975B8"/>
    <w:rsid w:val="02FEBE30"/>
    <w:rsid w:val="030F6A18"/>
    <w:rsid w:val="036F8141"/>
    <w:rsid w:val="0390690C"/>
    <w:rsid w:val="0499619F"/>
    <w:rsid w:val="066E0107"/>
    <w:rsid w:val="07144599"/>
    <w:rsid w:val="07996F6E"/>
    <w:rsid w:val="07A66E16"/>
    <w:rsid w:val="07DFD8BA"/>
    <w:rsid w:val="0A2032A3"/>
    <w:rsid w:val="0B5650CE"/>
    <w:rsid w:val="0BCD4D32"/>
    <w:rsid w:val="0D35B1ED"/>
    <w:rsid w:val="0E7ED1F5"/>
    <w:rsid w:val="0F98263C"/>
    <w:rsid w:val="101860EC"/>
    <w:rsid w:val="10C055FF"/>
    <w:rsid w:val="118107EC"/>
    <w:rsid w:val="12A9010D"/>
    <w:rsid w:val="12E85DD0"/>
    <w:rsid w:val="13D50BC4"/>
    <w:rsid w:val="13F5616D"/>
    <w:rsid w:val="15802E15"/>
    <w:rsid w:val="15CA4029"/>
    <w:rsid w:val="16BB723D"/>
    <w:rsid w:val="17F9714D"/>
    <w:rsid w:val="1918F934"/>
    <w:rsid w:val="195350B4"/>
    <w:rsid w:val="1AAF1C61"/>
    <w:rsid w:val="1BE8440E"/>
    <w:rsid w:val="1C464DAE"/>
    <w:rsid w:val="1D155CEE"/>
    <w:rsid w:val="1D5A5A2B"/>
    <w:rsid w:val="1DFBC4B3"/>
    <w:rsid w:val="1E740ACF"/>
    <w:rsid w:val="1F19C781"/>
    <w:rsid w:val="1F33FCE5"/>
    <w:rsid w:val="1F742009"/>
    <w:rsid w:val="1F7F7398"/>
    <w:rsid w:val="1FD2DB6F"/>
    <w:rsid w:val="1FF35744"/>
    <w:rsid w:val="1FF6BC77"/>
    <w:rsid w:val="1FF9236D"/>
    <w:rsid w:val="207812B9"/>
    <w:rsid w:val="20833575"/>
    <w:rsid w:val="2333840E"/>
    <w:rsid w:val="235E3DED"/>
    <w:rsid w:val="23860B96"/>
    <w:rsid w:val="240371BF"/>
    <w:rsid w:val="257C638F"/>
    <w:rsid w:val="25DF3773"/>
    <w:rsid w:val="29FD04D3"/>
    <w:rsid w:val="2BFF7BC6"/>
    <w:rsid w:val="2C8A61B5"/>
    <w:rsid w:val="2CD59C95"/>
    <w:rsid w:val="2DF04E50"/>
    <w:rsid w:val="2EFD05E5"/>
    <w:rsid w:val="2F040D46"/>
    <w:rsid w:val="2F4F95CE"/>
    <w:rsid w:val="2FACAFDD"/>
    <w:rsid w:val="2FAE5751"/>
    <w:rsid w:val="2FB1A395"/>
    <w:rsid w:val="2FCF0B76"/>
    <w:rsid w:val="2FD9A7D8"/>
    <w:rsid w:val="31657D76"/>
    <w:rsid w:val="319F7F4E"/>
    <w:rsid w:val="3304709D"/>
    <w:rsid w:val="33D91C17"/>
    <w:rsid w:val="356D2202"/>
    <w:rsid w:val="36A36B6F"/>
    <w:rsid w:val="36AA5135"/>
    <w:rsid w:val="36BE0DA7"/>
    <w:rsid w:val="376B6AA6"/>
    <w:rsid w:val="376D39B2"/>
    <w:rsid w:val="37E16F03"/>
    <w:rsid w:val="37F53A3B"/>
    <w:rsid w:val="38D469F0"/>
    <w:rsid w:val="38F78389"/>
    <w:rsid w:val="39403E92"/>
    <w:rsid w:val="397BAF1F"/>
    <w:rsid w:val="39E7B272"/>
    <w:rsid w:val="39F57B6A"/>
    <w:rsid w:val="39F7642F"/>
    <w:rsid w:val="39FF7B37"/>
    <w:rsid w:val="3AB79AF3"/>
    <w:rsid w:val="3AFDCB77"/>
    <w:rsid w:val="3B7EF35A"/>
    <w:rsid w:val="3B922E21"/>
    <w:rsid w:val="3B9FDB6C"/>
    <w:rsid w:val="3BF5BC2F"/>
    <w:rsid w:val="3BF7C23A"/>
    <w:rsid w:val="3BFF223E"/>
    <w:rsid w:val="3C6EC0A1"/>
    <w:rsid w:val="3CDB0824"/>
    <w:rsid w:val="3CEBA265"/>
    <w:rsid w:val="3D6A7F9F"/>
    <w:rsid w:val="3D7E7F4D"/>
    <w:rsid w:val="3D98207C"/>
    <w:rsid w:val="3D9CF30A"/>
    <w:rsid w:val="3DFF5A3E"/>
    <w:rsid w:val="3E78745D"/>
    <w:rsid w:val="3EEE77E9"/>
    <w:rsid w:val="3F394AF5"/>
    <w:rsid w:val="3FBE5714"/>
    <w:rsid w:val="3FDD8615"/>
    <w:rsid w:val="3FDFB2FF"/>
    <w:rsid w:val="3FF4CAE0"/>
    <w:rsid w:val="3FF75FAF"/>
    <w:rsid w:val="3FF7B227"/>
    <w:rsid w:val="40F40090"/>
    <w:rsid w:val="44577E59"/>
    <w:rsid w:val="44D91F4F"/>
    <w:rsid w:val="44E268DA"/>
    <w:rsid w:val="457F4F6B"/>
    <w:rsid w:val="46364EEA"/>
    <w:rsid w:val="4737FB58"/>
    <w:rsid w:val="47ECCB02"/>
    <w:rsid w:val="47FA6A3F"/>
    <w:rsid w:val="49803AD6"/>
    <w:rsid w:val="49D7AE48"/>
    <w:rsid w:val="4A3F6C7E"/>
    <w:rsid w:val="4A627F82"/>
    <w:rsid w:val="4B0E749A"/>
    <w:rsid w:val="4B4F25DA"/>
    <w:rsid w:val="4BBB4781"/>
    <w:rsid w:val="4BD709A5"/>
    <w:rsid w:val="4BDD9BFF"/>
    <w:rsid w:val="4BE068DB"/>
    <w:rsid w:val="4C7A1911"/>
    <w:rsid w:val="4D577224"/>
    <w:rsid w:val="4DBF1CEB"/>
    <w:rsid w:val="4DBF6A6B"/>
    <w:rsid w:val="4DF6A672"/>
    <w:rsid w:val="4EAB630A"/>
    <w:rsid w:val="4ECE2238"/>
    <w:rsid w:val="4F7EA413"/>
    <w:rsid w:val="4F995C83"/>
    <w:rsid w:val="4FAB812F"/>
    <w:rsid w:val="4FE9BD67"/>
    <w:rsid w:val="4FEE4C07"/>
    <w:rsid w:val="4FFB052F"/>
    <w:rsid w:val="50336EC8"/>
    <w:rsid w:val="51157268"/>
    <w:rsid w:val="535F79EB"/>
    <w:rsid w:val="537E6D0A"/>
    <w:rsid w:val="53AB6B88"/>
    <w:rsid w:val="53F74C96"/>
    <w:rsid w:val="5583522D"/>
    <w:rsid w:val="57BD3DD4"/>
    <w:rsid w:val="57F9CD1E"/>
    <w:rsid w:val="58302F8F"/>
    <w:rsid w:val="5A697C1F"/>
    <w:rsid w:val="5AF92295"/>
    <w:rsid w:val="5AF9D8E9"/>
    <w:rsid w:val="5B490B80"/>
    <w:rsid w:val="5B5E0B95"/>
    <w:rsid w:val="5BDD38BD"/>
    <w:rsid w:val="5BDD79E6"/>
    <w:rsid w:val="5BEFC772"/>
    <w:rsid w:val="5BFF5DFC"/>
    <w:rsid w:val="5C2342FD"/>
    <w:rsid w:val="5C521D18"/>
    <w:rsid w:val="5C844FF8"/>
    <w:rsid w:val="5CD71FC4"/>
    <w:rsid w:val="5D1F11B5"/>
    <w:rsid w:val="5D3647F9"/>
    <w:rsid w:val="5DA644D4"/>
    <w:rsid w:val="5DAE1B18"/>
    <w:rsid w:val="5DE7D9E5"/>
    <w:rsid w:val="5E95535A"/>
    <w:rsid w:val="5ECEC941"/>
    <w:rsid w:val="5EFF8FC6"/>
    <w:rsid w:val="5F5BA39A"/>
    <w:rsid w:val="5F7D3B79"/>
    <w:rsid w:val="5F7F4610"/>
    <w:rsid w:val="5FBF9FF3"/>
    <w:rsid w:val="5FCD4E2C"/>
    <w:rsid w:val="5FEF394A"/>
    <w:rsid w:val="5FF67715"/>
    <w:rsid w:val="61CA71D5"/>
    <w:rsid w:val="627EE9EA"/>
    <w:rsid w:val="635B0AE5"/>
    <w:rsid w:val="63B23AA5"/>
    <w:rsid w:val="647F5392"/>
    <w:rsid w:val="64E322C4"/>
    <w:rsid w:val="64F71991"/>
    <w:rsid w:val="65FB93B9"/>
    <w:rsid w:val="6633C463"/>
    <w:rsid w:val="67D55B77"/>
    <w:rsid w:val="67EE7F84"/>
    <w:rsid w:val="686F5F53"/>
    <w:rsid w:val="6AFFCEAF"/>
    <w:rsid w:val="6B96E9E6"/>
    <w:rsid w:val="6BCE57B5"/>
    <w:rsid w:val="6BFEA4DB"/>
    <w:rsid w:val="6BFFB662"/>
    <w:rsid w:val="6C4A05C8"/>
    <w:rsid w:val="6CF7043C"/>
    <w:rsid w:val="6CFF4FB8"/>
    <w:rsid w:val="6D6BD6E0"/>
    <w:rsid w:val="6D77E73C"/>
    <w:rsid w:val="6DBF5E93"/>
    <w:rsid w:val="6DFF077E"/>
    <w:rsid w:val="6E7E3605"/>
    <w:rsid w:val="6E7FDCC7"/>
    <w:rsid w:val="6ED6A62E"/>
    <w:rsid w:val="6EE00B15"/>
    <w:rsid w:val="6EE737B2"/>
    <w:rsid w:val="6EEB2329"/>
    <w:rsid w:val="6EECE67A"/>
    <w:rsid w:val="6F62477E"/>
    <w:rsid w:val="6F6F90A8"/>
    <w:rsid w:val="6F6FB3EB"/>
    <w:rsid w:val="6F8731EA"/>
    <w:rsid w:val="6F9A3363"/>
    <w:rsid w:val="6FBC2ADD"/>
    <w:rsid w:val="6FD57C00"/>
    <w:rsid w:val="6FEFFFD8"/>
    <w:rsid w:val="6FF5CC65"/>
    <w:rsid w:val="6FFB47EC"/>
    <w:rsid w:val="6FFF034A"/>
    <w:rsid w:val="712A28F1"/>
    <w:rsid w:val="714D1ED9"/>
    <w:rsid w:val="715C0E4B"/>
    <w:rsid w:val="71FFD401"/>
    <w:rsid w:val="72233669"/>
    <w:rsid w:val="722B475E"/>
    <w:rsid w:val="72734D90"/>
    <w:rsid w:val="7332FE48"/>
    <w:rsid w:val="73AD73D5"/>
    <w:rsid w:val="73B6EB34"/>
    <w:rsid w:val="73F67372"/>
    <w:rsid w:val="73FA497D"/>
    <w:rsid w:val="744731E5"/>
    <w:rsid w:val="74BBD01D"/>
    <w:rsid w:val="74ED5379"/>
    <w:rsid w:val="757F0980"/>
    <w:rsid w:val="75DEEEC2"/>
    <w:rsid w:val="767F479D"/>
    <w:rsid w:val="76BE27BD"/>
    <w:rsid w:val="76E3355F"/>
    <w:rsid w:val="76F742AF"/>
    <w:rsid w:val="76F7BE7D"/>
    <w:rsid w:val="76FF5125"/>
    <w:rsid w:val="773570D3"/>
    <w:rsid w:val="77597F31"/>
    <w:rsid w:val="776F6FFA"/>
    <w:rsid w:val="7777A522"/>
    <w:rsid w:val="77858688"/>
    <w:rsid w:val="778769C8"/>
    <w:rsid w:val="77CB741A"/>
    <w:rsid w:val="77D7BE3A"/>
    <w:rsid w:val="77DC22F5"/>
    <w:rsid w:val="78FA619E"/>
    <w:rsid w:val="797E3A6C"/>
    <w:rsid w:val="79CF70E2"/>
    <w:rsid w:val="79D7FD79"/>
    <w:rsid w:val="79E75806"/>
    <w:rsid w:val="79EE5BA4"/>
    <w:rsid w:val="7A641148"/>
    <w:rsid w:val="7A6F8BF5"/>
    <w:rsid w:val="7A7B08FF"/>
    <w:rsid w:val="7A894339"/>
    <w:rsid w:val="7ACF82B5"/>
    <w:rsid w:val="7AFF28C9"/>
    <w:rsid w:val="7AFF72A0"/>
    <w:rsid w:val="7AFF7572"/>
    <w:rsid w:val="7B6C7DFB"/>
    <w:rsid w:val="7B7D76A7"/>
    <w:rsid w:val="7BAE2FE2"/>
    <w:rsid w:val="7BAF6951"/>
    <w:rsid w:val="7BBFBED0"/>
    <w:rsid w:val="7BC3E394"/>
    <w:rsid w:val="7BF3FE4C"/>
    <w:rsid w:val="7BFB5035"/>
    <w:rsid w:val="7BFDE17E"/>
    <w:rsid w:val="7CBFC87B"/>
    <w:rsid w:val="7CFE0F48"/>
    <w:rsid w:val="7D3DE31C"/>
    <w:rsid w:val="7D7EC23E"/>
    <w:rsid w:val="7D7F8A13"/>
    <w:rsid w:val="7DBBCB01"/>
    <w:rsid w:val="7DC765D0"/>
    <w:rsid w:val="7DD85CA0"/>
    <w:rsid w:val="7DDB0EE0"/>
    <w:rsid w:val="7DFF51D8"/>
    <w:rsid w:val="7E1436BF"/>
    <w:rsid w:val="7E634199"/>
    <w:rsid w:val="7E8ADEBF"/>
    <w:rsid w:val="7EEF11D3"/>
    <w:rsid w:val="7EF30990"/>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0" w:semiHidden="0"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Salutation"/>
    <w:basedOn w:val="1"/>
    <w:next w:val="1"/>
    <w:unhideWhenUsed/>
    <w:qFormat/>
    <w:uiPriority w:val="0"/>
    <w:rPr>
      <w:rFonts w:eastAsia="仿宋"/>
      <w:sz w:val="32"/>
    </w:r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2"/>
    <w:semiHidden/>
    <w:unhideWhenUsed/>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w:basedOn w:val="6"/>
    <w:unhideWhenUsed/>
    <w:qFormat/>
    <w:uiPriority w:val="99"/>
    <w:pPr>
      <w:spacing w:after="0"/>
      <w:ind w:firstLine="420" w:firstLineChars="100"/>
    </w:pPr>
    <w:rPr>
      <w:rFonts w:ascii="Calibri" w:hAnsi="Calibri" w:eastAsia="宋体"/>
      <w:sz w:val="36"/>
      <w:szCs w:val="36"/>
    </w:rPr>
  </w:style>
  <w:style w:type="paragraph" w:styleId="15">
    <w:name w:val="Body Text First Indent 2"/>
    <w:basedOn w:val="7"/>
    <w:unhideWhenUsed/>
    <w:qFormat/>
    <w:uiPriority w:val="99"/>
    <w:pPr>
      <w:ind w:firstLine="420" w:firstLine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paragraph" w:customStyle="1" w:styleId="20">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1">
    <w:name w:val="Header Char"/>
    <w:basedOn w:val="17"/>
    <w:semiHidden/>
    <w:qFormat/>
    <w:uiPriority w:val="99"/>
    <w:rPr>
      <w:rFonts w:ascii="Times New Roman" w:hAnsi="Times New Roman"/>
      <w:sz w:val="18"/>
      <w:szCs w:val="18"/>
    </w:rPr>
  </w:style>
  <w:style w:type="character" w:customStyle="1" w:styleId="22">
    <w:name w:val="页眉 字符"/>
    <w:link w:val="11"/>
    <w:semiHidden/>
    <w:qFormat/>
    <w:locked/>
    <w:uiPriority w:val="99"/>
    <w:rPr>
      <w:sz w:val="18"/>
    </w:rPr>
  </w:style>
  <w:style w:type="character" w:customStyle="1" w:styleId="23">
    <w:name w:val="Footer Char"/>
    <w:basedOn w:val="17"/>
    <w:semiHidden/>
    <w:qFormat/>
    <w:uiPriority w:val="99"/>
    <w:rPr>
      <w:rFonts w:ascii="Times New Roman" w:hAnsi="Times New Roman"/>
      <w:sz w:val="18"/>
      <w:szCs w:val="18"/>
    </w:rPr>
  </w:style>
  <w:style w:type="character" w:customStyle="1" w:styleId="24">
    <w:name w:val="页脚 字符"/>
    <w:link w:val="10"/>
    <w:qFormat/>
    <w:locked/>
    <w:uiPriority w:val="99"/>
    <w:rPr>
      <w:sz w:val="18"/>
    </w:rPr>
  </w:style>
  <w:style w:type="character" w:customStyle="1" w:styleId="25">
    <w:name w:val="Body Text Char"/>
    <w:basedOn w:val="17"/>
    <w:semiHidden/>
    <w:qFormat/>
    <w:uiPriority w:val="99"/>
    <w:rPr>
      <w:rFonts w:ascii="Times New Roman" w:hAnsi="Times New Roman"/>
      <w:szCs w:val="24"/>
    </w:rPr>
  </w:style>
  <w:style w:type="character" w:customStyle="1" w:styleId="26">
    <w:name w:val="正文文本 字符"/>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字符"/>
    <w:basedOn w:val="17"/>
    <w:link w:val="2"/>
    <w:qFormat/>
    <w:uiPriority w:val="9"/>
    <w:rPr>
      <w:rFonts w:ascii="Times New Roman" w:hAnsi="Times New Roman"/>
      <w:b/>
      <w:bCs/>
      <w:kern w:val="44"/>
      <w:sz w:val="44"/>
      <w:szCs w:val="44"/>
    </w:rPr>
  </w:style>
  <w:style w:type="character" w:customStyle="1" w:styleId="30">
    <w:name w:val="标题 2 字符"/>
    <w:basedOn w:val="17"/>
    <w:link w:val="3"/>
    <w:qFormat/>
    <w:uiPriority w:val="9"/>
    <w:rPr>
      <w:rFonts w:asciiTheme="majorHAnsi" w:hAnsiTheme="majorHAnsi" w:eastAsiaTheme="majorEastAsia" w:cstheme="majorBidi"/>
      <w:b/>
      <w:bCs/>
      <w:kern w:val="2"/>
      <w:sz w:val="32"/>
      <w:szCs w:val="32"/>
    </w:rPr>
  </w:style>
  <w:style w:type="paragraph" w:customStyle="1" w:styleId="3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字符"/>
    <w:basedOn w:val="17"/>
    <w:link w:val="9"/>
    <w:semiHidden/>
    <w:qFormat/>
    <w:uiPriority w:val="99"/>
    <w:rPr>
      <w:rFonts w:ascii="Times New Roman" w:hAnsi="Times New Roman"/>
      <w:kern w:val="2"/>
      <w:sz w:val="18"/>
      <w:szCs w:val="18"/>
    </w:rPr>
  </w:style>
  <w:style w:type="character" w:customStyle="1" w:styleId="33">
    <w:name w:val="标题 3 字符"/>
    <w:basedOn w:val="17"/>
    <w:link w:val="4"/>
    <w:qFormat/>
    <w:uiPriority w:val="9"/>
    <w:rPr>
      <w:rFonts w:ascii="Times New Roman" w:hAnsi="Times New Roman"/>
      <w:b/>
      <w:bCs/>
      <w:kern w:val="2"/>
      <w:sz w:val="32"/>
      <w:szCs w:val="32"/>
    </w:rPr>
  </w:style>
  <w:style w:type="paragraph" w:customStyle="1" w:styleId="34">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color w:val="000000"/>
      <w:kern w:val="0"/>
      <w:sz w:val="28"/>
      <w:szCs w:val="21"/>
      <w:lang w:val="zh-CN"/>
    </w:rPr>
  </w:style>
  <w:style w:type="paragraph" w:customStyle="1" w:styleId="36">
    <w:name w:val="WPSOffice手动目录 1"/>
    <w:qFormat/>
    <w:uiPriority w:val="0"/>
    <w:pPr>
      <w:ind w:leftChars="0"/>
    </w:pPr>
    <w:rPr>
      <w:rFonts w:asciiTheme="minorHAnsi" w:hAnsiTheme="minorHAnsi" w:eastAsiaTheme="minorEastAsia" w:cstheme="minorBidi"/>
      <w:sz w:val="20"/>
      <w:szCs w:val="20"/>
    </w:rPr>
  </w:style>
  <w:style w:type="paragraph" w:customStyle="1" w:styleId="3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78</Pages>
  <Words>23884</Words>
  <Characters>25515</Characters>
  <Lines>72</Lines>
  <Paragraphs>20</Paragraphs>
  <TotalTime>5</TotalTime>
  <ScaleCrop>false</ScaleCrop>
  <LinksUpToDate>false</LinksUpToDate>
  <CharactersWithSpaces>25714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碧云天</cp:lastModifiedBy>
  <cp:lastPrinted>2023-08-03T10:35:00Z</cp:lastPrinted>
  <dcterms:modified xsi:type="dcterms:W3CDTF">2024-10-18T04:09:21Z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2E1B002A13FA48B3B8BF8E141C810B8F_12</vt:lpwstr>
  </property>
</Properties>
</file>