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方正黑体_GBK"/>
          <w:sz w:val="33"/>
          <w:szCs w:val="33"/>
        </w:rPr>
      </w:pPr>
      <w:r>
        <w:rPr>
          <w:rFonts w:hint="eastAsia" w:ascii="方正黑体_GBK" w:hAnsi="方正黑体_GBK" w:eastAsia="方正黑体_GBK" w:cs="方正黑体_GBK"/>
          <w:sz w:val="33"/>
          <w:szCs w:val="33"/>
        </w:rPr>
        <w:t>附件6-2</w:t>
      </w:r>
    </w:p>
    <w:p>
      <w:pPr>
        <w:tabs>
          <w:tab w:val="left" w:pos="1440"/>
        </w:tabs>
        <w:spacing w:line="560" w:lineRule="exact"/>
        <w:rPr>
          <w:rFonts w:ascii="宋体" w:hAnsi="宋体" w:eastAsia="宋体"/>
          <w:sz w:val="30"/>
          <w:szCs w:val="30"/>
        </w:rPr>
      </w:pPr>
    </w:p>
    <w:p>
      <w:pPr>
        <w:pStyle w:val="5"/>
        <w:spacing w:line="600" w:lineRule="exact"/>
        <w:jc w:val="center"/>
        <w:rPr>
          <w:rFonts w:ascii="方正小标宋简体" w:hAnsi="宋体" w:eastAsia="方正小标宋简体"/>
          <w:sz w:val="44"/>
          <w:szCs w:val="44"/>
          <w:lang w:val="en-US"/>
        </w:rPr>
      </w:pPr>
      <w:r>
        <w:rPr>
          <w:rFonts w:hint="eastAsia" w:ascii="方正小标宋简体" w:hAnsi="宋体" w:eastAsia="方正小标宋简体"/>
          <w:sz w:val="44"/>
          <w:szCs w:val="44"/>
          <w:lang w:val="en-US"/>
        </w:rPr>
        <w:t>重大公共卫生项目</w:t>
      </w:r>
    </w:p>
    <w:p>
      <w:pPr>
        <w:pStyle w:val="5"/>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支出绩效自评报告</w:t>
      </w:r>
    </w:p>
    <w:p>
      <w:pPr>
        <w:pStyle w:val="5"/>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spacing w:line="58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根据四川省遏制结核病行动方案、乐山市卫生健康工作领导小组办公室2023年乐山市重大传染病和地方病综合防治重点工作任务的通知及财政对非免疫规划疫苗预防接种服务费的规范管理要求，本年预算资金261.15万元，用于疫苗预防接种服务费发放及结核病、艾滋病、麻风病等重大传染病防控工作开展，进一步提升对重大传染病防控工作的能力，保障人民群众的身体健康。</w:t>
      </w:r>
    </w:p>
    <w:p>
      <w:pPr>
        <w:numPr>
          <w:ilvl w:val="0"/>
          <w:numId w:val="1"/>
        </w:numPr>
        <w:adjustRightInd w:val="0"/>
        <w:snapToGrid w:val="0"/>
        <w:spacing w:line="560" w:lineRule="exact"/>
        <w:ind w:firstLine="720"/>
        <w:rPr>
          <w:rFonts w:hint="eastAsia" w:ascii="仿宋_GB2312" w:hAnsi="仿宋_GB2312" w:eastAsia="仿宋_GB2312" w:cs="仿宋_GB2312"/>
        </w:rPr>
      </w:pPr>
      <w:r>
        <w:rPr>
          <w:rFonts w:hint="eastAsia" w:ascii="仿宋_GB2312" w:hAnsi="仿宋_GB2312" w:eastAsia="仿宋_GB2312" w:cs="仿宋_GB2312"/>
          <w:b/>
          <w:lang w:val="zh-CN"/>
        </w:rPr>
        <w:t>项目资金申报及批复情况。</w:t>
      </w:r>
    </w:p>
    <w:p>
      <w:pPr>
        <w:adjustRightInd w:val="0"/>
        <w:snapToGrid w:val="0"/>
        <w:spacing w:line="600" w:lineRule="exact"/>
        <w:ind w:firstLine="720"/>
        <w:rPr>
          <w:rFonts w:hint="eastAsia" w:ascii="仿宋_GB2312" w:hAnsi="仿宋_GB2312" w:eastAsia="仿宋_GB2312" w:cs="仿宋_GB2312"/>
        </w:rPr>
      </w:pPr>
      <w:r>
        <w:rPr>
          <w:rFonts w:hint="eastAsia" w:ascii="仿宋_GB2312" w:hAnsi="仿宋_GB2312" w:eastAsia="仿宋_GB2312" w:cs="仿宋_GB2312"/>
        </w:rPr>
        <w:t>按照四川省遏制结核病行动方案、乐山市卫生健康工作领导小组办公室2023年乐山市重大传染病和地方病综合防治重点工作任务的通知及财政对疫苗预防接种服务费的规范管理要求，县财政下达公共卫生项目经费261.15万元，用于非免疫规划疫苗预防接种服务费发放及结核病、艾滋病、麻风病等重大传染病防控工作开展，从预算管理一体化中录入项目库，资金指标下达，到用款计划申请，录入支付，</w:t>
      </w:r>
      <w:r>
        <w:rPr>
          <w:rFonts w:hint="eastAsia" w:ascii="仿宋_GB2312" w:hAnsi="仿宋_GB2312" w:eastAsia="仿宋_GB2312" w:cs="仿宋_GB2312"/>
          <w:lang w:val="zh-CN"/>
        </w:rPr>
        <w:t>符合资金管理办法等相关规定。</w:t>
      </w:r>
    </w:p>
    <w:p>
      <w:pPr>
        <w:numPr>
          <w:ilvl w:val="0"/>
          <w:numId w:val="1"/>
        </w:numPr>
        <w:adjustRightInd w:val="0"/>
        <w:snapToGrid w:val="0"/>
        <w:spacing w:line="560" w:lineRule="exact"/>
        <w:ind w:firstLine="720"/>
        <w:rPr>
          <w:rFonts w:hint="eastAsia" w:ascii="仿宋_GB2312" w:hAnsi="仿宋_GB2312" w:eastAsia="仿宋_GB2312" w:cs="仿宋_GB2312"/>
          <w:lang w:val="zh-CN"/>
        </w:rPr>
      </w:pPr>
      <w:r>
        <w:rPr>
          <w:rFonts w:hint="eastAsia" w:ascii="仿宋_GB2312" w:hAnsi="仿宋_GB2312" w:eastAsia="仿宋_GB2312" w:cs="仿宋_GB2312"/>
          <w:b/>
          <w:lang w:val="zh-CN"/>
        </w:rPr>
        <w:t>项目绩效目标。</w:t>
      </w:r>
    </w:p>
    <w:p>
      <w:pPr>
        <w:spacing w:line="58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 xml:space="preserve">  项目主要内容：预防接种单位疫苗预防接种服务费的发放，结核病、艾滋病、麻风病等重大传染病培训、督导、随访、病人的管理等，结核病、艾滋病等重大传染病病人关心关爱，保障疾控中心重大传染病防控工作顺利开展，保障人民群众的身体健康。</w:t>
      </w:r>
    </w:p>
    <w:p>
      <w:pPr>
        <w:adjustRightInd w:val="0"/>
        <w:snapToGrid w:val="0"/>
        <w:spacing w:line="560" w:lineRule="exact"/>
        <w:ind w:firstLine="643" w:firstLineChars="200"/>
        <w:rPr>
          <w:rFonts w:hint="eastAsia" w:ascii="仿宋_GB2312" w:hAnsi="仿宋_GB2312" w:eastAsia="仿宋_GB2312" w:cs="仿宋_GB2312"/>
          <w:b/>
          <w:lang w:val="zh-CN"/>
        </w:rPr>
      </w:pPr>
      <w:r>
        <w:rPr>
          <w:rFonts w:hint="eastAsia" w:ascii="仿宋_GB2312" w:hAnsi="仿宋_GB2312" w:eastAsia="仿宋_GB2312" w:cs="仿宋_GB2312"/>
          <w:b/>
          <w:lang w:val="zh-CN"/>
        </w:rPr>
        <w:t>（三）项目资金申报相符性。</w:t>
      </w:r>
    </w:p>
    <w:p>
      <w:pPr>
        <w:adjustRightInd w:val="0"/>
        <w:snapToGrid w:val="0"/>
        <w:spacing w:line="560" w:lineRule="exact"/>
        <w:ind w:firstLine="720"/>
        <w:rPr>
          <w:rFonts w:hint="eastAsia" w:ascii="仿宋_GB2312" w:hAnsi="仿宋_GB2312" w:eastAsia="仿宋_GB2312" w:cs="仿宋_GB2312"/>
          <w:lang w:val="zh-CN"/>
        </w:rPr>
      </w:pPr>
      <w:r>
        <w:rPr>
          <w:rFonts w:hint="eastAsia" w:ascii="仿宋_GB2312" w:hAnsi="仿宋_GB2312" w:eastAsia="仿宋_GB2312" w:cs="仿宋_GB2312"/>
          <w:lang w:val="zh-CN"/>
        </w:rPr>
        <w:t>项目申报内容与具体实施内容相符、申报目标合理可行。</w:t>
      </w:r>
    </w:p>
    <w:p>
      <w:pPr>
        <w:adjustRightInd w:val="0"/>
        <w:snapToGrid w:val="0"/>
        <w:spacing w:line="560" w:lineRule="exact"/>
        <w:ind w:firstLine="720"/>
        <w:rPr>
          <w:rFonts w:hint="eastAsia" w:ascii="仿宋_GB2312" w:hAnsi="仿宋_GB2312" w:eastAsia="仿宋_GB2312" w:cs="仿宋_GB2312"/>
        </w:rPr>
      </w:pPr>
      <w:r>
        <w:rPr>
          <w:rFonts w:hint="eastAsia" w:ascii="仿宋_GB2312" w:hAnsi="仿宋_GB2312" w:eastAsia="仿宋_GB2312" w:cs="仿宋_GB2312"/>
        </w:rPr>
        <w:t>二、项目实施及管理情况</w:t>
      </w:r>
    </w:p>
    <w:p>
      <w:pPr>
        <w:adjustRightInd w:val="0"/>
        <w:snapToGrid w:val="0"/>
        <w:spacing w:line="56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lang w:val="zh-CN"/>
        </w:rPr>
        <w:tab/>
      </w:r>
      <w:r>
        <w:rPr>
          <w:rFonts w:hint="eastAsia" w:ascii="仿宋_GB2312" w:hAnsi="仿宋_GB2312" w:eastAsia="仿宋_GB2312" w:cs="仿宋_GB2312"/>
          <w:b/>
          <w:lang w:val="zh-CN"/>
        </w:rPr>
        <w:t>（一）资金计划、到位及使用情况。</w:t>
      </w:r>
    </w:p>
    <w:p>
      <w:pPr>
        <w:adjustRightInd w:val="0"/>
        <w:snapToGrid w:val="0"/>
        <w:spacing w:line="560" w:lineRule="exact"/>
        <w:ind w:firstLine="720"/>
        <w:rPr>
          <w:rFonts w:hint="eastAsia" w:ascii="仿宋_GB2312" w:hAnsi="仿宋_GB2312" w:eastAsia="仿宋_GB2312" w:cs="仿宋_GB2312"/>
          <w:lang w:val="zh-CN"/>
        </w:rPr>
      </w:pPr>
      <w:r>
        <w:rPr>
          <w:rFonts w:hint="eastAsia" w:ascii="仿宋_GB2312" w:hAnsi="仿宋_GB2312" w:eastAsia="仿宋_GB2312" w:cs="仿宋_GB2312"/>
          <w:lang w:val="zh-CN"/>
        </w:rPr>
        <w:t>1．资金计划及到位。</w:t>
      </w:r>
    </w:p>
    <w:p>
      <w:pPr>
        <w:spacing w:line="580" w:lineRule="exact"/>
        <w:ind w:firstLine="652" w:firstLineChars="200"/>
        <w:rPr>
          <w:rFonts w:hint="eastAsia" w:ascii="仿宋_GB2312" w:hAnsi="仿宋_GB2312" w:eastAsia="仿宋_GB2312" w:cs="仿宋_GB2312"/>
          <w:lang w:val="zh-CN"/>
        </w:rPr>
      </w:pPr>
      <w:r>
        <w:rPr>
          <w:rFonts w:hint="eastAsia" w:ascii="仿宋_GB2312" w:hAnsi="仿宋_GB2312" w:eastAsia="仿宋_GB2312" w:cs="仿宋_GB2312"/>
          <w:spacing w:val="3"/>
        </w:rPr>
        <w:t>截至2023年12月31日，</w:t>
      </w:r>
      <w:r>
        <w:rPr>
          <w:rFonts w:hint="eastAsia" w:ascii="仿宋_GB2312" w:hAnsi="仿宋_GB2312" w:eastAsia="仿宋_GB2312" w:cs="仿宋_GB2312"/>
        </w:rPr>
        <w:t>下达</w:t>
      </w:r>
      <w:r>
        <w:rPr>
          <w:rFonts w:hint="eastAsia" w:ascii="仿宋_GB2312" w:hAnsi="仿宋_GB2312" w:eastAsia="仿宋_GB2312" w:cs="仿宋_GB2312"/>
          <w:color w:val="000000"/>
        </w:rPr>
        <w:t>资金共计</w:t>
      </w:r>
      <w:r>
        <w:rPr>
          <w:rFonts w:hint="eastAsia" w:ascii="仿宋_GB2312" w:hAnsi="仿宋_GB2312" w:eastAsia="仿宋_GB2312" w:cs="仿宋_GB2312"/>
        </w:rPr>
        <w:t>261.15</w:t>
      </w:r>
      <w:r>
        <w:rPr>
          <w:rFonts w:hint="eastAsia" w:ascii="仿宋_GB2312" w:hAnsi="仿宋_GB2312" w:eastAsia="仿宋_GB2312" w:cs="仿宋_GB2312"/>
          <w:color w:val="000000"/>
        </w:rPr>
        <w:t>万元</w:t>
      </w:r>
      <w:r>
        <w:rPr>
          <w:rFonts w:hint="eastAsia" w:ascii="仿宋_GB2312" w:hAnsi="仿宋_GB2312" w:eastAsia="仿宋_GB2312" w:cs="仿宋_GB2312"/>
          <w:lang w:val="zh-CN"/>
        </w:rPr>
        <w:t>。</w:t>
      </w:r>
      <w:r>
        <w:rPr>
          <w:rFonts w:hint="eastAsia" w:ascii="仿宋_GB2312" w:hAnsi="仿宋_GB2312" w:eastAsia="仿宋_GB2312" w:cs="仿宋_GB2312"/>
          <w:spacing w:val="-5"/>
        </w:rPr>
        <w:t>项目资金</w:t>
      </w:r>
      <w:r>
        <w:rPr>
          <w:rFonts w:hint="eastAsia" w:ascii="仿宋_GB2312" w:hAnsi="仿宋_GB2312" w:eastAsia="仿宋_GB2312" w:cs="仿宋_GB2312"/>
          <w:spacing w:val="-8"/>
        </w:rPr>
        <w:t>实际到</w:t>
      </w:r>
      <w:r>
        <w:rPr>
          <w:rFonts w:hint="eastAsia" w:ascii="仿宋_GB2312" w:hAnsi="仿宋_GB2312" w:eastAsia="仿宋_GB2312" w:cs="仿宋_GB2312"/>
          <w:spacing w:val="-5"/>
        </w:rPr>
        <w:t>位</w:t>
      </w:r>
      <w:r>
        <w:rPr>
          <w:rFonts w:hint="eastAsia" w:ascii="仿宋_GB2312" w:hAnsi="仿宋_GB2312" w:eastAsia="仿宋_GB2312" w:cs="仿宋_GB2312"/>
        </w:rPr>
        <w:t>261.15</w:t>
      </w:r>
      <w:r>
        <w:rPr>
          <w:rFonts w:hint="eastAsia" w:ascii="仿宋_GB2312" w:hAnsi="仿宋_GB2312" w:eastAsia="仿宋_GB2312" w:cs="仿宋_GB2312"/>
          <w:spacing w:val="-4"/>
        </w:rPr>
        <w:t>万元，资金到位率为100%。</w:t>
      </w:r>
    </w:p>
    <w:p>
      <w:pPr>
        <w:spacing w:line="580" w:lineRule="exact"/>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2．资金使用。</w:t>
      </w:r>
      <w:r>
        <w:rPr>
          <w:rFonts w:hint="eastAsia" w:ascii="仿宋_GB2312" w:hAnsi="仿宋_GB2312" w:eastAsia="仿宋_GB2312" w:cs="仿宋_GB2312"/>
          <w:spacing w:val="-6"/>
        </w:rPr>
        <w:t>截至2023年12月31日</w:t>
      </w:r>
      <w:r>
        <w:rPr>
          <w:rFonts w:hint="eastAsia" w:ascii="仿宋_GB2312" w:hAnsi="仿宋_GB2312" w:eastAsia="仿宋_GB2312" w:cs="仿宋_GB2312"/>
        </w:rPr>
        <w:t>，</w:t>
      </w:r>
      <w:r>
        <w:rPr>
          <w:rFonts w:hint="eastAsia" w:ascii="仿宋_GB2312" w:hAnsi="仿宋_GB2312" w:eastAsia="仿宋_GB2312" w:cs="仿宋_GB2312"/>
          <w:spacing w:val="-6"/>
        </w:rPr>
        <w:t>实际支出</w:t>
      </w:r>
      <w:r>
        <w:rPr>
          <w:rFonts w:hint="eastAsia" w:ascii="仿宋_GB2312" w:hAnsi="仿宋_GB2312" w:eastAsia="仿宋_GB2312" w:cs="仿宋_GB2312"/>
        </w:rPr>
        <w:t>261.15</w:t>
      </w:r>
      <w:r>
        <w:rPr>
          <w:rFonts w:hint="eastAsia" w:ascii="仿宋_GB2312" w:hAnsi="仿宋_GB2312" w:eastAsia="仿宋_GB2312" w:cs="仿宋_GB2312"/>
          <w:spacing w:val="-5"/>
        </w:rPr>
        <w:t>万</w:t>
      </w:r>
      <w:r>
        <w:rPr>
          <w:rFonts w:hint="eastAsia" w:ascii="仿宋_GB2312" w:hAnsi="仿宋_GB2312" w:eastAsia="仿宋_GB2312" w:cs="仿宋_GB2312"/>
          <w:spacing w:val="-4"/>
        </w:rPr>
        <w:t>元，执行率为100%，主要用于</w:t>
      </w:r>
      <w:r>
        <w:rPr>
          <w:rFonts w:hint="eastAsia" w:ascii="仿宋_GB2312" w:hAnsi="仿宋_GB2312" w:eastAsia="仿宋_GB2312" w:cs="仿宋_GB2312"/>
        </w:rPr>
        <w:t>预防接种单位疫苗预防接种，开展结核病、艾滋病、麻风病、婚检、孕检等重大公共卫生项目的培训、督导、随访、追踪、病人的管理等工作</w:t>
      </w:r>
      <w:r>
        <w:rPr>
          <w:rFonts w:hint="eastAsia" w:ascii="仿宋_GB2312" w:hAnsi="仿宋_GB2312" w:eastAsia="仿宋_GB2312" w:cs="仿宋_GB2312"/>
          <w:spacing w:val="-4"/>
        </w:rPr>
        <w:t>。资金</w:t>
      </w:r>
      <w:r>
        <w:rPr>
          <w:rFonts w:hint="eastAsia" w:ascii="仿宋_GB2312" w:hAnsi="仿宋_GB2312" w:eastAsia="仿宋_GB2312" w:cs="仿宋_GB2312"/>
          <w:lang w:val="zh-CN"/>
        </w:rPr>
        <w:t>支付依据合规合法，资金支付与预算相符。</w:t>
      </w:r>
    </w:p>
    <w:p>
      <w:pPr>
        <w:adjustRightInd w:val="0"/>
        <w:snapToGrid w:val="0"/>
        <w:spacing w:line="56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（二）项目财务管理情况。</w:t>
      </w:r>
    </w:p>
    <w:p>
      <w:pPr>
        <w:spacing w:line="580" w:lineRule="exact"/>
        <w:ind w:firstLine="656" w:firstLineChars="200"/>
        <w:rPr>
          <w:rFonts w:hint="eastAsia" w:ascii="仿宋_GB2312" w:hAnsi="仿宋_GB2312" w:eastAsia="仿宋_GB2312" w:cs="仿宋_GB2312"/>
          <w:lang w:val="zh-CN"/>
        </w:rPr>
      </w:pPr>
      <w:r>
        <w:rPr>
          <w:rFonts w:hint="eastAsia" w:ascii="仿宋_GB2312" w:hAnsi="仿宋_GB2312" w:eastAsia="仿宋_GB2312" w:cs="仿宋_GB2312"/>
          <w:spacing w:val="4"/>
          <w:position w:val="2"/>
        </w:rPr>
        <w:t>本项目为县级一般公共预算资金，确保了项目资金专款专用；项目资金的使用、支付及时、会计核算规范；严格按照相关规定进行资金支付，杜绝挪用、截留现象的发生。</w:t>
      </w:r>
    </w:p>
    <w:p>
      <w:pPr>
        <w:adjustRightInd w:val="0"/>
        <w:snapToGrid w:val="0"/>
        <w:spacing w:line="560" w:lineRule="exact"/>
        <w:ind w:firstLine="643" w:firstLineChars="200"/>
        <w:rPr>
          <w:rFonts w:hint="eastAsia" w:ascii="仿宋_GB2312" w:hAnsi="仿宋_GB2312" w:eastAsia="仿宋_GB2312" w:cs="仿宋_GB2312"/>
          <w:b/>
          <w:lang w:val="zh-CN"/>
        </w:rPr>
      </w:pPr>
      <w:r>
        <w:rPr>
          <w:rFonts w:hint="eastAsia" w:ascii="仿宋_GB2312" w:hAnsi="仿宋_GB2312" w:eastAsia="仿宋_GB2312" w:cs="仿宋_GB2312"/>
          <w:b/>
          <w:lang w:val="zh-CN"/>
        </w:rPr>
        <w:t>（三）项目组织实施情况。</w:t>
      </w:r>
    </w:p>
    <w:p>
      <w:pPr>
        <w:spacing w:line="580" w:lineRule="exact"/>
        <w:ind w:firstLine="680" w:firstLineChars="200"/>
        <w:rPr>
          <w:rFonts w:hint="eastAsia" w:ascii="仿宋_GB2312" w:hAnsi="仿宋_GB2312" w:eastAsia="仿宋_GB2312" w:cs="仿宋_GB2312"/>
          <w:spacing w:val="5"/>
          <w:position w:val="2"/>
        </w:rPr>
      </w:pPr>
      <w:r>
        <w:rPr>
          <w:rFonts w:hint="eastAsia" w:ascii="仿宋_GB2312" w:hAnsi="仿宋_GB2312" w:eastAsia="仿宋_GB2312" w:cs="仿宋_GB2312"/>
          <w:spacing w:val="10"/>
          <w:position w:val="2"/>
        </w:rPr>
        <w:t>1</w:t>
      </w:r>
      <w:r>
        <w:rPr>
          <w:rFonts w:hint="eastAsia" w:ascii="仿宋_GB2312" w:hAnsi="仿宋_GB2312" w:eastAsia="仿宋_GB2312" w:cs="仿宋_GB2312"/>
          <w:spacing w:val="8"/>
          <w:position w:val="2"/>
        </w:rPr>
        <w:t>.</w:t>
      </w:r>
      <w:r>
        <w:rPr>
          <w:rFonts w:hint="eastAsia" w:ascii="仿宋_GB2312" w:hAnsi="仿宋_GB2312" w:eastAsia="仿宋_GB2312" w:cs="仿宋_GB2312"/>
          <w:spacing w:val="5"/>
          <w:position w:val="2"/>
        </w:rPr>
        <w:t>项目实施流程。</w:t>
      </w:r>
    </w:p>
    <w:p>
      <w:pPr>
        <w:spacing w:line="580" w:lineRule="exact"/>
        <w:ind w:firstLine="640" w:firstLineChars="200"/>
        <w:rPr>
          <w:rFonts w:hint="eastAsia" w:ascii="仿宋_GB2312" w:hAnsi="仿宋_GB2312" w:eastAsia="仿宋_GB2312" w:cs="仿宋_GB2312"/>
          <w:spacing w:val="5"/>
          <w:position w:val="2"/>
        </w:rPr>
      </w:pPr>
      <w:r>
        <w:rPr>
          <w:rFonts w:hint="eastAsia" w:ascii="仿宋_GB2312" w:hAnsi="仿宋_GB2312" w:eastAsia="仿宋_GB2312" w:cs="仿宋_GB2312"/>
        </w:rPr>
        <w:t>为了项目的顺利实施，按照省、市、县下达的结核病、艾滋病等重大公共卫生服务要求制定了相关项目实施方案，相关单位按照制定的实施方案开展各项工作。</w:t>
      </w:r>
      <w:r>
        <w:rPr>
          <w:rFonts w:hint="eastAsia" w:ascii="仿宋_GB2312" w:hAnsi="仿宋_GB2312" w:eastAsia="仿宋_GB2312" w:cs="仿宋_GB2312"/>
          <w:spacing w:val="5"/>
          <w:position w:val="2"/>
        </w:rPr>
        <w:t>确保完成项目的既定目标。</w:t>
      </w:r>
    </w:p>
    <w:p>
      <w:pPr>
        <w:spacing w:line="580" w:lineRule="exact"/>
        <w:ind w:firstLine="680" w:firstLineChars="200"/>
        <w:rPr>
          <w:rFonts w:hint="eastAsia" w:ascii="仿宋_GB2312" w:hAnsi="仿宋_GB2312" w:eastAsia="仿宋_GB2312" w:cs="仿宋_GB2312"/>
          <w:spacing w:val="10"/>
          <w:position w:val="2"/>
        </w:rPr>
      </w:pPr>
      <w:r>
        <w:rPr>
          <w:rFonts w:hint="eastAsia" w:ascii="仿宋_GB2312" w:hAnsi="仿宋_GB2312" w:eastAsia="仿宋_GB2312" w:cs="仿宋_GB2312"/>
          <w:spacing w:val="10"/>
          <w:position w:val="2"/>
        </w:rPr>
        <w:t>2.项目资金监管和绩效管理开展情况。</w:t>
      </w:r>
    </w:p>
    <w:p>
      <w:pPr>
        <w:spacing w:line="580" w:lineRule="exact"/>
        <w:ind w:firstLine="680" w:firstLineChars="200"/>
        <w:rPr>
          <w:rFonts w:hint="eastAsia" w:ascii="仿宋_GB2312" w:hAnsi="仿宋_GB2312" w:eastAsia="仿宋_GB2312" w:cs="仿宋_GB2312"/>
          <w:spacing w:val="4"/>
          <w:position w:val="2"/>
        </w:rPr>
      </w:pPr>
      <w:r>
        <w:rPr>
          <w:rFonts w:hint="eastAsia" w:ascii="仿宋_GB2312" w:hAnsi="仿宋_GB2312" w:eastAsia="仿宋_GB2312" w:cs="仿宋_GB2312"/>
          <w:spacing w:val="10"/>
          <w:position w:val="2"/>
        </w:rPr>
        <w:t>本项目为</w:t>
      </w:r>
      <w:r>
        <w:rPr>
          <w:rFonts w:hint="eastAsia" w:ascii="仿宋_GB2312" w:hAnsi="仿宋_GB2312" w:eastAsia="仿宋_GB2312" w:cs="仿宋_GB2312"/>
          <w:spacing w:val="4"/>
          <w:position w:val="2"/>
        </w:rPr>
        <w:t>县级一般公共预算资金</w:t>
      </w:r>
      <w:r>
        <w:rPr>
          <w:rFonts w:hint="eastAsia" w:ascii="仿宋_GB2312" w:hAnsi="仿宋_GB2312" w:eastAsia="仿宋_GB2312" w:cs="仿宋_GB2312"/>
          <w:spacing w:val="10"/>
          <w:position w:val="2"/>
        </w:rPr>
        <w:t>，确保了项目资金专款专用；项目资金的使用、支付严格执行相关管理制度；严格按照相关规定进行资</w:t>
      </w:r>
      <w:r>
        <w:rPr>
          <w:rFonts w:hint="eastAsia" w:ascii="仿宋_GB2312" w:hAnsi="仿宋_GB2312" w:eastAsia="仿宋_GB2312" w:cs="仿宋_GB2312"/>
          <w:spacing w:val="4"/>
          <w:position w:val="2"/>
        </w:rPr>
        <w:t>金支付，杜绝挪用、截留现象的发生。</w:t>
      </w:r>
    </w:p>
    <w:p>
      <w:pPr>
        <w:adjustRightInd w:val="0"/>
        <w:snapToGrid w:val="0"/>
        <w:spacing w:line="560" w:lineRule="exact"/>
        <w:ind w:firstLine="720"/>
        <w:rPr>
          <w:rFonts w:hint="eastAsia" w:ascii="仿宋_GB2312" w:hAnsi="仿宋_GB2312" w:eastAsia="仿宋_GB2312" w:cs="仿宋_GB2312"/>
          <w:lang w:val="zh-CN"/>
        </w:rPr>
      </w:pPr>
      <w:r>
        <w:rPr>
          <w:rFonts w:hint="eastAsia" w:ascii="仿宋_GB2312" w:hAnsi="仿宋_GB2312" w:eastAsia="仿宋_GB2312" w:cs="仿宋_GB2312"/>
        </w:rPr>
        <w:t>三、项目绩效情况</w:t>
      </w:r>
      <w:r>
        <w:rPr>
          <w:rFonts w:hint="eastAsia" w:ascii="仿宋_GB2312" w:hAnsi="仿宋_GB2312" w:eastAsia="仿宋_GB2312" w:cs="仿宋_GB2312"/>
          <w:lang w:val="zh-CN"/>
        </w:rPr>
        <w:tab/>
      </w:r>
    </w:p>
    <w:p>
      <w:pPr>
        <w:adjustRightInd w:val="0"/>
        <w:snapToGrid w:val="0"/>
        <w:spacing w:line="56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（一）项目完成情况。</w:t>
      </w:r>
    </w:p>
    <w:p>
      <w:pPr>
        <w:adjustRightInd w:val="0"/>
        <w:snapToGrid w:val="0"/>
        <w:spacing w:line="600" w:lineRule="exact"/>
        <w:ind w:firstLine="720"/>
        <w:rPr>
          <w:rFonts w:hint="eastAsia" w:ascii="仿宋_GB2312" w:hAnsi="仿宋_GB2312" w:eastAsia="仿宋_GB2312" w:cs="仿宋_GB2312"/>
          <w:szCs w:val="24"/>
        </w:rPr>
      </w:pPr>
      <w:r>
        <w:rPr>
          <w:rFonts w:hint="eastAsia" w:ascii="仿宋_GB2312" w:hAnsi="仿宋_GB2312" w:eastAsia="仿宋_GB2312" w:cs="仿宋_GB2312"/>
          <w:szCs w:val="24"/>
        </w:rPr>
        <w:t>（1）完成数量：全县非免疫规划疫苗全年累计接种16849剂次；存活艾滋病感染者和病人303例，抗体筛查58230人次，抗病毒治疗299人，治疗覆盖率98.68%,CD4细胞检测294人，检测覆盖率97.03%，病毒载量检测274人，检测覆盖率96.82%；</w:t>
      </w:r>
      <w:r>
        <w:rPr>
          <w:rFonts w:hint="eastAsia" w:ascii="仿宋_GB2312" w:hAnsi="仿宋_GB2312" w:eastAsia="仿宋_GB2312" w:cs="仿宋_GB2312"/>
        </w:rPr>
        <w:t>治疗管理肺结核病人148人，需追踪疑似肺结核病例188例，追踪到位160例，追踪到位率97.67%；麻风疑似病例调查304人。</w:t>
      </w:r>
    </w:p>
    <w:p>
      <w:pPr>
        <w:pStyle w:val="2"/>
        <w:ind w:firstLine="640"/>
        <w:rPr>
          <w:rFonts w:hint="eastAsia" w:ascii="仿宋_GB2312" w:hAnsi="仿宋_GB2312" w:eastAsia="仿宋_GB2312" w:cs="仿宋_GB2312"/>
          <w:szCs w:val="24"/>
        </w:rPr>
      </w:pPr>
      <w:r>
        <w:rPr>
          <w:rFonts w:hint="eastAsia" w:ascii="仿宋_GB2312" w:hAnsi="仿宋_GB2312" w:eastAsia="仿宋_GB2312" w:cs="仿宋_GB2312"/>
          <w:szCs w:val="24"/>
        </w:rPr>
        <w:t>（2）完成质量：</w:t>
      </w:r>
      <w:r>
        <w:rPr>
          <w:rFonts w:hint="eastAsia" w:ascii="仿宋_GB2312" w:hAnsi="仿宋_GB2312" w:eastAsia="仿宋_GB2312" w:cs="仿宋_GB2312"/>
        </w:rPr>
        <w:t>艾滋病感染者及病人</w:t>
      </w:r>
      <w:r>
        <w:rPr>
          <w:rFonts w:hint="eastAsia" w:ascii="仿宋_GB2312" w:hAnsi="仿宋_GB2312" w:eastAsia="仿宋_GB2312" w:cs="仿宋_GB2312"/>
          <w:lang w:val="zh-CN"/>
        </w:rPr>
        <w:t>生存生活质量得到了一定提高</w:t>
      </w:r>
      <w:r>
        <w:rPr>
          <w:rFonts w:hint="eastAsia" w:ascii="仿宋_GB2312" w:hAnsi="仿宋_GB2312" w:eastAsia="仿宋_GB2312" w:cs="仿宋_GB2312"/>
          <w:szCs w:val="24"/>
        </w:rPr>
        <w:t>；</w:t>
      </w:r>
    </w:p>
    <w:p>
      <w:pPr>
        <w:pStyle w:val="2"/>
        <w:ind w:firstLine="640"/>
        <w:rPr>
          <w:rFonts w:hint="eastAsia" w:ascii="仿宋_GB2312" w:hAnsi="仿宋_GB2312" w:eastAsia="仿宋_GB2312" w:cs="仿宋_GB2312"/>
          <w:szCs w:val="24"/>
        </w:rPr>
      </w:pPr>
      <w:r>
        <w:rPr>
          <w:rFonts w:hint="eastAsia" w:ascii="仿宋_GB2312" w:hAnsi="仿宋_GB2312" w:eastAsia="仿宋_GB2312" w:cs="仿宋_GB2312"/>
          <w:szCs w:val="24"/>
        </w:rPr>
        <w:t>（3）完成时效：在计划的2023年12月全部完成；</w:t>
      </w:r>
    </w:p>
    <w:p>
      <w:pPr>
        <w:spacing w:line="580" w:lineRule="exact"/>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szCs w:val="24"/>
        </w:rPr>
        <w:t>（4）完成成本：项目资金</w:t>
      </w:r>
      <w:r>
        <w:rPr>
          <w:rFonts w:hint="eastAsia" w:ascii="仿宋_GB2312" w:hAnsi="仿宋_GB2312" w:eastAsia="仿宋_GB2312" w:cs="仿宋_GB2312"/>
        </w:rPr>
        <w:t>261.15</w:t>
      </w:r>
      <w:r>
        <w:rPr>
          <w:rFonts w:hint="eastAsia" w:ascii="仿宋_GB2312" w:hAnsi="仿宋_GB2312" w:eastAsia="仿宋_GB2312" w:cs="仿宋_GB2312"/>
          <w:szCs w:val="24"/>
        </w:rPr>
        <w:t>万元，全部用于本项目。</w:t>
      </w:r>
    </w:p>
    <w:p>
      <w:pPr>
        <w:numPr>
          <w:ilvl w:val="0"/>
          <w:numId w:val="2"/>
        </w:numPr>
        <w:adjustRightInd w:val="0"/>
        <w:snapToGrid w:val="0"/>
        <w:spacing w:line="560" w:lineRule="exact"/>
        <w:ind w:firstLine="720"/>
        <w:rPr>
          <w:rFonts w:hint="eastAsia" w:ascii="仿宋_GB2312" w:hAnsi="仿宋_GB2312" w:eastAsia="仿宋_GB2312" w:cs="仿宋_GB2312"/>
          <w:lang w:val="zh-CN"/>
        </w:rPr>
      </w:pPr>
      <w:r>
        <w:rPr>
          <w:rFonts w:hint="eastAsia" w:ascii="仿宋_GB2312" w:hAnsi="仿宋_GB2312" w:eastAsia="仿宋_GB2312" w:cs="仿宋_GB2312"/>
          <w:b/>
          <w:lang w:val="zh-CN"/>
        </w:rPr>
        <w:t>项目效益情况。</w:t>
      </w:r>
    </w:p>
    <w:p>
      <w:pPr>
        <w:pStyle w:val="2"/>
        <w:numPr>
          <w:ilvl w:val="0"/>
          <w:numId w:val="3"/>
        </w:numPr>
        <w:ind w:firstLine="640"/>
        <w:rPr>
          <w:rFonts w:hint="eastAsia" w:ascii="仿宋_GB2312" w:hAnsi="仿宋_GB2312" w:eastAsia="仿宋_GB2312" w:cs="仿宋_GB2312"/>
          <w:lang w:val="zh-CN"/>
        </w:rPr>
      </w:pPr>
      <w:r>
        <w:rPr>
          <w:rFonts w:hint="eastAsia" w:ascii="仿宋_GB2312" w:hAnsi="仿宋_GB2312" w:eastAsia="仿宋_GB2312" w:cs="仿宋_GB2312"/>
          <w:szCs w:val="24"/>
        </w:rPr>
        <w:t>社会效益：</w:t>
      </w:r>
      <w:r>
        <w:rPr>
          <w:rFonts w:hint="eastAsia" w:ascii="仿宋_GB2312" w:hAnsi="仿宋_GB2312" w:eastAsia="仿宋_GB2312" w:cs="仿宋_GB2312"/>
        </w:rPr>
        <w:t>重大公共卫生项目实施保障了群众身体健康</w:t>
      </w:r>
      <w:r>
        <w:rPr>
          <w:rFonts w:hint="eastAsia" w:ascii="仿宋_GB2312" w:hAnsi="仿宋_GB2312" w:eastAsia="仿宋_GB2312" w:cs="仿宋_GB2312"/>
          <w:lang w:val="zh-CN"/>
        </w:rPr>
        <w:t>；</w:t>
      </w:r>
    </w:p>
    <w:p>
      <w:pPr>
        <w:adjustRightInd w:val="0"/>
        <w:snapToGrid w:val="0"/>
        <w:spacing w:line="600" w:lineRule="exact"/>
        <w:ind w:firstLine="720"/>
        <w:rPr>
          <w:rFonts w:hint="eastAsia" w:ascii="仿宋_GB2312" w:hAnsi="仿宋_GB2312" w:eastAsia="仿宋_GB2312" w:cs="仿宋_GB2312"/>
          <w:lang w:val="zh-CN"/>
        </w:rPr>
      </w:pPr>
      <w:r>
        <w:rPr>
          <w:rFonts w:hint="eastAsia" w:ascii="仿宋_GB2312" w:hAnsi="仿宋_GB2312" w:eastAsia="仿宋_GB2312" w:cs="仿宋_GB2312"/>
          <w:szCs w:val="24"/>
        </w:rPr>
        <w:t>（2）</w:t>
      </w:r>
      <w:r>
        <w:rPr>
          <w:rFonts w:hint="eastAsia" w:ascii="仿宋_GB2312" w:hAnsi="仿宋_GB2312" w:eastAsia="仿宋_GB2312" w:cs="仿宋_GB2312"/>
          <w:lang w:val="zh-CN"/>
        </w:rPr>
        <w:t>可持续影响：艾滋病人纳入管理人数增加，抗病毒治疗覆盖率提高，人均寿命延长；</w:t>
      </w:r>
    </w:p>
    <w:p>
      <w:pPr>
        <w:pStyle w:val="2"/>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szCs w:val="24"/>
        </w:rPr>
        <w:t>（3）服务对象满意度：</w:t>
      </w:r>
      <w:r>
        <w:rPr>
          <w:rFonts w:hint="eastAsia" w:ascii="仿宋_GB2312" w:hAnsi="仿宋_GB2312" w:eastAsia="仿宋_GB2312" w:cs="仿宋_GB2312"/>
        </w:rPr>
        <w:t>群众</w:t>
      </w:r>
      <w:r>
        <w:rPr>
          <w:rFonts w:hint="eastAsia" w:ascii="仿宋_GB2312" w:hAnsi="仿宋_GB2312" w:eastAsia="仿宋_GB2312" w:cs="仿宋_GB2312"/>
          <w:lang w:val="zh-CN"/>
        </w:rPr>
        <w:t>满意度提高</w:t>
      </w:r>
      <w:r>
        <w:rPr>
          <w:rFonts w:hint="eastAsia" w:ascii="仿宋_GB2312" w:hAnsi="仿宋_GB2312" w:eastAsia="仿宋_GB2312" w:cs="仿宋_GB2312"/>
          <w:szCs w:val="24"/>
        </w:rPr>
        <w:t>。</w:t>
      </w:r>
    </w:p>
    <w:p>
      <w:pPr>
        <w:adjustRightInd w:val="0"/>
        <w:snapToGrid w:val="0"/>
        <w:spacing w:line="560" w:lineRule="exact"/>
        <w:ind w:firstLine="720"/>
        <w:rPr>
          <w:rFonts w:hint="eastAsia" w:ascii="仿宋_GB2312" w:hAnsi="仿宋_GB2312" w:eastAsia="仿宋_GB2312" w:cs="仿宋_GB2312"/>
        </w:rPr>
      </w:pPr>
      <w:r>
        <w:rPr>
          <w:rFonts w:hint="eastAsia" w:ascii="仿宋_GB2312" w:hAnsi="仿宋_GB2312" w:eastAsia="仿宋_GB2312" w:cs="仿宋_GB2312"/>
        </w:rPr>
        <w:t>四、问题及建议</w:t>
      </w:r>
    </w:p>
    <w:p>
      <w:pPr>
        <w:adjustRightInd w:val="0"/>
        <w:snapToGrid w:val="0"/>
        <w:spacing w:line="56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（一）存在的问题。</w:t>
      </w:r>
    </w:p>
    <w:p>
      <w:pPr>
        <w:adjustRightInd w:val="0"/>
        <w:snapToGrid w:val="0"/>
        <w:spacing w:line="600" w:lineRule="exact"/>
        <w:ind w:firstLine="1040" w:firstLineChars="325"/>
        <w:rPr>
          <w:rFonts w:hint="eastAsia" w:ascii="仿宋_GB2312" w:hAnsi="仿宋_GB2312" w:eastAsia="仿宋_GB2312" w:cs="仿宋_GB2312"/>
        </w:rPr>
      </w:pPr>
      <w:r>
        <w:rPr>
          <w:rFonts w:hint="eastAsia" w:ascii="仿宋_GB2312" w:hAnsi="仿宋_GB2312" w:eastAsia="仿宋_GB2312" w:cs="仿宋_GB2312"/>
        </w:rPr>
        <w:t>无。</w:t>
      </w:r>
    </w:p>
    <w:p>
      <w:pPr>
        <w:numPr>
          <w:ilvl w:val="0"/>
          <w:numId w:val="4"/>
        </w:numPr>
        <w:adjustRightInd w:val="0"/>
        <w:snapToGrid w:val="0"/>
        <w:spacing w:line="560" w:lineRule="exact"/>
        <w:ind w:firstLine="720"/>
        <w:rPr>
          <w:rFonts w:hint="eastAsia" w:ascii="仿宋_GB2312" w:hAnsi="仿宋_GB2312" w:eastAsia="仿宋_GB2312" w:cs="仿宋_GB2312"/>
          <w:b/>
          <w:lang w:val="zh-CN"/>
        </w:rPr>
      </w:pPr>
      <w:r>
        <w:rPr>
          <w:rFonts w:hint="eastAsia" w:ascii="仿宋_GB2312" w:hAnsi="仿宋_GB2312" w:eastAsia="仿宋_GB2312" w:cs="仿宋_GB2312"/>
          <w:b/>
          <w:lang w:val="zh-CN"/>
        </w:rPr>
        <w:t>相关建议。</w:t>
      </w:r>
    </w:p>
    <w:p>
      <w:pPr>
        <w:adjustRightInd w:val="0"/>
        <w:snapToGrid w:val="0"/>
        <w:spacing w:line="600" w:lineRule="exact"/>
        <w:ind w:firstLine="1040" w:firstLineChars="325"/>
        <w:rPr>
          <w:rFonts w:hint="eastAsia" w:ascii="仿宋_GB2312" w:hAnsi="仿宋_GB2312" w:eastAsia="仿宋_GB2312" w:cs="仿宋_GB2312"/>
        </w:rPr>
      </w:pPr>
      <w:r>
        <w:rPr>
          <w:rFonts w:hint="eastAsia" w:ascii="仿宋_GB2312" w:hAnsi="仿宋_GB2312" w:eastAsia="仿宋_GB2312" w:cs="仿宋_GB2312"/>
        </w:rPr>
        <w:t>无。</w:t>
      </w:r>
    </w:p>
    <w:p>
      <w:pPr>
        <w:adjustRightInd w:val="0"/>
        <w:snapToGrid w:val="0"/>
        <w:spacing w:line="560" w:lineRule="exact"/>
        <w:ind w:firstLine="720"/>
      </w:pPr>
    </w:p>
    <w:p>
      <w:pPr>
        <w:pStyle w:val="2"/>
      </w:pPr>
    </w:p>
    <w:p>
      <w:r>
        <w:rPr>
          <w:rFonts w:hint="eastAsia" w:ascii="仿宋" w:hAnsi="仿宋" w:eastAsia="仿宋" w:cs="仿宋"/>
        </w:rPr>
        <w:drawing>
          <wp:anchor distT="0" distB="0" distL="114300" distR="114300" simplePos="0" relativeHeight="251660288" behindDoc="1" locked="0" layoutInCell="1" allowOverlap="1">
            <wp:simplePos x="0" y="0"/>
            <wp:positionH relativeFrom="column">
              <wp:posOffset>7727950</wp:posOffset>
            </wp:positionH>
            <wp:positionV relativeFrom="paragraph">
              <wp:posOffset>4371340</wp:posOffset>
            </wp:positionV>
            <wp:extent cx="1616710" cy="1616710"/>
            <wp:effectExtent l="0" t="0" r="2540" b="2540"/>
            <wp:wrapNone/>
            <wp:docPr id="9"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图片1"/>
                    <pic:cNvPicPr>
                      <a:picLocks noChangeAspect="1"/>
                    </pic:cNvPicPr>
                  </pic:nvPicPr>
                  <pic:blipFill>
                    <a:blip r:embed="rId4" cstate="print"/>
                    <a:stretch>
                      <a:fillRect/>
                    </a:stretch>
                  </pic:blipFill>
                  <pic:spPr>
                    <a:xfrm>
                      <a:off x="0" y="0"/>
                      <a:ext cx="1616710" cy="161671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9264" behindDoc="1" locked="0" layoutInCell="1" allowOverlap="1">
            <wp:simplePos x="0" y="0"/>
            <wp:positionH relativeFrom="column">
              <wp:posOffset>7575550</wp:posOffset>
            </wp:positionH>
            <wp:positionV relativeFrom="paragraph">
              <wp:posOffset>4218940</wp:posOffset>
            </wp:positionV>
            <wp:extent cx="1616710" cy="1616710"/>
            <wp:effectExtent l="0" t="0" r="2540" b="2540"/>
            <wp:wrapNone/>
            <wp:docPr id="8"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图片1"/>
                    <pic:cNvPicPr>
                      <a:picLocks noChangeAspect="1"/>
                    </pic:cNvPicPr>
                  </pic:nvPicPr>
                  <pic:blipFill>
                    <a:blip r:embed="rId4" cstate="print"/>
                    <a:stretch>
                      <a:fillRect/>
                    </a:stretch>
                  </pic:blipFill>
                  <pic:spPr>
                    <a:xfrm>
                      <a:off x="0" y="0"/>
                      <a:ext cx="1616710" cy="1616710"/>
                    </a:xfrm>
                    <a:prstGeom prst="rect">
                      <a:avLst/>
                    </a:prstGeom>
                    <a:noFill/>
                    <a:ln>
                      <a:noFill/>
                    </a:ln>
                  </pic:spPr>
                </pic:pic>
              </a:graphicData>
            </a:graphic>
          </wp:anchor>
        </w:drawing>
      </w:r>
    </w:p>
    <w:p>
      <w:pPr>
        <w:pStyle w:val="2"/>
      </w:pPr>
      <w:bookmarkStart w:id="0" w:name="_GoBack"/>
      <w:bookmarkEnd w:id="0"/>
    </w:p>
    <w:p>
      <w:pPr>
        <w:spacing w:line="580" w:lineRule="exact"/>
        <w:ind w:firstLine="640" w:firstLineChars="200"/>
        <w:rPr>
          <w:rFonts w:ascii="仿宋" w:hAnsi="仿宋" w:eastAsia="仿宋" w:cs="仿宋"/>
          <w:szCs w:val="24"/>
        </w:rPr>
      </w:pPr>
      <w:r>
        <w:rPr>
          <w:rFonts w:hint="eastAsia" w:ascii="仿宋" w:hAnsi="仿宋" w:eastAsia="仿宋" w:cs="仿宋"/>
        </w:rPr>
        <w:drawing>
          <wp:anchor distT="0" distB="0" distL="114300" distR="114300" simplePos="0" relativeHeight="251657216" behindDoc="1" locked="0" layoutInCell="1" allowOverlap="1">
            <wp:simplePos x="0" y="0"/>
            <wp:positionH relativeFrom="column">
              <wp:posOffset>6661150</wp:posOffset>
            </wp:positionH>
            <wp:positionV relativeFrom="paragraph">
              <wp:posOffset>244475</wp:posOffset>
            </wp:positionV>
            <wp:extent cx="1616710" cy="1616710"/>
            <wp:effectExtent l="0" t="0" r="2540" b="2540"/>
            <wp:wrapNone/>
            <wp:docPr id="6"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图片1"/>
                    <pic:cNvPicPr>
                      <a:picLocks noChangeAspect="1"/>
                    </pic:cNvPicPr>
                  </pic:nvPicPr>
                  <pic:blipFill>
                    <a:blip r:embed="rId4" cstate="print"/>
                    <a:stretch>
                      <a:fillRect/>
                    </a:stretch>
                  </pic:blipFill>
                  <pic:spPr>
                    <a:xfrm>
                      <a:off x="0" y="0"/>
                      <a:ext cx="1616710" cy="161671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4144" behindDoc="1" locked="0" layoutInCell="1" allowOverlap="1">
            <wp:simplePos x="0" y="0"/>
            <wp:positionH relativeFrom="column">
              <wp:posOffset>3616960</wp:posOffset>
            </wp:positionH>
            <wp:positionV relativeFrom="paragraph">
              <wp:posOffset>5464810</wp:posOffset>
            </wp:positionV>
            <wp:extent cx="1618615" cy="1615440"/>
            <wp:effectExtent l="0" t="0" r="635" b="3810"/>
            <wp:wrapNone/>
            <wp:docPr id="5" name="图片 3"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p>
    <w:p>
      <w:pPr>
        <w:spacing w:line="580" w:lineRule="exact"/>
        <w:ind w:firstLine="640" w:firstLineChars="200"/>
        <w:rPr>
          <w:rFonts w:ascii="仿宋" w:hAnsi="仿宋" w:eastAsia="仿宋" w:cs="仿宋"/>
          <w:szCs w:val="24"/>
        </w:rPr>
      </w:pPr>
      <w:r>
        <w:rPr>
          <w:rFonts w:hint="eastAsia" w:ascii="仿宋" w:hAnsi="仿宋" w:eastAsia="仿宋" w:cs="仿宋"/>
        </w:rPr>
        <w:drawing>
          <wp:anchor distT="0" distB="0" distL="114300" distR="114300" simplePos="0" relativeHeight="251663360" behindDoc="1" locked="0" layoutInCell="1" allowOverlap="1">
            <wp:simplePos x="0" y="0"/>
            <wp:positionH relativeFrom="column">
              <wp:posOffset>4260215</wp:posOffset>
            </wp:positionH>
            <wp:positionV relativeFrom="paragraph">
              <wp:posOffset>8139430</wp:posOffset>
            </wp:positionV>
            <wp:extent cx="1618615" cy="1615440"/>
            <wp:effectExtent l="0" t="0" r="635" b="3810"/>
            <wp:wrapNone/>
            <wp:docPr id="11" name="图片 12"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61312" behindDoc="1" locked="0" layoutInCell="1" allowOverlap="1">
            <wp:simplePos x="0" y="0"/>
            <wp:positionH relativeFrom="column">
              <wp:posOffset>4107815</wp:posOffset>
            </wp:positionH>
            <wp:positionV relativeFrom="paragraph">
              <wp:posOffset>7987030</wp:posOffset>
            </wp:positionV>
            <wp:extent cx="1618615" cy="1615440"/>
            <wp:effectExtent l="0" t="0" r="635" b="3810"/>
            <wp:wrapNone/>
            <wp:docPr id="10" name="图片 11"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8240" behindDoc="1" locked="0" layoutInCell="1" allowOverlap="1">
            <wp:simplePos x="0" y="0"/>
            <wp:positionH relativeFrom="column">
              <wp:posOffset>7575550</wp:posOffset>
            </wp:positionH>
            <wp:positionV relativeFrom="paragraph">
              <wp:posOffset>4218940</wp:posOffset>
            </wp:positionV>
            <wp:extent cx="1616710" cy="1616710"/>
            <wp:effectExtent l="0" t="0" r="2540" b="2540"/>
            <wp:wrapNone/>
            <wp:docPr id="7" name="图片 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图片1"/>
                    <pic:cNvPicPr>
                      <a:picLocks noChangeAspect="1"/>
                    </pic:cNvPicPr>
                  </pic:nvPicPr>
                  <pic:blipFill>
                    <a:blip r:embed="rId4" cstate="print"/>
                    <a:stretch>
                      <a:fillRect/>
                    </a:stretch>
                  </pic:blipFill>
                  <pic:spPr>
                    <a:xfrm>
                      <a:off x="0" y="0"/>
                      <a:ext cx="1616710" cy="161671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6192" behindDoc="1" locked="0" layoutInCell="1" allowOverlap="1">
            <wp:simplePos x="0" y="0"/>
            <wp:positionH relativeFrom="column">
              <wp:posOffset>3462655</wp:posOffset>
            </wp:positionH>
            <wp:positionV relativeFrom="paragraph">
              <wp:posOffset>4688840</wp:posOffset>
            </wp:positionV>
            <wp:extent cx="1618615" cy="1615440"/>
            <wp:effectExtent l="0" t="0" r="635" b="3810"/>
            <wp:wrapNone/>
            <wp:docPr id="4" name="图片 4"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5168" behindDoc="1" locked="0" layoutInCell="1" allowOverlap="1">
            <wp:simplePos x="0" y="0"/>
            <wp:positionH relativeFrom="column">
              <wp:posOffset>3769360</wp:posOffset>
            </wp:positionH>
            <wp:positionV relativeFrom="paragraph">
              <wp:posOffset>5248910</wp:posOffset>
            </wp:positionV>
            <wp:extent cx="1618615" cy="1615440"/>
            <wp:effectExtent l="0" t="0" r="635" b="3810"/>
            <wp:wrapNone/>
            <wp:docPr id="3" name="图片 5"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r>
        <w:rPr>
          <w:rFonts w:hint="eastAsia" w:ascii="仿宋" w:hAnsi="仿宋" w:eastAsia="仿宋" w:cs="仿宋"/>
        </w:rPr>
        <w:drawing>
          <wp:anchor distT="0" distB="0" distL="114300" distR="114300" simplePos="0" relativeHeight="251653120" behindDoc="1" locked="0" layoutInCell="1" allowOverlap="1">
            <wp:simplePos x="0" y="0"/>
            <wp:positionH relativeFrom="column">
              <wp:posOffset>3464560</wp:posOffset>
            </wp:positionH>
            <wp:positionV relativeFrom="paragraph">
              <wp:posOffset>4944110</wp:posOffset>
            </wp:positionV>
            <wp:extent cx="1618615" cy="1615440"/>
            <wp:effectExtent l="0" t="0" r="635" b="3810"/>
            <wp:wrapNone/>
            <wp:docPr id="2" name="图片 6"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p>
    <w:p>
      <w:pPr>
        <w:spacing w:line="580" w:lineRule="exact"/>
        <w:ind w:firstLine="640" w:firstLineChars="200"/>
        <w:jc w:val="right"/>
        <w:rPr>
          <w:rFonts w:ascii="仿宋" w:hAnsi="仿宋" w:eastAsia="仿宋" w:cs="仿宋"/>
          <w:szCs w:val="24"/>
        </w:rPr>
      </w:pPr>
      <w:r>
        <w:rPr>
          <w:rFonts w:hint="eastAsia" w:ascii="仿宋" w:hAnsi="仿宋" w:eastAsia="仿宋" w:cs="仿宋"/>
          <w:szCs w:val="24"/>
        </w:rPr>
        <w:t>峨边彝族自</w:t>
      </w:r>
      <w:r>
        <w:rPr>
          <w:rFonts w:hint="eastAsia" w:ascii="仿宋" w:hAnsi="仿宋" w:eastAsia="仿宋" w:cs="仿宋"/>
        </w:rPr>
        <w:drawing>
          <wp:anchor distT="0" distB="0" distL="114300" distR="114300" simplePos="0" relativeHeight="251652096" behindDoc="1" locked="0" layoutInCell="1" allowOverlap="1">
            <wp:simplePos x="0" y="0"/>
            <wp:positionH relativeFrom="column">
              <wp:posOffset>3312160</wp:posOffset>
            </wp:positionH>
            <wp:positionV relativeFrom="paragraph">
              <wp:posOffset>4423410</wp:posOffset>
            </wp:positionV>
            <wp:extent cx="1618615" cy="1615440"/>
            <wp:effectExtent l="0" t="0" r="635" b="3810"/>
            <wp:wrapNone/>
            <wp:docPr id="1" name="图片 2" descr="公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公章1"/>
                    <pic:cNvPicPr>
                      <a:picLocks noChangeAspect="1"/>
                    </pic:cNvPicPr>
                  </pic:nvPicPr>
                  <pic:blipFill>
                    <a:blip r:embed="rId5" cstate="print"/>
                    <a:stretch>
                      <a:fillRect/>
                    </a:stretch>
                  </pic:blipFill>
                  <pic:spPr>
                    <a:xfrm>
                      <a:off x="0" y="0"/>
                      <a:ext cx="1618615" cy="1615440"/>
                    </a:xfrm>
                    <a:prstGeom prst="rect">
                      <a:avLst/>
                    </a:prstGeom>
                    <a:noFill/>
                    <a:ln>
                      <a:noFill/>
                    </a:ln>
                  </pic:spPr>
                </pic:pic>
              </a:graphicData>
            </a:graphic>
          </wp:anchor>
        </w:drawing>
      </w:r>
      <w:r>
        <w:rPr>
          <w:rFonts w:hint="eastAsia" w:ascii="仿宋" w:hAnsi="仿宋" w:eastAsia="仿宋" w:cs="仿宋"/>
          <w:szCs w:val="24"/>
        </w:rPr>
        <w:t xml:space="preserve">治县疾病预防控制中心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方正小标宋简体"/>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ADD75"/>
    <w:multiLevelType w:val="singleLevel"/>
    <w:tmpl w:val="921ADD75"/>
    <w:lvl w:ilvl="0" w:tentative="0">
      <w:start w:val="2"/>
      <w:numFmt w:val="chineseCounting"/>
      <w:suff w:val="nothing"/>
      <w:lvlText w:val="（%1）"/>
      <w:lvlJc w:val="left"/>
      <w:rPr>
        <w:rFonts w:hint="eastAsia"/>
      </w:rPr>
    </w:lvl>
  </w:abstractNum>
  <w:abstractNum w:abstractNumId="1">
    <w:nsid w:val="44B74947"/>
    <w:multiLevelType w:val="singleLevel"/>
    <w:tmpl w:val="44B74947"/>
    <w:lvl w:ilvl="0" w:tentative="0">
      <w:start w:val="1"/>
      <w:numFmt w:val="chineseCounting"/>
      <w:suff w:val="nothing"/>
      <w:lvlText w:val="（%1）"/>
      <w:lvlJc w:val="left"/>
      <w:rPr>
        <w:rFonts w:hint="eastAsia"/>
      </w:rPr>
    </w:lvl>
  </w:abstractNum>
  <w:abstractNum w:abstractNumId="2">
    <w:nsid w:val="5507F0D4"/>
    <w:multiLevelType w:val="singleLevel"/>
    <w:tmpl w:val="5507F0D4"/>
    <w:lvl w:ilvl="0" w:tentative="0">
      <w:start w:val="1"/>
      <w:numFmt w:val="decimal"/>
      <w:suff w:val="nothing"/>
      <w:lvlText w:val="（%1）"/>
      <w:lvlJc w:val="left"/>
    </w:lvl>
  </w:abstractNum>
  <w:abstractNum w:abstractNumId="3">
    <w:nsid w:val="62E42BA3"/>
    <w:multiLevelType w:val="singleLevel"/>
    <w:tmpl w:val="62E42BA3"/>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dlMTM2YWU5YWYwMGNlYWZhMWM1NGI5MDBjMmQ1NzkifQ=="/>
  </w:docVars>
  <w:rsids>
    <w:rsidRoot w:val="291C455A"/>
    <w:rsid w:val="00456BF7"/>
    <w:rsid w:val="007E724D"/>
    <w:rsid w:val="00E16F54"/>
    <w:rsid w:val="00FB57CE"/>
    <w:rsid w:val="05862009"/>
    <w:rsid w:val="0D7F6BA7"/>
    <w:rsid w:val="0DA20DEF"/>
    <w:rsid w:val="0EDB478C"/>
    <w:rsid w:val="23D849A9"/>
    <w:rsid w:val="251E239D"/>
    <w:rsid w:val="26C16BEA"/>
    <w:rsid w:val="274A54B2"/>
    <w:rsid w:val="291C455A"/>
    <w:rsid w:val="2F696717"/>
    <w:rsid w:val="31623D23"/>
    <w:rsid w:val="36926D0C"/>
    <w:rsid w:val="3ABA04B1"/>
    <w:rsid w:val="40AB1CA0"/>
    <w:rsid w:val="4A2A2C88"/>
    <w:rsid w:val="4A6A5982"/>
    <w:rsid w:val="4D7D6F2F"/>
    <w:rsid w:val="4DAF2BCF"/>
    <w:rsid w:val="4DDB6F66"/>
    <w:rsid w:val="4E3E067E"/>
    <w:rsid w:val="4E8B1229"/>
    <w:rsid w:val="55B110B1"/>
    <w:rsid w:val="581D3303"/>
    <w:rsid w:val="5C81503C"/>
    <w:rsid w:val="6104498C"/>
    <w:rsid w:val="61483504"/>
    <w:rsid w:val="62FB4E56"/>
    <w:rsid w:val="6A430FC2"/>
    <w:rsid w:val="6EA628D8"/>
    <w:rsid w:val="78267565"/>
    <w:rsid w:val="792F2AEE"/>
    <w:rsid w:val="7BBC0929"/>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Salutation"/>
    <w:basedOn w:val="1"/>
    <w:next w:val="1"/>
    <w:unhideWhenUsed/>
    <w:qFormat/>
    <w:uiPriority w:val="0"/>
    <w:rPr>
      <w:rFonts w:eastAsia="仿宋"/>
    </w:rPr>
  </w:style>
  <w:style w:type="paragraph" w:customStyle="1" w:styleId="5">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242</Words>
  <Characters>1382</Characters>
  <Lines>11</Lines>
  <Paragraphs>3</Paragraphs>
  <TotalTime>50</TotalTime>
  <ScaleCrop>false</ScaleCrop>
  <LinksUpToDate>false</LinksUpToDate>
  <CharactersWithSpaces>1621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2024-10-18T01:21:21Z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BDD9F5E848FC4A80AAF935D912774E0F</vt:lpwstr>
  </property>
</Properties>
</file>