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FCC24">
      <w:pPr>
        <w:widowControl/>
        <w:spacing w:line="580" w:lineRule="exact"/>
        <w:ind w:firstLine="660" w:firstLineChars="200"/>
        <w:contextualSpacing/>
        <w:jc w:val="center"/>
        <w:rPr>
          <w:rFonts w:hint="eastAsia" w:ascii="方正黑体_GBK" w:hAnsi="宋体" w:eastAsia="方正黑体_GBK"/>
          <w:sz w:val="33"/>
          <w:szCs w:val="33"/>
          <w:lang w:val="zh-CN"/>
        </w:rPr>
      </w:pPr>
    </w:p>
    <w:p w14:paraId="5EAB0A9C"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 w14:paraId="0C974C6B"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峨边彝族自治县卫生健康局</w:t>
      </w:r>
    </w:p>
    <w:p w14:paraId="32C41D43">
      <w:pPr>
        <w:widowControl/>
        <w:spacing w:line="580" w:lineRule="exact"/>
        <w:contextualSpacing/>
        <w:jc w:val="center"/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2023整体支出绩效自评报告</w:t>
      </w:r>
    </w:p>
    <w:p w14:paraId="79236F37">
      <w:pPr>
        <w:widowControl/>
        <w:spacing w:line="580" w:lineRule="exact"/>
        <w:contextualSpacing/>
        <w:jc w:val="center"/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</w:pPr>
    </w:p>
    <w:p w14:paraId="37E48C4C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 w14:paraId="00D5022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 w14:paraId="484845F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峨边彝族自治县</w:t>
      </w:r>
      <w:r>
        <w:rPr>
          <w:rFonts w:hint="eastAsia" w:ascii="仿宋_GB2312" w:hAnsi="仿宋_GB2312" w:eastAsia="仿宋_GB2312" w:cs="仿宋_GB2312"/>
          <w:szCs w:val="32"/>
        </w:rPr>
        <w:t>卫生健康局一级预算单位1个，下属二级预算单位19个，其中行政单位1个，参照公务员法管理的事业单位1个，其他事业单位17个。主要包括：峨边彝族自治县卫生健康局、峨边彝族自治县卫生和计划生育监督执法大队、峨边彝族自治县疾病预防控制中心、峨边彝族自治县妇幼保健计划生育服务中心、峨边彝族自治县人民医院、峨边彝族自治县中医医院、峨边彝族自治县14个乡镇卫生院。</w:t>
      </w:r>
    </w:p>
    <w:p w14:paraId="56AE731E">
      <w:pPr>
        <w:spacing w:line="600" w:lineRule="exact"/>
        <w:ind w:firstLine="640" w:firstLineChars="200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（二）机构职能。</w:t>
      </w:r>
    </w:p>
    <w:p w14:paraId="65F1484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深化公立医院改革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完善分级诊疗制度。2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构建全民医疗保险体系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巩固基层运行新机制。3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推进人才队伍建设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巩固完善基层综合改革。4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规范医院绩效分配方案。5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做好疾病预防控制，提升卫生应急能力。6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提升全县妇幼健康体系服务能力。7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推进爱国卫生工作。8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完善计划生育目标管理责任制。</w:t>
      </w:r>
    </w:p>
    <w:p w14:paraId="1409178B">
      <w:pPr>
        <w:spacing w:line="600" w:lineRule="exact"/>
        <w:ind w:left="973" w:leftChars="304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（三）人员概况。</w:t>
      </w:r>
    </w:p>
    <w:p w14:paraId="4A70126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2023年度，部门人员编制为511人，其中：行政编制15人，事业编制496人。部门年末实有人数465人，其中：行政编制人员10人，事业编制人员455人。离休人员1人。</w:t>
      </w:r>
    </w:p>
    <w:p w14:paraId="795AB60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</w:p>
    <w:p w14:paraId="0B4E4860">
      <w:pPr>
        <w:widowControl/>
        <w:tabs>
          <w:tab w:val="left" w:pos="3840"/>
        </w:tabs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</w:rPr>
      </w:pPr>
    </w:p>
    <w:p w14:paraId="01ED22B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 w14:paraId="4856915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14:paraId="7438CF2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" w:hAnsi="仿宋" w:eastAsia="仿宋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2023年财政拨款收入决算总额为11740.4万元。</w:t>
      </w:r>
    </w:p>
    <w:p w14:paraId="6442E0CC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val="zh-CN"/>
        </w:rPr>
        <w:t>（二）部门财政资金支出情况。</w:t>
      </w:r>
    </w:p>
    <w:p w14:paraId="67B7136D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2023年财政拨款支出决算11740.4 万元。财政拨款支出中人员经费支出 6582.8万元，日常公用经费支出 449.2万元，项目支出 4708.4万元。</w:t>
      </w:r>
    </w:p>
    <w:p w14:paraId="56706C05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val="zh-CN"/>
        </w:rPr>
        <w:t>（三）部门财政资金结转结余情况</w:t>
      </w:r>
    </w:p>
    <w:p w14:paraId="2FAB0E4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本年无结转结余</w:t>
      </w:r>
    </w:p>
    <w:p w14:paraId="677B808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三、部门整体预算绩效管理情况</w:t>
      </w:r>
    </w:p>
    <w:p w14:paraId="7D907BB6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</w:t>
      </w:r>
    </w:p>
    <w:p w14:paraId="31332C3C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2023年，我单位积极履职，强化管理，较好地完成了年度工作目标。通过加强预算收支管理，不断建立健全内部管理制度，梳理内部管理流程，部门整体支出管理水平得到提升。根据部门整体支出绩效评价指标体系，我单位2023年度评价得分为95分</w:t>
      </w:r>
    </w:p>
    <w:p w14:paraId="2409B3FB"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2023年卫生健康工作在县委、县政府的坚强领导和市卫健委的正确指导下，突出重点，统筹兼顾，较好地完成县委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、县</w:t>
      </w:r>
      <w:r>
        <w:rPr>
          <w:rFonts w:hint="eastAsia" w:ascii="仿宋_GB2312" w:hAnsi="仿宋_GB2312" w:eastAsia="仿宋_GB2312" w:cs="仿宋_GB2312"/>
          <w:szCs w:val="32"/>
        </w:rPr>
        <w:t>政府和上级卫健部门下达的各项任务。扎实推进新冠疫情防控工作，进一步加大健康扶贫工作力度，完成基本公共卫生服务各项工作，提高医疗服务质量和管理水平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，进一步推进</w:t>
      </w:r>
      <w:r>
        <w:rPr>
          <w:rFonts w:hint="eastAsia" w:ascii="仿宋_GB2312" w:hAnsi="仿宋_GB2312" w:eastAsia="仿宋_GB2312" w:cs="仿宋_GB2312"/>
          <w:szCs w:val="32"/>
        </w:rPr>
        <w:t>医药卫生体制综合改革，加强卫生、计生监督执法力度，落实各项计生惠民政策，持续推进行风建设专项整治和计划生育秩序专项整治工作。</w:t>
      </w:r>
    </w:p>
    <w:p w14:paraId="3776DBD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（二）特定目标类项目绩效分析。</w:t>
      </w:r>
    </w:p>
    <w:p w14:paraId="3E7F086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1.整体情况</w:t>
      </w:r>
    </w:p>
    <w:p w14:paraId="0498FD05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Cs w:val="32"/>
          <w:shd w:val="clear" w:color="auto" w:fill="FFFFFF"/>
          <w:lang w:val="zh-CN"/>
        </w:rPr>
        <w:t>预算编制明确和细化，预算执行力度进一步加强。细化预算编制工作，认真做好预算的编制。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 w14:paraId="44A5DECA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2. 100万以上项目：</w:t>
      </w:r>
    </w:p>
    <w:p w14:paraId="2B7848BA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项目1：基层医疗机构基药补助</w:t>
      </w:r>
    </w:p>
    <w:p w14:paraId="092656B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项目2：基本公共卫生服务</w:t>
      </w:r>
    </w:p>
    <w:p w14:paraId="1C60CBE9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项目3：东西协作</w:t>
      </w:r>
    </w:p>
    <w:p w14:paraId="1584AF90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项目4：疫情防控资金</w:t>
      </w:r>
    </w:p>
    <w:p w14:paraId="20BAF78E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项目5：计划生育资金</w:t>
      </w:r>
    </w:p>
    <w:p w14:paraId="3B8914B7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项目6：医疗服务与保障能力提升</w:t>
      </w:r>
    </w:p>
    <w:p w14:paraId="4C0CD79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项目7：重大公共卫生服务</w:t>
      </w:r>
    </w:p>
    <w:p w14:paraId="124BBDC9">
      <w:pPr>
        <w:spacing w:line="590" w:lineRule="exact"/>
        <w:ind w:firstLine="640" w:firstLineChars="200"/>
        <w:rPr>
          <w:rFonts w:ascii="宋体" w:hAnsi="宋体" w:cs="宋体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自评表和绩效报告附后</w:t>
      </w:r>
    </w:p>
    <w:p w14:paraId="11D51A89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 w14:paraId="0FCEAF96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 w14:paraId="0EFB955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2023年我局整体支出绩效评价自查自评结果良好，全年基本支出保证了部门的正常运行和日常工作的正常开展，项目支出保障了重点工作的开展，达到预期绩效目标。</w:t>
      </w:r>
    </w:p>
    <w:p w14:paraId="7C460D3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 w14:paraId="34117536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个别直达资金项目支付率在前半年进度稍慢。</w:t>
      </w:r>
    </w:p>
    <w:p w14:paraId="40399DAE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</w:p>
    <w:p w14:paraId="2718B164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继续完善内控制度工作基础上，将进一步加强内控信息化建设，梳理细化工作流程及风险点，将各项财经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法律法规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以及中央、省各项规章制度与经费支出衔接，实现预设标准、范围，做到提前预警控制。强化内控信息化数据分析，发挥信息化管理数据分析优势，并将内控分析结果运用于预算安排、绩效目标编报、资产配置管理等方面。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F36396-EC9B-4E18-8FF9-7DAB19CEDB3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8C02D5F-6043-458B-9A06-FFCAEF9972A9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A2D6BC90-9CE0-4413-95F9-A862E989710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D5B9A21-38BB-4904-83BA-B4B47FD859D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68D378A-FA9A-4AA7-ABA7-7DCD51B9CC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E46A8">
    <w:pPr>
      <w:pStyle w:val="4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 w14:paraId="6CED8C11">
    <w:pPr>
      <w:pStyle w:val="4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3309F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00EC0174"/>
    <w:rsid w:val="00006E4D"/>
    <w:rsid w:val="00021652"/>
    <w:rsid w:val="00025426"/>
    <w:rsid w:val="00030311"/>
    <w:rsid w:val="00030782"/>
    <w:rsid w:val="00030B66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1B20"/>
    <w:rsid w:val="000C40C6"/>
    <w:rsid w:val="000C79C1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23A"/>
    <w:rsid w:val="001348A4"/>
    <w:rsid w:val="0014117C"/>
    <w:rsid w:val="00146FE8"/>
    <w:rsid w:val="0014767B"/>
    <w:rsid w:val="00147AED"/>
    <w:rsid w:val="00154C87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61C85"/>
    <w:rsid w:val="00371352"/>
    <w:rsid w:val="00376753"/>
    <w:rsid w:val="0038541D"/>
    <w:rsid w:val="00387818"/>
    <w:rsid w:val="0039141B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06A9C"/>
    <w:rsid w:val="00416E1A"/>
    <w:rsid w:val="00426A3F"/>
    <w:rsid w:val="004277D4"/>
    <w:rsid w:val="0043502F"/>
    <w:rsid w:val="00461638"/>
    <w:rsid w:val="004706FA"/>
    <w:rsid w:val="00474D8D"/>
    <w:rsid w:val="00475CCD"/>
    <w:rsid w:val="00477266"/>
    <w:rsid w:val="004811BC"/>
    <w:rsid w:val="004838F2"/>
    <w:rsid w:val="00486492"/>
    <w:rsid w:val="004908D0"/>
    <w:rsid w:val="00492CF6"/>
    <w:rsid w:val="004A4C9D"/>
    <w:rsid w:val="004C2078"/>
    <w:rsid w:val="004C228F"/>
    <w:rsid w:val="004E37A5"/>
    <w:rsid w:val="004E752F"/>
    <w:rsid w:val="004F1E37"/>
    <w:rsid w:val="00515198"/>
    <w:rsid w:val="00521C44"/>
    <w:rsid w:val="00525113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03FB"/>
    <w:rsid w:val="006C24D3"/>
    <w:rsid w:val="006C7917"/>
    <w:rsid w:val="006E51AE"/>
    <w:rsid w:val="006F6C49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82BBB"/>
    <w:rsid w:val="007A0690"/>
    <w:rsid w:val="007A078F"/>
    <w:rsid w:val="007B34D4"/>
    <w:rsid w:val="007C0633"/>
    <w:rsid w:val="007D086C"/>
    <w:rsid w:val="007F1BE1"/>
    <w:rsid w:val="007F707F"/>
    <w:rsid w:val="007F794C"/>
    <w:rsid w:val="007F7AC9"/>
    <w:rsid w:val="0080199E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0659"/>
    <w:rsid w:val="008612E9"/>
    <w:rsid w:val="00867140"/>
    <w:rsid w:val="00881134"/>
    <w:rsid w:val="008904F0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B348B"/>
    <w:rsid w:val="009D44A7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1392B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0777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E7B9A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1B81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277AD"/>
    <w:rsid w:val="00D33159"/>
    <w:rsid w:val="00D33A19"/>
    <w:rsid w:val="00D349F5"/>
    <w:rsid w:val="00D355B5"/>
    <w:rsid w:val="00D40F4C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5D51"/>
    <w:rsid w:val="00DA5E29"/>
    <w:rsid w:val="00DA61CA"/>
    <w:rsid w:val="00DB3029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43A45"/>
    <w:rsid w:val="00E5699E"/>
    <w:rsid w:val="00E570E1"/>
    <w:rsid w:val="00E6767D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1AF3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0DC0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17DB11F7"/>
    <w:rsid w:val="19927F78"/>
    <w:rsid w:val="21AE59D8"/>
    <w:rsid w:val="286F56EA"/>
    <w:rsid w:val="2D527252"/>
    <w:rsid w:val="329102D6"/>
    <w:rsid w:val="3A9520B3"/>
    <w:rsid w:val="3DBD4858"/>
    <w:rsid w:val="3DE562B7"/>
    <w:rsid w:val="3E6507EA"/>
    <w:rsid w:val="47550EBA"/>
    <w:rsid w:val="4C4B0452"/>
    <w:rsid w:val="50BB3388"/>
    <w:rsid w:val="6636451A"/>
    <w:rsid w:val="6BE94116"/>
    <w:rsid w:val="6FDA2517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qFormat/>
    <w:uiPriority w:val="99"/>
    <w:rPr>
      <w:rFonts w:ascii="宋体"/>
      <w:sz w:val="18"/>
      <w:szCs w:val="18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qFormat/>
    <w:uiPriority w:val="99"/>
    <w:rPr>
      <w:rFonts w:cs="Times New Roman"/>
    </w:rPr>
  </w:style>
  <w:style w:type="character" w:customStyle="1" w:styleId="10">
    <w:name w:val="文档结构图 Char"/>
    <w:link w:val="2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1">
    <w:name w:val="批注框文本 Char"/>
    <w:link w:val="3"/>
    <w:semiHidden/>
    <w:qFormat/>
    <w:locked/>
    <w:uiPriority w:val="99"/>
    <w:rPr>
      <w:rFonts w:cs="Times New Roman"/>
      <w:sz w:val="2"/>
    </w:rPr>
  </w:style>
  <w:style w:type="character" w:customStyle="1" w:styleId="12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4">
    <w:name w:val="四号正文"/>
    <w:basedOn w:val="1"/>
    <w:link w:val="15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5">
    <w:name w:val="四号正文 Char"/>
    <w:link w:val="14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6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PSZX</Company>
  <Pages>4</Pages>
  <Words>1464</Words>
  <Characters>1540</Characters>
  <Lines>11</Lines>
  <Paragraphs>3</Paragraphs>
  <TotalTime>152</TotalTime>
  <ScaleCrop>false</ScaleCrop>
  <LinksUpToDate>false</LinksUpToDate>
  <CharactersWithSpaces>1545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碧云天</cp:lastModifiedBy>
  <cp:lastPrinted>2022-03-15T02:17:00Z</cp:lastPrinted>
  <dcterms:modified xsi:type="dcterms:W3CDTF">2024-10-18T03:20:30Z</dcterms:modified>
  <dc:title>区域性就业培训基地建设项目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709488CBFC044AECAD4DB966E16EB6BB_12</vt:lpwstr>
  </property>
</Properties>
</file>