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E6550">
      <w:pPr>
        <w:spacing w:line="580" w:lineRule="exact"/>
        <w:contextualSpacing/>
        <w:rPr>
          <w:rFonts w:hint="eastAsia" w:ascii="方正黑体_GBK" w:hAnsi="宋体" w:eastAsia="方正黑体_GBK"/>
          <w:sz w:val="33"/>
          <w:szCs w:val="33"/>
          <w:lang w:val="zh-CN" w:eastAsia="zh-CN"/>
        </w:rPr>
      </w:pPr>
      <w:r>
        <w:rPr>
          <w:rFonts w:hint="eastAsia" w:ascii="方正黑体_GBK" w:hAnsi="宋体" w:eastAsia="方正黑体_GBK"/>
          <w:sz w:val="33"/>
          <w:szCs w:val="33"/>
          <w:lang w:val="zh-CN"/>
        </w:rPr>
        <w:t>附件</w:t>
      </w:r>
      <w:r>
        <w:rPr>
          <w:rFonts w:hint="eastAsia" w:eastAsia="方正黑体_GBK"/>
          <w:sz w:val="33"/>
          <w:szCs w:val="33"/>
          <w:lang w:val="en-US" w:eastAsia="zh-CN"/>
        </w:rPr>
        <w:t>2</w:t>
      </w:r>
    </w:p>
    <w:p w14:paraId="77A88F7F">
      <w:pPr>
        <w:widowControl/>
        <w:spacing w:line="580" w:lineRule="exact"/>
        <w:ind w:firstLine="883" w:firstLineChars="200"/>
        <w:contextualSpacing/>
        <w:jc w:val="center"/>
        <w:rPr>
          <w:rFonts w:ascii="宋体"/>
          <w:b/>
          <w:sz w:val="44"/>
          <w:szCs w:val="44"/>
          <w:shd w:val="clear" w:color="auto" w:fill="FFFFFF"/>
        </w:rPr>
      </w:pPr>
    </w:p>
    <w:p w14:paraId="15CF9D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contextualSpacing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  <w:t>峨边彝族自治县文化馆</w:t>
      </w:r>
    </w:p>
    <w:p w14:paraId="1A5757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contextualSpacing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  <w:t>部门整体支出预算绩效自评报告</w:t>
      </w:r>
    </w:p>
    <w:p w14:paraId="429E1EDC">
      <w:pPr>
        <w:widowControl/>
        <w:adjustRightInd w:val="0"/>
        <w:snapToGrid w:val="0"/>
        <w:spacing w:line="580" w:lineRule="exact"/>
        <w:ind w:firstLine="660" w:firstLineChars="200"/>
        <w:contextualSpacing/>
        <w:jc w:val="center"/>
        <w:rPr>
          <w:rFonts w:ascii="方正仿宋_GBK" w:hAnsi="宋体" w:eastAsia="方正仿宋_GBK" w:cs="宋体"/>
          <w:color w:val="000000"/>
          <w:kern w:val="0"/>
          <w:sz w:val="33"/>
          <w:szCs w:val="33"/>
          <w:shd w:val="clear" w:color="auto" w:fill="FFFFFF"/>
        </w:rPr>
      </w:pPr>
    </w:p>
    <w:p w14:paraId="46F9F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  <w:t>部门基本情况</w:t>
      </w:r>
    </w:p>
    <w:p w14:paraId="508A41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jc w:val="both"/>
        <w:textAlignment w:val="auto"/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（一）机构组成。</w:t>
      </w:r>
    </w:p>
    <w:p w14:paraId="1C4DA8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县文化馆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预算单位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个，其中：行政单位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个，事业单位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个。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县文化馆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总编制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名，其中：行政编制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名，工勤编制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名，事业编制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名。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编外人员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在职人员总数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名，其中：行政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名，工勤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名，事业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离休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名。</w:t>
      </w:r>
    </w:p>
    <w:p w14:paraId="40D100A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jc w:val="both"/>
        <w:textAlignment w:val="auto"/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机构职能和人员概况。</w:t>
      </w:r>
    </w:p>
    <w:p w14:paraId="2BE3EE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组织群众文化活动，繁荣群众文化事业，文化宣传、文艺活动组织、村文化事业指导、文化交流、大众科普资料编辑、民族民间文化艺术遗产收集保护、文化馆、图书馆免费开放、免费培训等。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</w:t>
      </w:r>
    </w:p>
    <w:p w14:paraId="64FBD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管理：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2人，专技：7人，编外：4人。</w:t>
      </w:r>
    </w:p>
    <w:p w14:paraId="22D06CB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contextualSpacing/>
        <w:jc w:val="both"/>
        <w:textAlignment w:val="auto"/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年度主要工作任务。</w:t>
      </w:r>
    </w:p>
    <w:p w14:paraId="681528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持续创新群众文化建设，开展各类免费培训、公益讲座、展览等群众文化活动，进一步夯实基础；抓好文艺创作，打造特色文化品牌；深度挖掘我县特色非遗项目，做好保护、传承、宣传工作。</w:t>
      </w:r>
    </w:p>
    <w:p w14:paraId="6F3CF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提升打造“美神甘嫫阿妞”“记忆峨边”，为助推文旅融合，实现常态化演出做好充分准备。</w:t>
      </w:r>
    </w:p>
    <w:p w14:paraId="13344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加大骨干培育力度，配合自治县做好县庆四十年庆典工作，继续举办“大篷车乡村行”文艺巡演，为群众送上精神食粮。</w:t>
      </w:r>
    </w:p>
    <w:p w14:paraId="03203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4.出版发行2024年馆办刊物《</w:t>
      </w:r>
      <w:r>
        <w:rPr>
          <w:rFonts w:hint="eastAsia" w:ascii="仿宋_GB2312" w:hAnsi="仿宋_GB2312" w:eastAsia="仿宋_GB2312" w:cs="仿宋_GB2312"/>
          <w:sz w:val="32"/>
          <w:szCs w:val="32"/>
        </w:rPr>
        <w:t>甘嫫阿妞文化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》2期。</w:t>
      </w:r>
    </w:p>
    <w:p w14:paraId="65C9E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jc w:val="both"/>
        <w:textAlignment w:val="auto"/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（四）部门整体支出绩效目标。</w:t>
      </w:r>
    </w:p>
    <w:p w14:paraId="6A8FA6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hint="default" w:eastAsia="楷体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保障两馆基本正常运行；保障单位人员日常运转，图书馆、文化馆免费对外开放；文化惠民活动的开展；书画摄影、非遗展览；《甘嫫阿妞文化》刊物出版2期；挖掘、创作民族民间音乐及相关音乐制作和辅导；创作优秀的舞蹈作品，配合县委、县政府完成各类演出工作；购置图书馆装备书，举办讲座，送图书下基层，有恒时光、全民阅读活动的开展等。</w:t>
      </w:r>
    </w:p>
    <w:p w14:paraId="6E9823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 w14:paraId="3CC70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jc w:val="both"/>
        <w:textAlignment w:val="auto"/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（一）部门财政资金收入情况。</w:t>
      </w:r>
    </w:p>
    <w:p w14:paraId="6949BBF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文化馆2024年财政拨款预算收入179.92万元，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其中：一般公共预算资金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179.92万元，政府性基金预算资金0万元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。</w:t>
      </w:r>
    </w:p>
    <w:p w14:paraId="1459F42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jc w:val="both"/>
        <w:textAlignment w:val="auto"/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部门财政资金支出情况。</w:t>
      </w:r>
    </w:p>
    <w:p w14:paraId="58B70D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/>
        </w:rPr>
        <w:t>基本支出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179.61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元，项目支出0.31万元，项目1个，具体支出为：2023年《两馆免费开放及群众文化（上级资金）》结余资金0.31万元。</w:t>
      </w:r>
    </w:p>
    <w:p w14:paraId="601E3AC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contextualSpacing/>
        <w:jc w:val="both"/>
        <w:textAlignment w:val="auto"/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部门财政资金结转结余情况。</w:t>
      </w:r>
    </w:p>
    <w:p w14:paraId="6B7A3C3A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文化馆2024年无结余结转资金。</w:t>
      </w:r>
    </w:p>
    <w:p w14:paraId="4D8444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三、部门整体绩效管理情况</w:t>
      </w:r>
    </w:p>
    <w:p w14:paraId="0D8BA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（一）部门整体履职绩效分析。</w:t>
      </w:r>
    </w:p>
    <w:p w14:paraId="4126D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1.县庆40年工作。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馆积极组织相关的文化活动和节目的策划与编排。组织音乐舞蹈组专业老师分为三个小队对全县13个乡镇方队和6个特色方队进行了三轮全面辅导，提升完善每个乡镇方队，将本乡镇特色魅力和文化底蕴相融合。深度参与了“铸牢中华民族共同体意识”文化展演，从给央视导演团队提供文化展演最初文本方案、音乐舞蹈、服装道具等素材到6个重要节目的录音、编排。策划和组织了“记忆峨边”提升演出，全方位展现了峨边非遗的魅力，得到社会群众的高度赞赏以及主流媒体的争相报道，文化馆被授予优秀先进集体称号。</w:t>
      </w:r>
    </w:p>
    <w:p w14:paraId="26AFE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2.公共文化服务。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加强文化馆基础设施建设，为免费开放工作提供保障。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拓展公共文化服务的范围与深度，本年度累计开放天数达到300天以上，积极完善服务设施，创新服务内容，做到公共空间设施场地免费开放，基本公共文化服务项目免费向群众提供，认真推进公共文化设施的错时延时开放。馆内职工全年参加省、市各项学习、调研、采风活动30余次，完成了馆内所有消防安全设施的维修改造，杜绝公共场所安全隐患。</w:t>
      </w:r>
    </w:p>
    <w:p w14:paraId="3999F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3.精心组织、勇于创新、繁荣群众文艺活动。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大篷车乡村行文化巡演18场，观看群众达2000余人；完成10场“记忆峨边”非遗沉浸式演出，全年接待游客2万余人；完成音乐剧《美神·甘嫫阿妞》本土化演出3场，成都巡演2场；举办彝歌路演4场、惠民演出活动10场。参加县内主题演出活动19场。</w:t>
      </w:r>
    </w:p>
    <w:p w14:paraId="5C0DE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4.积极组织对外宣传演出，将峨边的特色文化推向更广阔的舞台。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参加自治县对外宣传演出、省级、市级调演活动18场，通过文化交流活动，充分展示了峨边的独特文化魅力，提升了峨边的知名度。</w:t>
      </w:r>
    </w:p>
    <w:p w14:paraId="40B0F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5.充分发挥阵地优势，面向基层，举办各类公益性文化艺术培训及讲座、展览等。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峨边书画家走进峨边城区、社区、乡镇村、武装部为百姓写送春联、送福字、送温暖活动8场，共赠送春联2200余幅；举办青少年美术、书法、以及“砚山房”成人书法等培训班，培训人员300人；不定期组织专业人员下基层，对各社区、镇乡综合文化站、企事业单位的文艺骨干及乡镇开展音乐舞蹈培训16场、音乐舞蹈主题讲座5场、交流演出活动8场；举办主题书画摄影展11场、书画摄影主题培训讲座6场、书画摄影交流采风创作活动3场；举办“黄桷树下说党史”2场、“有恒时光”读书会活动20余场；文化馆公众号全年优秀文艺作品线上展播9次，非遗项目展演5期，推文55篇，线上有奖问答3场，峨边在线采用文化馆信息条，乐山市文化馆微信公众号采用14条；开展智游天府志愿者服务活动20场。</w:t>
      </w:r>
    </w:p>
    <w:p w14:paraId="78FED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6.非遗工作。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开展非遗展览、传习、授讲活动，发掘本地非物质文化遗产，积极组织申报省、市、县级项目。深入挖掘和整理峨边彝族自治县的非物质文化遗产项目，本年度新申报五位省级非遗传承人并进入公示阶段；开展形式多样的宣传活动并发放《非遗法》宣传资料；举办峨边非遗作品展乡村行活动10场，共展出非遗精美作品50幅，参观人数2500人；举办彝族月琴弹奏技艺、彝族克斯、甘嫫阿妞文化、彝族刺绣等非遗传承培训活动32场、开展绵阳师范学院教授与峨边非遗传承人交流、彝汉双语“ 理响巴蜀”进基层百场巡回宣讲马边站，非遗文化艺术交流2场；创作非遗主题艺术节目参加市、县非遗大巡游、记忆峨边等舞台，全年参与各类演出近20场。</w:t>
      </w:r>
    </w:p>
    <w:p w14:paraId="78921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7.创作获奖。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摄影作品《毕摩诵经》《彩池秋韵》入选“情漫三江·光影乐山——乐山首届旅游摄影展”；原创剧本小说《美丽杨凡村》和音频作品《玛多测》分别荣获四川省“携手传正道反邪筑平安”2024年反邪教优秀原创作品征集评选系列活动一等奖和优秀奖；歌曲《尼木泽》入围第二十届全国群星奖；舞蹈《阿哥的琴阿妹的弦》参加四川省第四届乡村文化振兴魅力竞演乐山选拔赛获二等奖；由文化馆和峨边神墨英才文化艺术学校共同打造的舞蹈《tiger》获乐山市第二届街舞大赛三等奖；《峨边彝族民歌》非遗巡游队在乐山国庆非遗大巡游活动中获＂优秀展演节目＂；新创作舞蹈《珙桐花开》《佳支依达母亲河》《繁花峨边》亮相各大舞台；出版发行两期馆办刊物《甘嫫阿妞文化》。</w:t>
      </w:r>
    </w:p>
    <w:p w14:paraId="782A1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jc w:val="both"/>
        <w:textAlignment w:val="auto"/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（二）特定目标类项目绩效分析。</w:t>
      </w:r>
    </w:p>
    <w:p w14:paraId="55B37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项目绩效目标制定</w:t>
      </w:r>
    </w:p>
    <w:p w14:paraId="63F13AA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/>
        </w:rPr>
        <w:t>两馆免费开放及群众文化（上级资金）项目经费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0.31万元；图书馆、文化馆免费对外开放，开展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文化惠民系列活动，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青少年免费培训，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文化宣传，对外文化交流，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文艺创作，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社区乡镇业务辅导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 w14:paraId="0939CC1C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目标实现</w:t>
      </w:r>
    </w:p>
    <w:p w14:paraId="7B287FD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两馆免费对外开放，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不定期组织专业人员下基层，对各社区、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综合文化站、企事业单位的文艺骨干进行广场舞培训、文艺活动辅导；举办书画、摄影、非遗作品乡村巡展；常态化举办“黄桷树下说党史”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“有恒时光”读书会活动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记忆峨边”文化长廊沉浸式演出，“彝歌会”路演；配合自治县举办大型主题活动；文化馆以“团结、友爱、互助、志愿”为总纲，狠抓志愿服务品牌建设，打造了“文化大篷车”“甘嫫阿妞”文化文艺志愿服务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彝族歌舞《朵洛荷》参加第八届中国成都国际非物质文化遗产节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D4D9ADE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（三）部门预算项目支出情况分析。</w:t>
      </w:r>
    </w:p>
    <w:p w14:paraId="378D3782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lang w:val="zh-CN"/>
        </w:rPr>
        <w:t>项目基本情况</w:t>
      </w:r>
    </w:p>
    <w:p w14:paraId="12CE11CC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组织群众文化活动，繁荣群众文化事业，文化宣传、文艺活动组织、村文化事业指导、文化交流、大众科普资料编辑、民族民间文化艺术遗产收集保护、文化馆、图书馆免费开放、免费培训。</w:t>
      </w:r>
    </w:p>
    <w:p w14:paraId="577BB38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lang w:val="zh-CN"/>
        </w:rPr>
        <w:t>项目资金申报及批复情况。</w:t>
      </w:r>
    </w:p>
    <w:p w14:paraId="4C2EBBF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/>
        </w:rPr>
        <w:t>两馆免费开放及群众文化（上级资金）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项目预算资金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0.31万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元，经财政批复下达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0.31万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元。</w:t>
      </w:r>
      <w:r>
        <w:rPr>
          <w:rFonts w:hint="eastAsia" w:ascii="仿宋_GB2312" w:hAnsi="仿宋_GB2312" w:eastAsia="仿宋_GB2312" w:cs="仿宋_GB2312"/>
          <w:b w:val="0"/>
          <w:bCs w:val="0"/>
          <w:lang w:val="zh-CN"/>
        </w:rPr>
        <w:t>资金管理按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各项财经纪律和管理制度进行管理，按程序按规定支付各类费用，</w:t>
      </w:r>
      <w:r>
        <w:rPr>
          <w:rFonts w:hint="eastAsia" w:ascii="仿宋_GB2312" w:hAnsi="仿宋_GB2312" w:eastAsia="仿宋_GB2312" w:cs="仿宋_GB2312"/>
          <w:b w:val="0"/>
          <w:bCs w:val="0"/>
          <w:lang w:val="zh-CN"/>
        </w:rPr>
        <w:t>符合资金管理办法等相关规定。</w:t>
      </w:r>
    </w:p>
    <w:p w14:paraId="2EC50A1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</w:rPr>
        <w:t>项目实施及管理情况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。</w:t>
      </w:r>
    </w:p>
    <w:p w14:paraId="1CC71EFF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/>
        </w:rPr>
        <w:t>两馆免费开放及群众文化（上级资金）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项目，预算资金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0.31万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元；</w:t>
      </w:r>
      <w:r>
        <w:rPr>
          <w:rFonts w:hint="eastAsia" w:ascii="仿宋_GB2312" w:hAnsi="仿宋_GB2312" w:eastAsia="仿宋_GB2312" w:cs="仿宋_GB2312"/>
          <w:b w:val="0"/>
          <w:bCs w:val="0"/>
          <w:lang w:val="zh-CN"/>
        </w:rPr>
        <w:t>资金支付范围、支付标准、支付进度、支付依据等合规合法，与预算相符。</w:t>
      </w:r>
    </w:p>
    <w:p w14:paraId="64D8825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lang w:val="zh-CN"/>
        </w:rPr>
        <w:t>项目财务管理情况。</w:t>
      </w:r>
    </w:p>
    <w:p w14:paraId="71436A2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/>
        </w:rPr>
        <w:t>两馆免费开放及群众文化（上级资金）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严格按照各项财务制度进行管理，按程序按规定报销各类费用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，账务处理及时，会计核算规范。</w:t>
      </w:r>
    </w:p>
    <w:p w14:paraId="558E49C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lang w:val="zh-CN"/>
        </w:rPr>
        <w:t>项目组织实施情况。</w:t>
      </w:r>
    </w:p>
    <w:p w14:paraId="79752B9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（1）办公室起草方案。</w:t>
      </w:r>
    </w:p>
    <w:p w14:paraId="4C01849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（2）文化馆领导审定。</w:t>
      </w:r>
    </w:p>
    <w:p w14:paraId="1260DE4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（3）按照工作计划开展关于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/>
        </w:rPr>
        <w:t>两馆免费开放及群众文化（上级资金）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      </w:t>
      </w:r>
    </w:p>
    <w:p w14:paraId="79F9A4A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按程序按规定支付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/>
        </w:rPr>
        <w:t>群众文化及两馆免费开放—上级资金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的相关业务费用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2EF296E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/>
        </w:rPr>
        <w:t>两馆免费开放及群众文化（上级资金）项目</w:t>
      </w:r>
      <w:r>
        <w:rPr>
          <w:rFonts w:hint="eastAsia" w:ascii="仿宋_GB2312" w:hAnsi="仿宋_GB2312" w:eastAsia="仿宋_GB2312" w:cs="仿宋_GB2312"/>
          <w:b w:val="0"/>
          <w:bCs w:val="0"/>
          <w:lang w:val="zh-CN"/>
        </w:rPr>
        <w:t>方案审定后，按照自治县规定要求推进工作。</w:t>
      </w:r>
    </w:p>
    <w:p w14:paraId="041B707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lang w:val="zh-CN"/>
        </w:rPr>
        <w:t>项目效益情况。</w:t>
      </w:r>
      <w:r>
        <w:rPr>
          <w:rFonts w:hint="eastAsia" w:ascii="楷体_GB2312" w:hAnsi="楷体_GB2312" w:eastAsia="楷体_GB2312" w:cs="楷体_GB2312"/>
          <w:b w:val="0"/>
          <w:bCs w:val="0"/>
          <w:lang w:val="zh-CN"/>
        </w:rPr>
        <w:t xml:space="preserve"> </w:t>
      </w:r>
    </w:p>
    <w:p w14:paraId="376FDE1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“文化大篷车”服务队荣获乐山市首届最美志愿服务项目，葛秀琴同志荣获乐山市首届最美志愿服务“最美志愿者”称号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对各社区、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综合文化站、企事业单位的文艺骨干进行广场舞培训、文艺活动辅导18场；书画、摄影、非遗作品乡村巡展9场，“记忆峨边”文化长廊沉浸式演出1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场，“彝歌会”路演6场，配合自治县举办大型主题活动11场；积极参加国家、省、市交流演出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，彝族歌舞《朵洛荷》参加第八届中国成都国际非物质文化遗产节荣获优秀展演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节目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D6FF9C5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shd w:val="clear" w:fill="FFFFFF"/>
          <w:lang w:val="zh-CN" w:eastAsia="zh-CN" w:bidi="ar-SA"/>
        </w:rPr>
        <w:t>（四）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结果应用情况。</w:t>
      </w:r>
    </w:p>
    <w:p w14:paraId="645413F1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绩效自评公开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 w14:paraId="41428C25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按时在峨边门户网上进行了公开。</w:t>
      </w:r>
    </w:p>
    <w:p w14:paraId="15063F47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评价结果整改和应用结果反馈。</w:t>
      </w:r>
    </w:p>
    <w:p w14:paraId="6075CD7E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严格执行财经纪律，量入为出，收支平衡，科学研判。进行各风险点排查，对各风险点进行防控，制定相关制度，确保资金的安全、高效使用。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基本支出按预算完成，项目完成了100%。</w:t>
      </w:r>
    </w:p>
    <w:p w14:paraId="321244BD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、评价结论及建议</w:t>
      </w:r>
    </w:p>
    <w:p w14:paraId="5DE31DA1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（一）评价结论。</w:t>
      </w:r>
    </w:p>
    <w:p w14:paraId="12890A31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/>
        </w:rPr>
        <w:t>根据《关于开展20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/>
        </w:rPr>
        <w:t>年度部门整体、项目支出预算绩效评价工作的通知》文件精神，文化馆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认真组织开展了部门整体支出绩效评价工作，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从评价情况来看，效果良好，能积极组织群众文化活动，繁荣群众文化事业，对文化宣传、文艺创作、理论研究、培训辅导、非遗保护等做出了应有的成绩。</w:t>
      </w:r>
    </w:p>
    <w:p w14:paraId="72327249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绩效评价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/>
        </w:rPr>
        <w:t>得分：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/>
        </w:rPr>
        <w:t>分。</w:t>
      </w:r>
    </w:p>
    <w:p w14:paraId="481467F8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shd w:val="clear" w:fill="FFFFFF"/>
          <w:lang w:val="zh-CN" w:eastAsia="zh-CN" w:bidi="ar-SA"/>
        </w:rPr>
        <w:t>（二）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存在问题。</w:t>
      </w:r>
    </w:p>
    <w:p w14:paraId="1098409A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43434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</w:rPr>
        <w:t>财政预算安排经费不足，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eastAsia="zh-CN"/>
        </w:rPr>
        <w:t>难以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</w:rPr>
        <w:t>足额保障开展工作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43434"/>
          <w:spacing w:val="0"/>
          <w:sz w:val="32"/>
          <w:szCs w:val="32"/>
          <w:shd w:val="clear" w:fill="FFFFFF"/>
        </w:rPr>
        <w:t>不能满足群众日益增长的文化需求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43434"/>
          <w:spacing w:val="0"/>
          <w:sz w:val="32"/>
          <w:szCs w:val="32"/>
          <w:shd w:val="clear" w:fill="FFFFFF"/>
          <w:lang w:eastAsia="zh-CN"/>
        </w:rPr>
        <w:t>。</w:t>
      </w:r>
    </w:p>
    <w:p w14:paraId="3F16C0D4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jc w:val="both"/>
        <w:textAlignment w:val="auto"/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shd w:val="clear" w:fill="FFFFFF"/>
          <w:lang w:val="zh-CN" w:eastAsia="zh-CN" w:bidi="ar-SA"/>
        </w:rPr>
        <w:t>（三）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改进建议。</w:t>
      </w:r>
    </w:p>
    <w:p w14:paraId="431C8E4D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合理制定绩效目标，做好预算编制工作。加强与其他县市单位之间业务交流，严格财务审核，健全单位财务管理制度体系，规范单位财务行为。在费用报账支付时，按照预算规定的费用项目和用途进行资金使用审核、列报支付、财务核算，杜绝超支现象的发生。</w:t>
      </w:r>
    </w:p>
    <w:p w14:paraId="0AB3BDDE">
      <w:pPr>
        <w:keepNext w:val="0"/>
        <w:keepLines w:val="0"/>
        <w:pageBreakBefore w:val="0"/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41" w:right="1468" w:bottom="1587" w:left="1468" w:header="851" w:footer="992" w:gutter="0"/>
      <w:pgNumType w:fmt="decimal" w:start="1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8B016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24DD2BB">
                <w:pPr>
                  <w:pStyle w:val="7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- 12 -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2A2E0">
    <w:pPr>
      <w:pStyle w:val="7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14:paraId="791F5BCC">
    <w:pPr>
      <w:pStyle w:val="7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8875D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936F7"/>
    <w:multiLevelType w:val="singleLevel"/>
    <w:tmpl w:val="DF8936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4039D28"/>
    <w:multiLevelType w:val="singleLevel"/>
    <w:tmpl w:val="64039D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2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C0174"/>
    <w:rsid w:val="00006E4D"/>
    <w:rsid w:val="00021652"/>
    <w:rsid w:val="00030311"/>
    <w:rsid w:val="00030782"/>
    <w:rsid w:val="00030B66"/>
    <w:rsid w:val="00052572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27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69C6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D76D5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57793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C6A76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75421"/>
    <w:rsid w:val="00782BBB"/>
    <w:rsid w:val="007A0690"/>
    <w:rsid w:val="007A078F"/>
    <w:rsid w:val="007B34D4"/>
    <w:rsid w:val="007C0633"/>
    <w:rsid w:val="007D086C"/>
    <w:rsid w:val="007F1BE1"/>
    <w:rsid w:val="007F637D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0337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92716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00BB4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37F7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C0839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946B2A"/>
    <w:rsid w:val="0F702DCC"/>
    <w:rsid w:val="0FFE5BEF"/>
    <w:rsid w:val="10B71B4A"/>
    <w:rsid w:val="13A458BC"/>
    <w:rsid w:val="13E94EDC"/>
    <w:rsid w:val="19927F78"/>
    <w:rsid w:val="21AE59D8"/>
    <w:rsid w:val="286F56EA"/>
    <w:rsid w:val="29FB0312"/>
    <w:rsid w:val="2D527252"/>
    <w:rsid w:val="2D7A67E5"/>
    <w:rsid w:val="329102D6"/>
    <w:rsid w:val="357F67EE"/>
    <w:rsid w:val="3A9520B3"/>
    <w:rsid w:val="3DE562B7"/>
    <w:rsid w:val="3E6507EA"/>
    <w:rsid w:val="41C74395"/>
    <w:rsid w:val="42DC31A4"/>
    <w:rsid w:val="47550EBA"/>
    <w:rsid w:val="4A0F35DD"/>
    <w:rsid w:val="50BB3388"/>
    <w:rsid w:val="56C4335F"/>
    <w:rsid w:val="649A4F60"/>
    <w:rsid w:val="6636451A"/>
    <w:rsid w:val="67C813A0"/>
    <w:rsid w:val="6BE94116"/>
    <w:rsid w:val="6F174C8F"/>
    <w:rsid w:val="767C5EF1"/>
    <w:rsid w:val="78916378"/>
    <w:rsid w:val="7BC20073"/>
    <w:rsid w:val="7C631402"/>
    <w:rsid w:val="7DCC0F6E"/>
    <w:rsid w:val="7E140770"/>
    <w:rsid w:val="7FFB739A"/>
    <w:rsid w:val="9BFF6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qFormat="1" w:unhideWhenUsed="0" w:uiPriority="0" w:semiHidden="0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Document Map"/>
    <w:basedOn w:val="1"/>
    <w:link w:val="13"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next w:val="5"/>
    <w:qFormat/>
    <w:locked/>
    <w:uiPriority w:val="0"/>
    <w:pPr>
      <w:spacing w:after="120"/>
    </w:pPr>
    <w:rPr>
      <w:rFonts w:ascii="Times New Roman" w:hAnsi="Times New Roman" w:eastAsia="宋体" w:cs="Times New Roman"/>
      <w:kern w:val="1"/>
      <w:sz w:val="32"/>
      <w:szCs w:val="24"/>
    </w:rPr>
  </w:style>
  <w:style w:type="paragraph" w:styleId="5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6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文档结构图 Char"/>
    <w:link w:val="3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4">
    <w:name w:val="批注框文本 Char"/>
    <w:link w:val="6"/>
    <w:semiHidden/>
    <w:qFormat/>
    <w:locked/>
    <w:uiPriority w:val="99"/>
    <w:rPr>
      <w:rFonts w:cs="Times New Roman"/>
      <w:sz w:val="2"/>
    </w:rPr>
  </w:style>
  <w:style w:type="character" w:customStyle="1" w:styleId="15">
    <w:name w:val="页脚 Char"/>
    <w:link w:val="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"/>
    <w:link w:val="8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四号正文"/>
    <w:basedOn w:val="1"/>
    <w:link w:val="18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8">
    <w:name w:val="四号正文 Char"/>
    <w:link w:val="17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9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contractReview xmlns="http://schemas.wps.cn/vas-ai-hub/contract-review">
  <reviewItems>
    <reviewItem>
      <errorID>14fdc0b9-9ef2-476c-96a6-99f22a249ed8</errorID>
      <errorWord>县委县政府</errorWord>
      <group>L1_Political</group>
      <groupName>政治性问题</groupName>
      <ability>L2_Keyword</ability>
      <abilityName>固定表述</abilityName>
      <candidateList>
        <item>县委、县政府</item>
      </candidateList>
      <explain>注意检查当前固定表述标点是否使用规范。</explain>
      <paraID>6A8FA665</paraID>
      <start>105</start>
      <end>111</end>
      <status>modified</status>
      <modifiedWord>县委、县政府</modifiedWord>
      <trackRevisions>false</trackRevisions>
    </reviewItem>
    <reviewItem>
      <errorID>b92a7d65-7c8b-4e6b-904b-8defb89ac4e2</errorID>
      <errorWord>文化馆</errorWord>
      <group>L1_Word</group>
      <groupName>字词问题</groupName>
      <ability>L2_Typo</ability>
      <abilityName>字词错误</abilityName>
      <candidateList>
        <item>文化</item>
      </candidateList>
      <explain/>
      <paraID>26AFE21D</paraID>
      <start>4</start>
      <end>6</end>
      <status>modified</status>
      <modifiedWord>文化</modifiedWord>
      <trackRevisions>false</trackRevisions>
    </reviewItem>
    <reviewItem>
      <errorID>352a374d-3808-4e66-a4b4-ea34f38f4e6f</errorID>
      <errorWord>、</errorWord>
      <group>L1_Word</group>
      <groupName>字词问题</groupName>
      <ability>L2_Typo</ability>
      <abilityName>字词错误</abilityName>
      <candidateList>
        <item>、以</item>
      </candidateList>
      <explain/>
      <paraID>40B0F02C</paraID>
      <start>103</start>
      <end>105</end>
      <status>modified</status>
      <modifiedWord>、以</modifiedWord>
      <trackRevisions>false</trackRevisions>
    </reviewItem>
    <reviewItem>
      <errorID>579cba7a-fb79-470f-a3cc-c0d86d777c38</errorID>
      <errorWord>--</errorWord>
      <group>L1_Punc</group>
      <groupName>标点问题</groupName>
      <ability>L2_Punc</ability>
      <abilityName>标点符号检查</abilityName>
      <candidateList>
        <item>——</item>
      </candidateList>
      <explain>破折号或连接号疑似使用错误。</explain>
      <paraID>78921133</paraID>
      <start>35</start>
      <end>37</end>
      <status>modified</status>
      <modifiedWord>——</modifiedWord>
      <trackRevisions>false</trackRevisions>
    </reviewItem>
    <reviewItem>
      <errorID>82635ea1-6e81-4326-9119-0fcafdac405b</errorID>
      <errorWord>作</errorWord>
      <group>L1_Word</group>
      <groupName>字词问题</groupName>
      <ability>L2_Typo</ability>
      <abilityName>字词错误</abilityName>
      <candidateList>
        <item>作品</item>
      </candidateList>
      <explain/>
      <paraID>78921133</paraID>
      <start>102</start>
      <end>104</end>
      <status>modified</status>
      <modifiedWord>作品</modifiedWord>
      <trackRevisions>false</trackRevisions>
    </reviewItem>
    <reviewItem>
      <errorID>c26be192-a4f2-4348-867c-a498dca2ea3b</errorID>
      <errorWord>镇乡</errorWord>
      <group>L1_Word</group>
      <groupName>字词问题</groupName>
      <ability>L2_Typo</ability>
      <abilityName>字词错误</abilityName>
      <candidateList>
        <item>乡镇</item>
      </candidateList>
      <explain/>
      <paraID>7B287FD0</paraID>
      <start>27</start>
      <end>29</end>
      <status>modified</status>
      <modifiedWord>乡镇</modifiedWord>
      <trackRevisions>false</trackRevisions>
    </reviewItem>
    <reviewItem>
      <errorID>d9e31029-9c49-4280-a3d0-b5934d2c8f97</errorID>
      <errorWord>、”</errorWord>
      <group>L1_Punc</group>
      <groupName>标点问题</groupName>
      <ability>L2_Punc</ability>
      <abilityName>标点符号检查</abilityName>
      <candidateList>
        <item>”</item>
      </candidateList>
      <explain/>
      <paraID>7B287FD0</paraID>
      <start>91</start>
      <end>92</end>
      <status>modified</status>
      <modifiedWord>”</modifiedWord>
      <trackRevisions>false</trackRevisions>
    </reviewItem>
    <reviewItem>
      <errorID>fe83868b-76de-4fd7-b7ea-3485d7f03120</errorID>
      <errorWord>镇乡</errorWord>
      <group>L1_Word</group>
      <groupName>字词问题</groupName>
      <ability>L2_Typo</ability>
      <abilityName>字词错误</abilityName>
      <candidateList>
        <item>乡镇</item>
      </candidateList>
      <explain/>
      <paraID>376FDE11</paraID>
      <start>59</start>
      <end>61</end>
      <status>modified</status>
      <modifiedWord>乡镇</modifiedWord>
      <trackRevisions>false</trackRevisions>
    </reviewItem>
    <reviewItem>
      <errorID>f7ed7e47-cb5f-4fc3-aa2e-e00bbe60b261</errorID>
      <errorWord>难于</errorWord>
      <group>L1_Word</group>
      <groupName>字词问题</groupName>
      <ability>L2_Typo</ability>
      <abilityName>字词错误</abilityName>
      <candidateList>
        <item>难以</item>
      </candidateList>
      <explain>〈动〉难于：～形容｜～置信｜心情～平静。</explain>
      <paraID>1098409A</paraID>
      <start>11</start>
      <end>13</end>
      <status>modified</status>
      <modifiedWord>难以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1302e0-4ba8-49a6-9c05-196edbf2b3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9</Pages>
  <Words>3926</Words>
  <Characters>4043</Characters>
  <Lines>3</Lines>
  <Paragraphs>1</Paragraphs>
  <TotalTime>11</TotalTime>
  <ScaleCrop>false</ScaleCrop>
  <LinksUpToDate>false</LinksUpToDate>
  <CharactersWithSpaces>4056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碧云天</cp:lastModifiedBy>
  <cp:lastPrinted>2025-07-08T02:30:00Z</cp:lastPrinted>
  <dcterms:modified xsi:type="dcterms:W3CDTF">2025-11-28T08:34:33Z</dcterms:modified>
  <dc:title>区域性就业培训基地建设项目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eyJoZGlkIjoiNzI2ZGI0OGUzMDAzMzk0YmE1OTYyMDVlZGMwMmYyODYiLCJ1c2VySWQiOiIxMTM5NjM2MTk5In0=</vt:lpwstr>
  </property>
  <property fmtid="{D5CDD505-2E9C-101B-9397-08002B2CF9AE}" pid="4" name="ICV">
    <vt:lpwstr>CCE6F09124C448158D8CE2CAD72C850E_12</vt:lpwstr>
  </property>
</Properties>
</file>