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3FCFF">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16A37824">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峨边彝族自治县文化馆</w:t>
      </w:r>
    </w:p>
    <w:p w14:paraId="576B3964">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 xml:space="preserve">   2025年部门预算</w:t>
      </w:r>
    </w:p>
    <w:p w14:paraId="4F98E9B1">
      <w:pPr>
        <w:jc w:val="center"/>
        <w:rPr>
          <w:rFonts w:hint="eastAsia" w:ascii="方正小标宋简体" w:hAnsi="方正小标宋简体" w:eastAsia="方正小标宋简体" w:cs="方正小标宋简体"/>
          <w:b w:val="0"/>
          <w:bCs/>
          <w:sz w:val="52"/>
          <w:szCs w:val="52"/>
          <w:lang w:val="en-US" w:eastAsia="zh-CN"/>
        </w:rPr>
      </w:pPr>
    </w:p>
    <w:p w14:paraId="1DFECBED">
      <w:pPr>
        <w:jc w:val="both"/>
        <w:rPr>
          <w:rFonts w:hint="default"/>
          <w:b/>
          <w:bCs/>
          <w:sz w:val="52"/>
          <w:szCs w:val="52"/>
          <w:lang w:val="en-US" w:eastAsia="zh-CN"/>
        </w:rPr>
      </w:pPr>
    </w:p>
    <w:p w14:paraId="260E0020">
      <w:pPr>
        <w:jc w:val="both"/>
        <w:rPr>
          <w:rFonts w:hint="default"/>
          <w:b/>
          <w:bCs/>
          <w:sz w:val="52"/>
          <w:szCs w:val="52"/>
          <w:lang w:val="en-US" w:eastAsia="zh-CN"/>
        </w:rPr>
      </w:pPr>
    </w:p>
    <w:p w14:paraId="475E2F2D">
      <w:pPr>
        <w:jc w:val="both"/>
        <w:rPr>
          <w:rFonts w:hint="default"/>
          <w:b/>
          <w:bCs/>
          <w:sz w:val="52"/>
          <w:szCs w:val="52"/>
          <w:lang w:val="en-US" w:eastAsia="zh-CN"/>
        </w:rPr>
      </w:pPr>
    </w:p>
    <w:p w14:paraId="0477E379">
      <w:pPr>
        <w:jc w:val="center"/>
        <w:rPr>
          <w:rFonts w:hint="eastAsia" w:ascii="方正小标宋简体" w:hAnsi="方正小标宋简体" w:eastAsia="方正小标宋简体" w:cs="方正小标宋简体"/>
          <w:b w:val="0"/>
          <w:bCs w:val="0"/>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峨边彝族自治县文化馆</w:t>
      </w:r>
    </w:p>
    <w:p w14:paraId="3B9FCC0A">
      <w:pPr>
        <w:ind w:left="0" w:leftChars="0" w:firstLine="0" w:firstLineChars="0"/>
        <w:jc w:val="both"/>
        <w:rPr>
          <w:rFonts w:hint="default"/>
          <w:b/>
          <w:bCs/>
          <w:sz w:val="32"/>
          <w:szCs w:val="32"/>
          <w:lang w:val="en-US" w:eastAsia="zh-CN"/>
        </w:rPr>
      </w:pPr>
    </w:p>
    <w:p w14:paraId="61A74FB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2025年5月16日</w:t>
      </w:r>
    </w:p>
    <w:p w14:paraId="0DB553DE">
      <w:pPr>
        <w:jc w:val="both"/>
        <w:rPr>
          <w:rFonts w:hint="eastAsia"/>
          <w:b/>
          <w:bCs/>
          <w:sz w:val="32"/>
          <w:szCs w:val="32"/>
          <w:lang w:val="en-US" w:eastAsia="zh-CN"/>
        </w:rPr>
      </w:pPr>
    </w:p>
    <w:p w14:paraId="44FE5734">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5E5DDF8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w:t>
      </w:r>
      <w:r>
        <w:rPr>
          <w:rFonts w:hint="eastAsia" w:ascii="黑体" w:hAnsi="黑体" w:eastAsia="黑体" w:cs="黑体"/>
          <w:b w:val="0"/>
          <w:bCs w:val="0"/>
          <w:color w:val="000000" w:themeColor="text1"/>
          <w:sz w:val="32"/>
          <w:szCs w:val="32"/>
          <w:lang w:val="en-US" w:eastAsia="zh-CN"/>
          <w14:textFill>
            <w14:solidFill>
              <w14:schemeClr w14:val="tx1"/>
            </w14:solidFill>
          </w14:textFill>
        </w:rPr>
        <w:t xml:space="preserve"> 峨边文化馆</w:t>
      </w:r>
      <w:r>
        <w:rPr>
          <w:rFonts w:hint="eastAsia" w:ascii="黑体" w:hAnsi="黑体" w:eastAsia="黑体" w:cs="黑体"/>
          <w:b w:val="0"/>
          <w:bCs w:val="0"/>
          <w:sz w:val="32"/>
          <w:szCs w:val="32"/>
          <w:lang w:val="en-US" w:eastAsia="zh-CN"/>
        </w:rPr>
        <w:t>概况</w:t>
      </w:r>
    </w:p>
    <w:p w14:paraId="7CDBF43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1A251CA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2B41D4E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峨边文化馆2025年部门预算表</w:t>
      </w:r>
    </w:p>
    <w:p w14:paraId="135B50E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284AAB3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54DDBE8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2DB7FED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7DC6351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22275EE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77F3F0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1928787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33742C6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74E61FB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6D0669A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20453EA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15EC732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714C90B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445DB84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9826F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color w:val="000000" w:themeColor="text1"/>
          <w:sz w:val="32"/>
          <w:szCs w:val="32"/>
          <w:lang w:val="en-US" w:eastAsia="zh-CN"/>
          <w14:textFill>
            <w14:solidFill>
              <w14:schemeClr w14:val="tx1"/>
            </w14:solidFill>
          </w14:textFill>
        </w:rPr>
        <w:t>峨边文化馆</w:t>
      </w:r>
      <w:r>
        <w:rPr>
          <w:rFonts w:hint="eastAsia" w:ascii="黑体" w:hAnsi="黑体" w:eastAsia="黑体" w:cs="黑体"/>
          <w:b w:val="0"/>
          <w:bCs w:val="0"/>
          <w:sz w:val="32"/>
          <w:szCs w:val="32"/>
          <w:lang w:val="en-US" w:eastAsia="zh-CN"/>
        </w:rPr>
        <w:t>2025年部门预算情况说明</w:t>
      </w:r>
    </w:p>
    <w:p w14:paraId="2A67804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472FDC74">
      <w:pPr>
        <w:pStyle w:val="2"/>
        <w:numPr>
          <w:ilvl w:val="0"/>
          <w:numId w:val="0"/>
        </w:numPr>
        <w:bidi w:val="0"/>
        <w:jc w:val="both"/>
        <w:rPr>
          <w:rFonts w:hint="default"/>
          <w:lang w:val="en-US" w:eastAsia="zh-CN"/>
        </w:rPr>
      </w:pPr>
    </w:p>
    <w:p w14:paraId="56479896">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峨边彝族自治县文化馆概况</w:t>
      </w:r>
    </w:p>
    <w:p w14:paraId="27F0ACF7">
      <w:pPr>
        <w:widowControl w:val="0"/>
        <w:numPr>
          <w:ilvl w:val="0"/>
          <w:numId w:val="0"/>
        </w:numPr>
        <w:jc w:val="both"/>
        <w:rPr>
          <w:rFonts w:hint="default"/>
          <w:b/>
          <w:bCs/>
          <w:sz w:val="52"/>
          <w:szCs w:val="52"/>
          <w:lang w:val="en-US" w:eastAsia="zh-CN"/>
        </w:rPr>
      </w:pPr>
    </w:p>
    <w:p w14:paraId="706F3ECF">
      <w:pPr>
        <w:widowControl w:val="0"/>
        <w:numPr>
          <w:ilvl w:val="0"/>
          <w:numId w:val="0"/>
        </w:numPr>
        <w:jc w:val="both"/>
        <w:rPr>
          <w:rFonts w:hint="default"/>
          <w:b/>
          <w:bCs/>
          <w:sz w:val="52"/>
          <w:szCs w:val="52"/>
          <w:lang w:val="en-US" w:eastAsia="zh-CN"/>
        </w:rPr>
      </w:pPr>
    </w:p>
    <w:p w14:paraId="34B99B82">
      <w:pPr>
        <w:widowControl w:val="0"/>
        <w:numPr>
          <w:ilvl w:val="0"/>
          <w:numId w:val="0"/>
        </w:numPr>
        <w:jc w:val="both"/>
        <w:rPr>
          <w:rFonts w:hint="default"/>
          <w:b/>
          <w:bCs/>
          <w:sz w:val="52"/>
          <w:szCs w:val="52"/>
          <w:lang w:val="en-US" w:eastAsia="zh-CN"/>
        </w:rPr>
      </w:pPr>
    </w:p>
    <w:p w14:paraId="49C6DED8">
      <w:pPr>
        <w:widowControl w:val="0"/>
        <w:numPr>
          <w:ilvl w:val="0"/>
          <w:numId w:val="0"/>
        </w:numPr>
        <w:jc w:val="both"/>
        <w:rPr>
          <w:rFonts w:hint="default"/>
          <w:b/>
          <w:bCs/>
          <w:sz w:val="52"/>
          <w:szCs w:val="52"/>
          <w:lang w:val="en-US" w:eastAsia="zh-CN"/>
        </w:rPr>
      </w:pPr>
    </w:p>
    <w:p w14:paraId="644E5D4C">
      <w:pPr>
        <w:widowControl w:val="0"/>
        <w:numPr>
          <w:ilvl w:val="0"/>
          <w:numId w:val="0"/>
        </w:numPr>
        <w:jc w:val="both"/>
        <w:rPr>
          <w:rFonts w:hint="default"/>
          <w:b/>
          <w:bCs/>
          <w:sz w:val="52"/>
          <w:szCs w:val="52"/>
          <w:lang w:val="en-US" w:eastAsia="zh-CN"/>
        </w:rPr>
      </w:pPr>
    </w:p>
    <w:p w14:paraId="52041922">
      <w:pPr>
        <w:widowControl w:val="0"/>
        <w:numPr>
          <w:ilvl w:val="0"/>
          <w:numId w:val="0"/>
        </w:numPr>
        <w:jc w:val="both"/>
        <w:rPr>
          <w:rFonts w:hint="default"/>
          <w:b/>
          <w:bCs/>
          <w:sz w:val="52"/>
          <w:szCs w:val="52"/>
          <w:lang w:val="en-US" w:eastAsia="zh-CN"/>
        </w:rPr>
      </w:pPr>
    </w:p>
    <w:p w14:paraId="22AE8174">
      <w:pPr>
        <w:bidi w:val="0"/>
        <w:rPr>
          <w:rFonts w:hint="eastAsia" w:ascii="黑体" w:hAnsi="黑体" w:eastAsia="黑体" w:cs="黑体"/>
          <w:lang w:val="en-US" w:eastAsia="zh-CN"/>
        </w:rPr>
      </w:pPr>
    </w:p>
    <w:p w14:paraId="5B9716A4">
      <w:pPr>
        <w:bidi w:val="0"/>
        <w:rPr>
          <w:rFonts w:hint="eastAsia" w:ascii="黑体" w:hAnsi="黑体" w:eastAsia="黑体" w:cs="黑体"/>
          <w:lang w:val="en-US" w:eastAsia="zh-CN"/>
        </w:rPr>
      </w:pPr>
    </w:p>
    <w:p w14:paraId="601FCA24">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664A394D">
      <w:pPr>
        <w:bidi w:val="0"/>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（一）职能简介：</w:t>
      </w:r>
      <w:r>
        <w:rPr>
          <w:rFonts w:hint="eastAsia" w:ascii="仿宋" w:hAnsi="仿宋" w:eastAsia="仿宋" w:cs="仿宋"/>
          <w:sz w:val="32"/>
          <w:szCs w:val="32"/>
          <w:lang w:val="en-US" w:eastAsia="zh-CN"/>
        </w:rPr>
        <w:t>根据自治县人民政府批准的三定方案，我单位主要职责是：组织群众文化活动，繁荣群众文化事业，文化宣传、文艺活动组织、村文化事业指导、文化交流、大众科普资料编辑、民族民间文化艺术遗产收集保护、文化馆、图书馆免费开放、免费培训等。</w:t>
      </w:r>
    </w:p>
    <w:p w14:paraId="0D767E51">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重点工作任务介绍：1.持续创新群众文化建设，开展各类免费培训、公益讲座、展览等群众文化活动，进一步夯实基础；抓好文艺创作，打造特色文化品牌；深度挖掘我县特色非遗项目，做好保护、传承、宣传工作。</w:t>
      </w:r>
    </w:p>
    <w:p w14:paraId="372B58A9">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2.提升打造歌曲《尼木泽》争取在2025年进入全国群星奖舞台，取得更加优秀的成绩。</w:t>
      </w:r>
    </w:p>
    <w:p w14:paraId="721A9605">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3.出版发行馆办刊物《甘嫫阿妞文化》2期。</w:t>
      </w:r>
    </w:p>
    <w:p w14:paraId="3A6EAAEF">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4.挖掘地域特色文化，创作更多书画、摄影、舞蹈、音乐等艺术作品亮相各级文艺舞台。</w:t>
      </w:r>
    </w:p>
    <w:p w14:paraId="6ED85B7A">
      <w:pPr>
        <w:bidi w:val="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5.完成2025年第六次全国文化馆评估定级工作。</w:t>
      </w:r>
    </w:p>
    <w:p w14:paraId="7A5CF293">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1757C474">
      <w:pPr>
        <w:bidi w:val="0"/>
        <w:rPr>
          <w:rFonts w:hint="eastAsia" w:ascii="仿宋" w:hAnsi="仿宋" w:eastAsia="仿宋"/>
          <w:sz w:val="32"/>
          <w:szCs w:val="32"/>
        </w:rPr>
      </w:pPr>
      <w:r>
        <w:rPr>
          <w:rFonts w:hint="eastAsia" w:ascii="仿宋" w:hAnsi="仿宋"/>
          <w:sz w:val="32"/>
          <w:szCs w:val="32"/>
          <w:lang w:eastAsia="zh-CN"/>
        </w:rPr>
        <w:t>峨边彝族自治县文化馆</w:t>
      </w:r>
      <w:r>
        <w:rPr>
          <w:rFonts w:hint="eastAsia" w:ascii="仿宋" w:hAnsi="仿宋" w:eastAsia="仿宋"/>
          <w:sz w:val="32"/>
          <w:szCs w:val="32"/>
        </w:rPr>
        <w:t>预算单位</w:t>
      </w:r>
      <w:r>
        <w:rPr>
          <w:rFonts w:hint="eastAsia" w:ascii="仿宋" w:hAnsi="仿宋"/>
          <w:sz w:val="32"/>
          <w:szCs w:val="32"/>
          <w:lang w:val="en-US" w:eastAsia="zh-CN"/>
        </w:rPr>
        <w:t>1</w:t>
      </w:r>
      <w:r>
        <w:rPr>
          <w:rFonts w:hint="eastAsia" w:ascii="仿宋" w:hAnsi="仿宋" w:eastAsia="仿宋"/>
          <w:sz w:val="32"/>
          <w:szCs w:val="32"/>
        </w:rPr>
        <w:t>个，其中：行政单位</w:t>
      </w:r>
      <w:r>
        <w:rPr>
          <w:rFonts w:hint="eastAsia" w:ascii="仿宋" w:hAnsi="仿宋"/>
          <w:sz w:val="32"/>
          <w:szCs w:val="32"/>
          <w:lang w:val="en-US" w:eastAsia="zh-CN"/>
        </w:rPr>
        <w:t>0</w:t>
      </w:r>
      <w:r>
        <w:rPr>
          <w:rFonts w:hint="eastAsia" w:ascii="仿宋" w:hAnsi="仿宋" w:eastAsia="仿宋"/>
          <w:sz w:val="32"/>
          <w:szCs w:val="32"/>
        </w:rPr>
        <w:t>个，事业单位</w:t>
      </w:r>
      <w:r>
        <w:rPr>
          <w:rFonts w:hint="eastAsia" w:ascii="仿宋" w:hAnsi="仿宋"/>
          <w:sz w:val="32"/>
          <w:szCs w:val="32"/>
          <w:lang w:val="en-US" w:eastAsia="zh-CN"/>
        </w:rPr>
        <w:t>1</w:t>
      </w:r>
      <w:r>
        <w:rPr>
          <w:rFonts w:hint="eastAsia" w:ascii="仿宋" w:hAnsi="仿宋" w:eastAsia="仿宋"/>
          <w:sz w:val="32"/>
          <w:szCs w:val="32"/>
        </w:rPr>
        <w:t>个。</w:t>
      </w:r>
    </w:p>
    <w:p w14:paraId="398ED0E4">
      <w:pPr>
        <w:bidi w:val="0"/>
        <w:rPr>
          <w:rFonts w:hint="eastAsia" w:ascii="仿宋" w:hAnsi="仿宋" w:eastAsia="仿宋"/>
          <w:sz w:val="32"/>
          <w:szCs w:val="32"/>
        </w:rPr>
      </w:pPr>
      <w:r>
        <w:rPr>
          <w:rFonts w:hint="eastAsia" w:ascii="仿宋" w:hAnsi="仿宋"/>
          <w:sz w:val="32"/>
          <w:szCs w:val="32"/>
          <w:lang w:eastAsia="zh-CN"/>
        </w:rPr>
        <w:t>峨边彝族自治县文化馆</w:t>
      </w:r>
      <w:r>
        <w:rPr>
          <w:rFonts w:hint="eastAsia" w:ascii="仿宋" w:hAnsi="仿宋" w:eastAsia="仿宋"/>
          <w:sz w:val="32"/>
          <w:szCs w:val="32"/>
        </w:rPr>
        <w:t>总编制</w:t>
      </w:r>
      <w:r>
        <w:rPr>
          <w:rFonts w:hint="eastAsia" w:ascii="仿宋" w:hAnsi="仿宋"/>
          <w:sz w:val="32"/>
          <w:szCs w:val="32"/>
          <w:lang w:val="en-US" w:eastAsia="zh-CN"/>
        </w:rPr>
        <w:t>12</w:t>
      </w:r>
      <w:r>
        <w:rPr>
          <w:rFonts w:hint="eastAsia" w:ascii="仿宋" w:hAnsi="仿宋" w:eastAsia="仿宋"/>
          <w:sz w:val="32"/>
          <w:szCs w:val="32"/>
        </w:rPr>
        <w:t>名，其中：行政编制</w:t>
      </w:r>
      <w:r>
        <w:rPr>
          <w:rFonts w:hint="eastAsia" w:ascii="仿宋" w:hAnsi="仿宋"/>
          <w:sz w:val="32"/>
          <w:szCs w:val="32"/>
          <w:lang w:val="en-US" w:eastAsia="zh-CN"/>
        </w:rPr>
        <w:t>0</w:t>
      </w:r>
      <w:r>
        <w:rPr>
          <w:rFonts w:hint="eastAsia" w:ascii="仿宋" w:hAnsi="仿宋" w:eastAsia="仿宋"/>
          <w:sz w:val="32"/>
          <w:szCs w:val="32"/>
        </w:rPr>
        <w:t>名，工勤编制</w:t>
      </w:r>
      <w:r>
        <w:rPr>
          <w:rFonts w:hint="eastAsia" w:ascii="仿宋" w:hAnsi="仿宋"/>
          <w:sz w:val="32"/>
          <w:szCs w:val="32"/>
          <w:lang w:val="en-US" w:eastAsia="zh-CN"/>
        </w:rPr>
        <w:t>0</w:t>
      </w:r>
      <w:r>
        <w:rPr>
          <w:rFonts w:hint="eastAsia" w:ascii="仿宋" w:hAnsi="仿宋" w:eastAsia="仿宋"/>
          <w:sz w:val="32"/>
          <w:szCs w:val="32"/>
        </w:rPr>
        <w:t>名，事业编制</w:t>
      </w:r>
      <w:r>
        <w:rPr>
          <w:rFonts w:hint="eastAsia" w:ascii="仿宋" w:hAnsi="仿宋"/>
          <w:sz w:val="32"/>
          <w:szCs w:val="32"/>
          <w:lang w:val="en-US" w:eastAsia="zh-CN"/>
        </w:rPr>
        <w:t>12</w:t>
      </w:r>
      <w:r>
        <w:rPr>
          <w:rFonts w:hint="eastAsia" w:ascii="仿宋" w:hAnsi="仿宋" w:eastAsia="仿宋"/>
          <w:sz w:val="32"/>
          <w:szCs w:val="32"/>
        </w:rPr>
        <w:t>名。在职人员总数</w:t>
      </w:r>
      <w:r>
        <w:rPr>
          <w:rFonts w:hint="eastAsia" w:ascii="仿宋" w:hAnsi="仿宋"/>
          <w:sz w:val="32"/>
          <w:szCs w:val="32"/>
          <w:lang w:val="en-US" w:eastAsia="zh-CN"/>
        </w:rPr>
        <w:t>9</w:t>
      </w:r>
      <w:r>
        <w:rPr>
          <w:rFonts w:hint="eastAsia" w:ascii="仿宋" w:hAnsi="仿宋" w:eastAsia="仿宋"/>
          <w:sz w:val="32"/>
          <w:szCs w:val="32"/>
        </w:rPr>
        <w:t>名，其中：行政</w:t>
      </w:r>
      <w:r>
        <w:rPr>
          <w:rFonts w:hint="eastAsia" w:ascii="仿宋" w:hAnsi="仿宋"/>
          <w:sz w:val="32"/>
          <w:szCs w:val="32"/>
          <w:lang w:val="en-US" w:eastAsia="zh-CN"/>
        </w:rPr>
        <w:t>0</w:t>
      </w:r>
      <w:r>
        <w:rPr>
          <w:rFonts w:hint="eastAsia" w:ascii="仿宋" w:hAnsi="仿宋" w:eastAsia="仿宋"/>
          <w:sz w:val="32"/>
          <w:szCs w:val="32"/>
        </w:rPr>
        <w:t>名，工勤</w:t>
      </w:r>
      <w:r>
        <w:rPr>
          <w:rFonts w:hint="eastAsia" w:ascii="仿宋" w:hAnsi="仿宋"/>
          <w:sz w:val="32"/>
          <w:szCs w:val="32"/>
          <w:lang w:val="en-US" w:eastAsia="zh-CN"/>
        </w:rPr>
        <w:t>0</w:t>
      </w:r>
      <w:r>
        <w:rPr>
          <w:rFonts w:hint="eastAsia" w:ascii="仿宋" w:hAnsi="仿宋" w:eastAsia="仿宋"/>
          <w:sz w:val="32"/>
          <w:szCs w:val="32"/>
        </w:rPr>
        <w:t>名，事业</w:t>
      </w:r>
      <w:r>
        <w:rPr>
          <w:rFonts w:hint="eastAsia" w:ascii="仿宋" w:hAnsi="仿宋"/>
          <w:sz w:val="32"/>
          <w:szCs w:val="32"/>
          <w:lang w:val="en-US" w:eastAsia="zh-CN"/>
        </w:rPr>
        <w:t>9</w:t>
      </w:r>
      <w:r>
        <w:rPr>
          <w:rFonts w:hint="eastAsia" w:ascii="仿宋" w:hAnsi="仿宋" w:eastAsia="仿宋"/>
          <w:sz w:val="32"/>
          <w:szCs w:val="32"/>
        </w:rPr>
        <w:t>名。离休</w:t>
      </w:r>
      <w:r>
        <w:rPr>
          <w:rFonts w:hint="eastAsia" w:ascii="仿宋" w:hAnsi="仿宋"/>
          <w:sz w:val="32"/>
          <w:szCs w:val="32"/>
          <w:lang w:val="en-US" w:eastAsia="zh-CN"/>
        </w:rPr>
        <w:t>0</w:t>
      </w:r>
      <w:r>
        <w:rPr>
          <w:rFonts w:hint="eastAsia" w:ascii="仿宋" w:hAnsi="仿宋" w:eastAsia="仿宋"/>
          <w:sz w:val="32"/>
          <w:szCs w:val="32"/>
        </w:rPr>
        <w:t>名。</w:t>
      </w:r>
    </w:p>
    <w:p w14:paraId="62A5DDB8">
      <w:pPr>
        <w:spacing w:line="600" w:lineRule="exact"/>
        <w:ind w:firstLine="640" w:firstLineChars="200"/>
        <w:rPr>
          <w:rFonts w:hint="eastAsia" w:ascii="仿宋" w:hAnsi="仿宋" w:eastAsia="仿宋"/>
          <w:sz w:val="32"/>
          <w:szCs w:val="32"/>
        </w:rPr>
      </w:pPr>
    </w:p>
    <w:p w14:paraId="4D6F8E04">
      <w:pPr>
        <w:spacing w:line="600" w:lineRule="exact"/>
        <w:ind w:firstLine="640" w:firstLineChars="200"/>
        <w:rPr>
          <w:rFonts w:hint="eastAsia" w:ascii="仿宋" w:hAnsi="仿宋" w:eastAsia="仿宋"/>
          <w:sz w:val="32"/>
          <w:szCs w:val="32"/>
        </w:rPr>
      </w:pPr>
    </w:p>
    <w:p w14:paraId="4D1727C9">
      <w:pPr>
        <w:spacing w:line="600" w:lineRule="exact"/>
        <w:ind w:firstLine="640" w:firstLineChars="200"/>
        <w:rPr>
          <w:rFonts w:hint="eastAsia" w:ascii="仿宋" w:hAnsi="仿宋" w:eastAsia="仿宋"/>
          <w:sz w:val="32"/>
          <w:szCs w:val="32"/>
        </w:rPr>
      </w:pPr>
    </w:p>
    <w:p w14:paraId="05492C6B">
      <w:pPr>
        <w:spacing w:line="600" w:lineRule="exact"/>
        <w:ind w:firstLine="640" w:firstLineChars="200"/>
        <w:rPr>
          <w:rFonts w:hint="eastAsia" w:ascii="仿宋" w:hAnsi="仿宋" w:eastAsia="仿宋"/>
          <w:sz w:val="32"/>
          <w:szCs w:val="32"/>
        </w:rPr>
      </w:pPr>
    </w:p>
    <w:p w14:paraId="25E3AB62">
      <w:pPr>
        <w:spacing w:line="600" w:lineRule="exact"/>
        <w:ind w:firstLine="640" w:firstLineChars="200"/>
        <w:rPr>
          <w:rFonts w:hint="eastAsia" w:ascii="仿宋" w:hAnsi="仿宋" w:eastAsia="仿宋"/>
          <w:sz w:val="32"/>
          <w:szCs w:val="32"/>
        </w:rPr>
      </w:pPr>
    </w:p>
    <w:p w14:paraId="672901D2">
      <w:pPr>
        <w:spacing w:line="600" w:lineRule="exact"/>
        <w:ind w:firstLine="640" w:firstLineChars="200"/>
        <w:rPr>
          <w:rFonts w:hint="eastAsia" w:ascii="仿宋" w:hAnsi="仿宋" w:eastAsia="仿宋"/>
          <w:sz w:val="32"/>
          <w:szCs w:val="32"/>
        </w:rPr>
      </w:pPr>
    </w:p>
    <w:p w14:paraId="1111077F">
      <w:pPr>
        <w:spacing w:line="600" w:lineRule="exact"/>
        <w:ind w:firstLine="640" w:firstLineChars="200"/>
        <w:rPr>
          <w:rFonts w:hint="eastAsia" w:ascii="仿宋" w:hAnsi="仿宋" w:eastAsia="仿宋"/>
          <w:sz w:val="32"/>
          <w:szCs w:val="32"/>
        </w:rPr>
      </w:pPr>
    </w:p>
    <w:p w14:paraId="6CA2413A">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3B4E0EA0">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峨边彝族自治县文化馆</w:t>
      </w:r>
    </w:p>
    <w:p w14:paraId="3521BB50">
      <w:pPr>
        <w:pStyle w:val="3"/>
        <w:numPr>
          <w:ilvl w:val="1"/>
          <w:numId w:val="0"/>
        </w:numPr>
        <w:tabs>
          <w:tab w:val="clear" w:pos="1080"/>
          <w:tab w:val="clear" w:pos="2422"/>
        </w:tabs>
        <w:bidi w:val="0"/>
        <w:jc w:val="center"/>
        <w:rPr>
          <w:rFonts w:hint="default" w:ascii="仿宋" w:hAnsi="仿宋" w:eastAsia="仿宋" w:cs="Times New Roman"/>
          <w:sz w:val="32"/>
          <w:szCs w:val="32"/>
          <w:lang w:val="en-US" w:eastAsia="zh-CN"/>
        </w:rPr>
      </w:pPr>
      <w:r>
        <w:rPr>
          <w:rFonts w:hint="eastAsia" w:ascii="方正小标宋简体" w:hAnsi="方正小标宋简体" w:eastAsia="方正小标宋简体" w:cs="方正小标宋简体"/>
          <w:b w:val="0"/>
          <w:bCs/>
          <w:sz w:val="52"/>
          <w:szCs w:val="52"/>
          <w:lang w:val="en-US" w:eastAsia="zh-CN"/>
        </w:rPr>
        <w:t>2025年部门预算表</w:t>
      </w:r>
    </w:p>
    <w:p w14:paraId="613C1B3F">
      <w:pPr>
        <w:spacing w:line="600" w:lineRule="exact"/>
        <w:ind w:left="0" w:leftChars="0" w:firstLine="0" w:firstLineChars="0"/>
        <w:rPr>
          <w:rFonts w:hint="eastAsia" w:ascii="仿宋_GB2312" w:hAnsi="仿宋_GB2312" w:eastAsia="仿宋_GB2312" w:cs="仿宋_GB2312"/>
          <w:sz w:val="32"/>
          <w:szCs w:val="32"/>
          <w:lang w:val="en-US" w:eastAsia="zh-CN"/>
        </w:rPr>
      </w:pPr>
    </w:p>
    <w:p w14:paraId="1C10AE67">
      <w:pPr>
        <w:spacing w:line="600" w:lineRule="exact"/>
        <w:ind w:left="0" w:leftChars="0" w:firstLine="0" w:firstLineChars="0"/>
        <w:rPr>
          <w:rFonts w:hint="eastAsia" w:ascii="仿宋_GB2312" w:hAnsi="仿宋_GB2312" w:eastAsia="仿宋_GB2312" w:cs="仿宋_GB2312"/>
          <w:sz w:val="32"/>
          <w:szCs w:val="32"/>
          <w:lang w:val="en-US" w:eastAsia="zh-CN"/>
        </w:rPr>
      </w:pPr>
    </w:p>
    <w:p w14:paraId="0E7CA6FE">
      <w:pPr>
        <w:spacing w:line="600" w:lineRule="exact"/>
        <w:ind w:left="0" w:leftChars="0" w:firstLine="0" w:firstLineChars="0"/>
        <w:rPr>
          <w:rFonts w:hint="eastAsia" w:ascii="仿宋_GB2312" w:hAnsi="仿宋_GB2312" w:eastAsia="仿宋_GB2312" w:cs="仿宋_GB2312"/>
          <w:sz w:val="32"/>
          <w:szCs w:val="32"/>
          <w:lang w:val="en-US" w:eastAsia="zh-CN"/>
        </w:rPr>
      </w:pPr>
    </w:p>
    <w:p w14:paraId="1821D10B">
      <w:pPr>
        <w:spacing w:line="600" w:lineRule="exact"/>
        <w:ind w:left="0" w:leftChars="0" w:firstLine="0" w:firstLineChars="0"/>
        <w:rPr>
          <w:rFonts w:hint="eastAsia" w:ascii="仿宋_GB2312" w:hAnsi="仿宋_GB2312" w:eastAsia="仿宋_GB2312" w:cs="仿宋_GB2312"/>
          <w:sz w:val="32"/>
          <w:szCs w:val="32"/>
          <w:lang w:val="en-US" w:eastAsia="zh-CN"/>
        </w:rPr>
      </w:pPr>
    </w:p>
    <w:p w14:paraId="7991FCBC">
      <w:pPr>
        <w:spacing w:line="600" w:lineRule="exact"/>
        <w:ind w:left="0" w:leftChars="0" w:firstLine="0" w:firstLineChars="0"/>
        <w:rPr>
          <w:rFonts w:hint="eastAsia" w:ascii="仿宋_GB2312" w:hAnsi="仿宋_GB2312" w:eastAsia="仿宋_GB2312" w:cs="仿宋_GB2312"/>
          <w:sz w:val="32"/>
          <w:szCs w:val="32"/>
          <w:lang w:val="en-US" w:eastAsia="zh-CN"/>
        </w:rPr>
      </w:pPr>
    </w:p>
    <w:p w14:paraId="03C9C14B">
      <w:pPr>
        <w:spacing w:line="600" w:lineRule="exact"/>
        <w:ind w:left="0" w:leftChars="0" w:firstLine="0" w:firstLineChars="0"/>
        <w:rPr>
          <w:rFonts w:hint="eastAsia" w:ascii="仿宋_GB2312" w:hAnsi="仿宋_GB2312" w:eastAsia="仿宋_GB2312" w:cs="仿宋_GB2312"/>
          <w:sz w:val="32"/>
          <w:szCs w:val="32"/>
          <w:lang w:val="en-US" w:eastAsia="zh-CN"/>
        </w:rPr>
      </w:pPr>
    </w:p>
    <w:p w14:paraId="3C7B2881">
      <w:pPr>
        <w:spacing w:line="600" w:lineRule="exact"/>
        <w:ind w:left="0" w:leftChars="0" w:firstLine="0" w:firstLineChars="0"/>
        <w:rPr>
          <w:rFonts w:hint="eastAsia" w:ascii="仿宋_GB2312" w:hAnsi="仿宋_GB2312" w:eastAsia="仿宋_GB2312" w:cs="仿宋_GB2312"/>
          <w:sz w:val="32"/>
          <w:szCs w:val="32"/>
          <w:lang w:val="en-US" w:eastAsia="zh-CN"/>
        </w:rPr>
      </w:pPr>
    </w:p>
    <w:p w14:paraId="749FB31A">
      <w:pPr>
        <w:spacing w:line="600" w:lineRule="exact"/>
        <w:ind w:left="0" w:leftChars="0" w:firstLine="640" w:firstLineChars="200"/>
        <w:rPr>
          <w:rFonts w:hint="eastAsia"/>
          <w:lang w:val="en-US" w:eastAsia="zh-CN"/>
        </w:rPr>
      </w:pPr>
      <w:r>
        <w:rPr>
          <w:rFonts w:hint="eastAsia" w:ascii="仿宋_GB2312" w:hAnsi="仿宋_GB2312" w:eastAsia="仿宋_GB2312" w:cs="仿宋_GB2312"/>
          <w:sz w:val="32"/>
          <w:szCs w:val="32"/>
          <w:lang w:val="en-US" w:eastAsia="zh-CN"/>
        </w:rPr>
        <w:t xml:space="preserve">详见附件2：峨边彝族自治县文化馆预算公开报表  </w:t>
      </w:r>
    </w:p>
    <w:p w14:paraId="5FDC20AE">
      <w:pPr>
        <w:bidi w:val="0"/>
        <w:jc w:val="both"/>
      </w:pPr>
    </w:p>
    <w:p w14:paraId="159397B5">
      <w:pPr>
        <w:bidi w:val="0"/>
        <w:jc w:val="both"/>
      </w:pPr>
    </w:p>
    <w:p w14:paraId="5DC106F5">
      <w:pPr>
        <w:bidi w:val="0"/>
        <w:jc w:val="both"/>
      </w:pPr>
    </w:p>
    <w:p w14:paraId="270ACDA5">
      <w:pPr>
        <w:bidi w:val="0"/>
        <w:ind w:left="0" w:leftChars="0" w:firstLine="0" w:firstLineChars="0"/>
        <w:jc w:val="both"/>
      </w:pPr>
      <w:r>
        <w:drawing>
          <wp:inline distT="0" distB="0" distL="114300" distR="114300">
            <wp:extent cx="5658485" cy="4514215"/>
            <wp:effectExtent l="0" t="0" r="1841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58485" cy="4514215"/>
                    </a:xfrm>
                    <a:prstGeom prst="rect">
                      <a:avLst/>
                    </a:prstGeom>
                    <a:noFill/>
                    <a:ln>
                      <a:noFill/>
                    </a:ln>
                  </pic:spPr>
                </pic:pic>
              </a:graphicData>
            </a:graphic>
          </wp:inline>
        </w:drawing>
      </w:r>
    </w:p>
    <w:p w14:paraId="3B7B0688">
      <w:pPr>
        <w:bidi w:val="0"/>
        <w:jc w:val="both"/>
      </w:pPr>
    </w:p>
    <w:p w14:paraId="15D0A3B3">
      <w:pPr>
        <w:bidi w:val="0"/>
        <w:ind w:left="0" w:leftChars="0" w:firstLine="0" w:firstLineChars="0"/>
        <w:jc w:val="both"/>
      </w:pPr>
      <w:r>
        <w:drawing>
          <wp:inline distT="0" distB="0" distL="114300" distR="114300">
            <wp:extent cx="5690870" cy="2636520"/>
            <wp:effectExtent l="0" t="0" r="5080" b="1143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0870" cy="2636520"/>
                    </a:xfrm>
                    <a:prstGeom prst="rect">
                      <a:avLst/>
                    </a:prstGeom>
                    <a:noFill/>
                    <a:ln>
                      <a:noFill/>
                    </a:ln>
                  </pic:spPr>
                </pic:pic>
              </a:graphicData>
            </a:graphic>
          </wp:inline>
        </w:drawing>
      </w:r>
    </w:p>
    <w:p w14:paraId="2518C658">
      <w:pPr>
        <w:bidi w:val="0"/>
        <w:ind w:left="0" w:leftChars="0" w:firstLine="0" w:firstLineChars="0"/>
        <w:jc w:val="both"/>
      </w:pPr>
    </w:p>
    <w:p w14:paraId="71DE5D2F">
      <w:pPr>
        <w:bidi w:val="0"/>
        <w:ind w:left="0" w:leftChars="0" w:firstLine="0" w:firstLineChars="0"/>
        <w:jc w:val="both"/>
      </w:pPr>
      <w:r>
        <w:drawing>
          <wp:inline distT="0" distB="0" distL="114300" distR="114300">
            <wp:extent cx="5685790" cy="2771140"/>
            <wp:effectExtent l="0" t="0" r="10160" b="1016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85790" cy="2771140"/>
                    </a:xfrm>
                    <a:prstGeom prst="rect">
                      <a:avLst/>
                    </a:prstGeom>
                    <a:noFill/>
                    <a:ln>
                      <a:noFill/>
                    </a:ln>
                  </pic:spPr>
                </pic:pic>
              </a:graphicData>
            </a:graphic>
          </wp:inline>
        </w:drawing>
      </w:r>
    </w:p>
    <w:p w14:paraId="586A5256">
      <w:pPr>
        <w:bidi w:val="0"/>
        <w:ind w:left="0" w:leftChars="0" w:firstLine="0" w:firstLineChars="0"/>
        <w:jc w:val="both"/>
      </w:pPr>
    </w:p>
    <w:p w14:paraId="12C8AEFE">
      <w:pPr>
        <w:bidi w:val="0"/>
        <w:ind w:left="0" w:leftChars="0" w:firstLine="0" w:firstLineChars="0"/>
        <w:jc w:val="both"/>
      </w:pPr>
      <w:r>
        <w:drawing>
          <wp:inline distT="0" distB="0" distL="114300" distR="114300">
            <wp:extent cx="5692775" cy="4490085"/>
            <wp:effectExtent l="0" t="0" r="3175" b="571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490085"/>
                    </a:xfrm>
                    <a:prstGeom prst="rect">
                      <a:avLst/>
                    </a:prstGeom>
                    <a:noFill/>
                    <a:ln>
                      <a:noFill/>
                    </a:ln>
                  </pic:spPr>
                </pic:pic>
              </a:graphicData>
            </a:graphic>
          </wp:inline>
        </w:drawing>
      </w:r>
    </w:p>
    <w:p w14:paraId="7C7C4572">
      <w:pPr>
        <w:bidi w:val="0"/>
        <w:ind w:left="0" w:leftChars="0" w:firstLine="0" w:firstLineChars="0"/>
        <w:jc w:val="both"/>
      </w:pPr>
    </w:p>
    <w:p w14:paraId="1B86672C">
      <w:pPr>
        <w:bidi w:val="0"/>
        <w:ind w:left="0" w:leftChars="0" w:firstLine="0" w:firstLineChars="0"/>
        <w:jc w:val="both"/>
      </w:pPr>
      <w:r>
        <w:drawing>
          <wp:inline distT="0" distB="0" distL="114300" distR="114300">
            <wp:extent cx="5680710" cy="4579620"/>
            <wp:effectExtent l="0" t="0" r="15240" b="1143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80710" cy="4579620"/>
                    </a:xfrm>
                    <a:prstGeom prst="rect">
                      <a:avLst/>
                    </a:prstGeom>
                    <a:noFill/>
                    <a:ln>
                      <a:noFill/>
                    </a:ln>
                  </pic:spPr>
                </pic:pic>
              </a:graphicData>
            </a:graphic>
          </wp:inline>
        </w:drawing>
      </w:r>
    </w:p>
    <w:p w14:paraId="3E03DD39">
      <w:pPr>
        <w:bidi w:val="0"/>
        <w:ind w:left="0" w:leftChars="0" w:firstLine="0" w:firstLineChars="0"/>
        <w:jc w:val="both"/>
      </w:pPr>
    </w:p>
    <w:p w14:paraId="3DD764D7">
      <w:pPr>
        <w:bidi w:val="0"/>
        <w:ind w:left="0" w:leftChars="0" w:firstLine="0" w:firstLineChars="0"/>
        <w:jc w:val="both"/>
      </w:pPr>
      <w:r>
        <w:drawing>
          <wp:inline distT="0" distB="0" distL="114300" distR="114300">
            <wp:extent cx="5690235" cy="2340610"/>
            <wp:effectExtent l="0" t="0" r="5715" b="254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2340610"/>
                    </a:xfrm>
                    <a:prstGeom prst="rect">
                      <a:avLst/>
                    </a:prstGeom>
                    <a:noFill/>
                    <a:ln>
                      <a:noFill/>
                    </a:ln>
                  </pic:spPr>
                </pic:pic>
              </a:graphicData>
            </a:graphic>
          </wp:inline>
        </w:drawing>
      </w:r>
    </w:p>
    <w:p w14:paraId="2A94629B">
      <w:pPr>
        <w:bidi w:val="0"/>
        <w:ind w:left="0" w:leftChars="0" w:firstLine="0" w:firstLineChars="0"/>
        <w:jc w:val="both"/>
      </w:pPr>
    </w:p>
    <w:p w14:paraId="2C1512F4">
      <w:pPr>
        <w:bidi w:val="0"/>
        <w:ind w:left="0" w:leftChars="0" w:firstLine="0" w:firstLineChars="0"/>
        <w:jc w:val="both"/>
      </w:pPr>
      <w:r>
        <w:drawing>
          <wp:inline distT="0" distB="0" distL="114300" distR="114300">
            <wp:extent cx="5694680" cy="5234305"/>
            <wp:effectExtent l="0" t="0" r="1270" b="444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94680" cy="5234305"/>
                    </a:xfrm>
                    <a:prstGeom prst="rect">
                      <a:avLst/>
                    </a:prstGeom>
                    <a:noFill/>
                    <a:ln>
                      <a:noFill/>
                    </a:ln>
                  </pic:spPr>
                </pic:pic>
              </a:graphicData>
            </a:graphic>
          </wp:inline>
        </w:drawing>
      </w:r>
    </w:p>
    <w:p w14:paraId="54E509BE">
      <w:pPr>
        <w:bidi w:val="0"/>
        <w:ind w:left="0" w:leftChars="0" w:firstLine="0" w:firstLineChars="0"/>
        <w:jc w:val="both"/>
      </w:pPr>
    </w:p>
    <w:p w14:paraId="62E1B4FE">
      <w:pPr>
        <w:bidi w:val="0"/>
        <w:ind w:left="0" w:leftChars="0" w:firstLine="0" w:firstLineChars="0"/>
        <w:jc w:val="both"/>
      </w:pPr>
      <w:r>
        <w:drawing>
          <wp:inline distT="0" distB="0" distL="114300" distR="114300">
            <wp:extent cx="5692140" cy="1873250"/>
            <wp:effectExtent l="0" t="0" r="3810" b="1270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1873250"/>
                    </a:xfrm>
                    <a:prstGeom prst="rect">
                      <a:avLst/>
                    </a:prstGeom>
                    <a:noFill/>
                    <a:ln>
                      <a:noFill/>
                    </a:ln>
                  </pic:spPr>
                </pic:pic>
              </a:graphicData>
            </a:graphic>
          </wp:inline>
        </w:drawing>
      </w:r>
    </w:p>
    <w:p w14:paraId="58142C76">
      <w:pPr>
        <w:bidi w:val="0"/>
        <w:ind w:left="0" w:leftChars="0" w:firstLine="0" w:firstLineChars="0"/>
        <w:jc w:val="both"/>
      </w:pPr>
    </w:p>
    <w:p w14:paraId="7081674B">
      <w:pPr>
        <w:bidi w:val="0"/>
        <w:ind w:left="0" w:leftChars="0" w:firstLine="0" w:firstLineChars="0"/>
        <w:jc w:val="both"/>
      </w:pPr>
    </w:p>
    <w:p w14:paraId="602BD185">
      <w:pPr>
        <w:bidi w:val="0"/>
        <w:ind w:left="0" w:leftChars="0" w:firstLine="0" w:firstLineChars="0"/>
        <w:jc w:val="both"/>
      </w:pPr>
      <w:r>
        <w:drawing>
          <wp:inline distT="0" distB="0" distL="114300" distR="114300">
            <wp:extent cx="5688330" cy="1487170"/>
            <wp:effectExtent l="0" t="0" r="7620" b="1778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88330" cy="1487170"/>
                    </a:xfrm>
                    <a:prstGeom prst="rect">
                      <a:avLst/>
                    </a:prstGeom>
                    <a:noFill/>
                    <a:ln>
                      <a:noFill/>
                    </a:ln>
                  </pic:spPr>
                </pic:pic>
              </a:graphicData>
            </a:graphic>
          </wp:inline>
        </w:drawing>
      </w:r>
    </w:p>
    <w:p w14:paraId="7EC071F8">
      <w:pPr>
        <w:bidi w:val="0"/>
        <w:ind w:left="0" w:leftChars="0" w:firstLine="0" w:firstLineChars="0"/>
        <w:jc w:val="both"/>
      </w:pPr>
    </w:p>
    <w:p w14:paraId="4D938DD8">
      <w:pPr>
        <w:bidi w:val="0"/>
        <w:ind w:left="0" w:leftChars="0" w:firstLine="0" w:firstLineChars="0"/>
        <w:jc w:val="both"/>
      </w:pPr>
    </w:p>
    <w:p w14:paraId="19FF88FC">
      <w:pPr>
        <w:bidi w:val="0"/>
        <w:ind w:left="0" w:leftChars="0" w:firstLine="0" w:firstLineChars="0"/>
        <w:jc w:val="both"/>
      </w:pPr>
      <w:r>
        <w:drawing>
          <wp:inline distT="0" distB="0" distL="114300" distR="114300">
            <wp:extent cx="5689600" cy="1381760"/>
            <wp:effectExtent l="0" t="0" r="6350" b="889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381760"/>
                    </a:xfrm>
                    <a:prstGeom prst="rect">
                      <a:avLst/>
                    </a:prstGeom>
                    <a:noFill/>
                    <a:ln>
                      <a:noFill/>
                    </a:ln>
                  </pic:spPr>
                </pic:pic>
              </a:graphicData>
            </a:graphic>
          </wp:inline>
        </w:drawing>
      </w:r>
    </w:p>
    <w:p w14:paraId="5660972E">
      <w:pPr>
        <w:bidi w:val="0"/>
        <w:ind w:left="0" w:leftChars="0" w:firstLine="0" w:firstLineChars="0"/>
        <w:jc w:val="both"/>
      </w:pPr>
    </w:p>
    <w:p w14:paraId="16E557CA">
      <w:pPr>
        <w:bidi w:val="0"/>
        <w:ind w:left="0" w:leftChars="0" w:firstLine="0" w:firstLineChars="0"/>
        <w:jc w:val="both"/>
      </w:pPr>
    </w:p>
    <w:p w14:paraId="0F31E7E8">
      <w:pPr>
        <w:bidi w:val="0"/>
        <w:ind w:left="0" w:leftChars="0" w:firstLine="0" w:firstLineChars="0"/>
        <w:jc w:val="both"/>
      </w:pPr>
      <w:r>
        <w:drawing>
          <wp:inline distT="0" distB="0" distL="114300" distR="114300">
            <wp:extent cx="5691505" cy="982980"/>
            <wp:effectExtent l="0" t="0" r="4445" b="762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982980"/>
                    </a:xfrm>
                    <a:prstGeom prst="rect">
                      <a:avLst/>
                    </a:prstGeom>
                    <a:noFill/>
                    <a:ln>
                      <a:noFill/>
                    </a:ln>
                  </pic:spPr>
                </pic:pic>
              </a:graphicData>
            </a:graphic>
          </wp:inline>
        </w:drawing>
      </w:r>
    </w:p>
    <w:p w14:paraId="6BF9577A">
      <w:pPr>
        <w:bidi w:val="0"/>
        <w:ind w:left="0" w:leftChars="0" w:firstLine="0" w:firstLineChars="0"/>
        <w:jc w:val="both"/>
      </w:pPr>
    </w:p>
    <w:p w14:paraId="32C0CA4D">
      <w:pPr>
        <w:bidi w:val="0"/>
        <w:ind w:left="0" w:leftChars="0" w:firstLine="0" w:firstLineChars="0"/>
        <w:jc w:val="both"/>
      </w:pPr>
    </w:p>
    <w:p w14:paraId="104AECF9">
      <w:pPr>
        <w:bidi w:val="0"/>
        <w:ind w:left="0" w:leftChars="0" w:firstLine="0" w:firstLineChars="0"/>
        <w:jc w:val="both"/>
      </w:pPr>
      <w:r>
        <w:drawing>
          <wp:inline distT="0" distB="0" distL="114300" distR="114300">
            <wp:extent cx="5689600" cy="1381760"/>
            <wp:effectExtent l="0" t="0" r="6350" b="889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381760"/>
                    </a:xfrm>
                    <a:prstGeom prst="rect">
                      <a:avLst/>
                    </a:prstGeom>
                    <a:noFill/>
                    <a:ln>
                      <a:noFill/>
                    </a:ln>
                  </pic:spPr>
                </pic:pic>
              </a:graphicData>
            </a:graphic>
          </wp:inline>
        </w:drawing>
      </w:r>
    </w:p>
    <w:p w14:paraId="393756BE">
      <w:pPr>
        <w:bidi w:val="0"/>
        <w:ind w:left="0" w:leftChars="0" w:firstLine="0" w:firstLineChars="0"/>
        <w:jc w:val="both"/>
      </w:pPr>
    </w:p>
    <w:p w14:paraId="671AE2CD">
      <w:pPr>
        <w:bidi w:val="0"/>
        <w:ind w:left="0" w:leftChars="0" w:firstLine="0" w:firstLineChars="0"/>
        <w:jc w:val="both"/>
      </w:pPr>
      <w:r>
        <w:drawing>
          <wp:inline distT="0" distB="0" distL="114300" distR="114300">
            <wp:extent cx="5685790" cy="1869440"/>
            <wp:effectExtent l="0" t="0" r="10160" b="1651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85790" cy="1869440"/>
                    </a:xfrm>
                    <a:prstGeom prst="rect">
                      <a:avLst/>
                    </a:prstGeom>
                    <a:noFill/>
                    <a:ln>
                      <a:noFill/>
                    </a:ln>
                  </pic:spPr>
                </pic:pic>
              </a:graphicData>
            </a:graphic>
          </wp:inline>
        </w:drawing>
      </w:r>
    </w:p>
    <w:p w14:paraId="6DC0B2AD">
      <w:pPr>
        <w:bidi w:val="0"/>
        <w:ind w:left="0" w:leftChars="0" w:firstLine="0" w:firstLineChars="0"/>
        <w:jc w:val="both"/>
      </w:pPr>
    </w:p>
    <w:p w14:paraId="1A1C446E">
      <w:pPr>
        <w:bidi w:val="0"/>
        <w:ind w:left="0" w:leftChars="0" w:firstLine="0" w:firstLineChars="0"/>
        <w:jc w:val="both"/>
      </w:pPr>
    </w:p>
    <w:p w14:paraId="1B7DA9D9">
      <w:pPr>
        <w:bidi w:val="0"/>
        <w:ind w:left="0" w:leftChars="0" w:firstLine="0" w:firstLineChars="0"/>
        <w:jc w:val="both"/>
      </w:pPr>
      <w:r>
        <w:drawing>
          <wp:inline distT="0" distB="0" distL="114300" distR="114300">
            <wp:extent cx="5688965" cy="4443095"/>
            <wp:effectExtent l="0" t="0" r="6985" b="14605"/>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88965" cy="4443095"/>
                    </a:xfrm>
                    <a:prstGeom prst="rect">
                      <a:avLst/>
                    </a:prstGeom>
                    <a:noFill/>
                    <a:ln>
                      <a:noFill/>
                    </a:ln>
                  </pic:spPr>
                </pic:pic>
              </a:graphicData>
            </a:graphic>
          </wp:inline>
        </w:drawing>
      </w:r>
    </w:p>
    <w:p w14:paraId="70EA38F2">
      <w:pPr>
        <w:bidi w:val="0"/>
        <w:ind w:left="0" w:leftChars="0" w:firstLine="0" w:firstLineChars="0"/>
        <w:jc w:val="both"/>
      </w:pPr>
    </w:p>
    <w:p w14:paraId="15BD2592">
      <w:pPr>
        <w:bidi w:val="0"/>
        <w:ind w:left="0" w:leftChars="0" w:firstLine="0" w:firstLineChars="0"/>
        <w:jc w:val="both"/>
      </w:pPr>
    </w:p>
    <w:p w14:paraId="31CCDBB9">
      <w:pPr>
        <w:bidi w:val="0"/>
        <w:ind w:left="0" w:leftChars="0" w:firstLine="0" w:firstLineChars="0"/>
        <w:jc w:val="both"/>
      </w:pPr>
    </w:p>
    <w:p w14:paraId="7FE07CE1">
      <w:pPr>
        <w:bidi w:val="0"/>
        <w:ind w:left="0" w:leftChars="0" w:firstLine="0" w:firstLineChars="0"/>
        <w:jc w:val="both"/>
      </w:pPr>
      <w:r>
        <w:drawing>
          <wp:inline distT="0" distB="0" distL="114300" distR="114300">
            <wp:extent cx="5693410" cy="2180590"/>
            <wp:effectExtent l="0" t="0" r="2540" b="1016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3410" cy="2180590"/>
                    </a:xfrm>
                    <a:prstGeom prst="rect">
                      <a:avLst/>
                    </a:prstGeom>
                    <a:noFill/>
                    <a:ln>
                      <a:noFill/>
                    </a:ln>
                  </pic:spPr>
                </pic:pic>
              </a:graphicData>
            </a:graphic>
          </wp:inline>
        </w:drawing>
      </w:r>
    </w:p>
    <w:p w14:paraId="64BC7425">
      <w:pPr>
        <w:bidi w:val="0"/>
        <w:ind w:left="0" w:leftChars="0" w:firstLine="0" w:firstLineChars="0"/>
        <w:jc w:val="both"/>
      </w:pPr>
    </w:p>
    <w:p w14:paraId="08F02A51">
      <w:pPr>
        <w:bidi w:val="0"/>
        <w:ind w:left="0" w:leftChars="0" w:firstLine="0" w:firstLineChars="0"/>
        <w:jc w:val="both"/>
      </w:pPr>
    </w:p>
    <w:p w14:paraId="41058EA8">
      <w:pPr>
        <w:bidi w:val="0"/>
        <w:ind w:left="0" w:leftChars="0" w:firstLine="0" w:firstLineChars="0"/>
        <w:jc w:val="both"/>
      </w:pPr>
    </w:p>
    <w:p w14:paraId="61133F55">
      <w:pPr>
        <w:bidi w:val="0"/>
        <w:jc w:val="both"/>
        <w:rPr>
          <w:rFonts w:hint="eastAsia"/>
          <w:lang w:val="en-US" w:eastAsia="zh-CN"/>
        </w:rPr>
      </w:pPr>
    </w:p>
    <w:p w14:paraId="2BD4510B">
      <w:pPr>
        <w:pStyle w:val="2"/>
        <w:bidi w:val="0"/>
        <w:ind w:left="0" w:leftChars="0" w:firstLine="0" w:firstLineChars="0"/>
        <w:jc w:val="center"/>
        <w:rPr>
          <w:rFonts w:hint="eastAsia" w:ascii="方正小标宋简体" w:hAnsi="方正小标宋简体" w:eastAsia="方正小标宋简体" w:cs="方正小标宋简体"/>
          <w:b w:val="0"/>
          <w:bCs/>
          <w:lang w:val="en-US" w:eastAsia="zh-CN"/>
        </w:rPr>
      </w:pPr>
    </w:p>
    <w:p w14:paraId="2FF3AA76">
      <w:pPr>
        <w:pStyle w:val="2"/>
        <w:bidi w:val="0"/>
        <w:ind w:left="0" w:leftChars="0" w:firstLine="0" w:firstLineChars="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峨边彝族自治县文化馆</w:t>
      </w:r>
    </w:p>
    <w:p w14:paraId="11981D24">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2025年部门预算情况说明</w:t>
      </w:r>
    </w:p>
    <w:p w14:paraId="57E0DE4A">
      <w:pPr>
        <w:pStyle w:val="2"/>
        <w:bidi w:val="0"/>
        <w:ind w:left="0" w:leftChars="0" w:firstLine="0" w:firstLineChars="0"/>
        <w:jc w:val="both"/>
        <w:rPr>
          <w:rFonts w:hint="eastAsia" w:ascii="黑体" w:hAnsi="黑体" w:eastAsia="黑体" w:cs="黑体"/>
          <w:b w:val="0"/>
          <w:bCs/>
          <w:lang w:val="en-US" w:eastAsia="zh-CN"/>
        </w:rPr>
      </w:pPr>
    </w:p>
    <w:p w14:paraId="40BEC415">
      <w:pPr>
        <w:rPr>
          <w:rFonts w:hint="eastAsia"/>
          <w:lang w:val="en-US" w:eastAsia="zh-CN"/>
        </w:rPr>
      </w:pPr>
    </w:p>
    <w:p w14:paraId="33AD59D2">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46146BA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按照综合预算的原则，</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峨边彝族自治县文化馆</w:t>
      </w:r>
      <w:r>
        <w:rPr>
          <w:rFonts w:hint="eastAsia" w:ascii="Times New Roman" w:hAnsi="Times New Roman" w:eastAsia="仿宋_GB2312" w:cs="仿宋_GB2312"/>
          <w:sz w:val="32"/>
          <w:szCs w:val="32"/>
          <w:lang w:val="en-US" w:eastAsia="zh-CN"/>
        </w:rPr>
        <w:t>所有收入和支出均纳入部门预算管理。收入包括：一般公共预算拨款收入；支出包括：文化旅游体育与传媒支出、社会保障和就业支出、卫生健康支出、住房保障支出。峨边彝族自治县文化馆</w:t>
      </w:r>
      <w:r>
        <w:rPr>
          <w:rFonts w:hint="eastAsia"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lang w:val="en-US" w:eastAsia="zh-CN"/>
        </w:rPr>
        <w:t>5</w:t>
      </w:r>
      <w:r>
        <w:rPr>
          <w:rFonts w:hint="eastAsia" w:ascii="Times New Roman" w:hAnsi="Times New Roman" w:eastAsia="仿宋_GB2312" w:cs="仿宋_GB2312"/>
          <w:kern w:val="0"/>
          <w:sz w:val="32"/>
          <w:szCs w:val="32"/>
        </w:rPr>
        <w:t>年收支总预算</w:t>
      </w:r>
      <w:r>
        <w:rPr>
          <w:rFonts w:hint="eastAsia" w:ascii="Times New Roman" w:hAnsi="Times New Roman" w:eastAsia="仿宋_GB2312" w:cs="仿宋_GB2312"/>
          <w:kern w:val="0"/>
          <w:sz w:val="32"/>
          <w:szCs w:val="32"/>
          <w:lang w:val="en-US" w:eastAsia="zh-CN"/>
        </w:rPr>
        <w:t>139.39</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年收支预算总数</w:t>
      </w:r>
      <w:r>
        <w:rPr>
          <w:rFonts w:hint="eastAsia" w:ascii="Times New Roman" w:hAnsi="Times New Roman" w:eastAsia="仿宋_GB2312" w:cs="仿宋_GB2312"/>
          <w:kern w:val="0"/>
          <w:sz w:val="32"/>
          <w:szCs w:val="32"/>
          <w:lang w:eastAsia="zh-CN"/>
        </w:rPr>
        <w:t>增加</w:t>
      </w:r>
      <w:r>
        <w:rPr>
          <w:rFonts w:hint="eastAsia" w:ascii="Times New Roman" w:hAnsi="Times New Roman" w:eastAsia="仿宋_GB2312" w:cs="仿宋_GB2312"/>
          <w:kern w:val="0"/>
          <w:sz w:val="32"/>
          <w:szCs w:val="32"/>
          <w:lang w:val="en-US" w:eastAsia="zh-CN"/>
        </w:rPr>
        <w:t>0.99</w:t>
      </w:r>
      <w:r>
        <w:rPr>
          <w:rFonts w:hint="eastAsia" w:ascii="Times New Roman" w:hAnsi="Times New Roman" w:eastAsia="仿宋_GB2312" w:cs="仿宋_GB2312"/>
          <w:kern w:val="0"/>
          <w:sz w:val="32"/>
          <w:szCs w:val="32"/>
        </w:rPr>
        <w:t>万元，主要</w:t>
      </w:r>
      <w:r>
        <w:rPr>
          <w:rFonts w:hint="eastAsia" w:ascii="Times New Roman" w:hAnsi="Times New Roman" w:eastAsia="仿宋_GB2312" w:cs="仿宋_GB2312"/>
          <w:kern w:val="0"/>
          <w:sz w:val="32"/>
          <w:szCs w:val="32"/>
          <w:lang w:eastAsia="zh-CN"/>
        </w:rPr>
        <w:t>原因是：基本工资增长，缴费基数增长</w:t>
      </w:r>
      <w:r>
        <w:rPr>
          <w:rFonts w:hint="eastAsia" w:ascii="Times New Roman" w:hAnsi="Times New Roman" w:eastAsia="仿宋_GB2312" w:cs="仿宋_GB2312"/>
          <w:kern w:val="0"/>
          <w:sz w:val="32"/>
          <w:szCs w:val="32"/>
        </w:rPr>
        <w:t>。</w:t>
      </w:r>
    </w:p>
    <w:p w14:paraId="07B684A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13121F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峨边彝族自治县文化馆2025</w:t>
      </w:r>
      <w:r>
        <w:rPr>
          <w:rFonts w:hint="eastAsia" w:ascii="Times New Roman" w:hAnsi="Times New Roman" w:eastAsia="仿宋_GB2312" w:cs="仿宋_GB2312"/>
          <w:kern w:val="0"/>
          <w:sz w:val="32"/>
          <w:szCs w:val="32"/>
        </w:rPr>
        <w:t>年收入预算</w:t>
      </w:r>
      <w:r>
        <w:rPr>
          <w:rFonts w:hint="eastAsia" w:ascii="Times New Roman" w:hAnsi="Times New Roman" w:eastAsia="仿宋_GB2312" w:cs="仿宋_GB2312"/>
          <w:kern w:val="0"/>
          <w:sz w:val="32"/>
          <w:szCs w:val="32"/>
          <w:lang w:val="en-US" w:eastAsia="zh-CN"/>
        </w:rPr>
        <w:t>139.39</w:t>
      </w:r>
      <w:r>
        <w:rPr>
          <w:rFonts w:hint="eastAsia" w:ascii="Times New Roman" w:hAnsi="Times New Roman" w:eastAsia="仿宋_GB2312" w:cs="仿宋_GB2312"/>
          <w:kern w:val="0"/>
          <w:sz w:val="32"/>
          <w:szCs w:val="32"/>
        </w:rPr>
        <w:t>万元，其中：上年结转</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%；一般公共预算拨款收入</w:t>
      </w:r>
      <w:r>
        <w:rPr>
          <w:rFonts w:hint="eastAsia" w:ascii="Times New Roman" w:hAnsi="Times New Roman" w:eastAsia="仿宋_GB2312" w:cs="仿宋_GB2312"/>
          <w:kern w:val="0"/>
          <w:sz w:val="32"/>
          <w:szCs w:val="32"/>
          <w:lang w:val="en-US" w:eastAsia="zh-CN"/>
        </w:rPr>
        <w:t>139.39</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%；事业收入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p>
    <w:p w14:paraId="19850EBC">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084800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峨边彝族自治县文化馆2025</w:t>
      </w:r>
      <w:r>
        <w:rPr>
          <w:rFonts w:hint="eastAsia" w:ascii="Times New Roman" w:hAnsi="Times New Roman" w:eastAsia="仿宋_GB2312" w:cs="仿宋_GB2312"/>
          <w:kern w:val="0"/>
          <w:sz w:val="32"/>
          <w:szCs w:val="32"/>
        </w:rPr>
        <w:t>年支出预算</w:t>
      </w:r>
      <w:r>
        <w:rPr>
          <w:rFonts w:hint="eastAsia" w:ascii="Times New Roman" w:hAnsi="Times New Roman" w:eastAsia="仿宋_GB2312" w:cs="仿宋_GB2312"/>
          <w:kern w:val="0"/>
          <w:sz w:val="32"/>
          <w:szCs w:val="32"/>
          <w:lang w:val="en-US" w:eastAsia="zh-CN"/>
        </w:rPr>
        <w:t>139.39</w:t>
      </w:r>
      <w:r>
        <w:rPr>
          <w:rFonts w:hint="eastAsia" w:ascii="Times New Roman" w:hAnsi="Times New Roman" w:eastAsia="仿宋_GB2312" w:cs="仿宋_GB2312"/>
          <w:kern w:val="0"/>
          <w:sz w:val="32"/>
          <w:szCs w:val="32"/>
        </w:rPr>
        <w:t>万元，其中：基本支出</w:t>
      </w:r>
      <w:r>
        <w:rPr>
          <w:rFonts w:hint="eastAsia" w:ascii="Times New Roman" w:hAnsi="Times New Roman" w:eastAsia="仿宋_GB2312" w:cs="仿宋_GB2312"/>
          <w:kern w:val="0"/>
          <w:sz w:val="32"/>
          <w:szCs w:val="32"/>
          <w:lang w:val="en-US" w:eastAsia="zh-CN"/>
        </w:rPr>
        <w:t>139.39</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100</w:t>
      </w:r>
      <w:r>
        <w:rPr>
          <w:rFonts w:hint="eastAsia" w:ascii="Times New Roman" w:hAnsi="Times New Roman" w:eastAsia="仿宋_GB2312" w:cs="仿宋_GB2312"/>
          <w:kern w:val="0"/>
          <w:sz w:val="32"/>
          <w:szCs w:val="32"/>
        </w:rPr>
        <w:t>%；项目支出</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万元，占</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w:t>
      </w:r>
    </w:p>
    <w:p w14:paraId="7082950B">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304C48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eastAsia="zh-CN"/>
        </w:rPr>
        <w:t>峨边彝族自治县文化馆2025</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139.39</w:t>
      </w:r>
      <w:r>
        <w:rPr>
          <w:rFonts w:hint="eastAsia" w:ascii="Times New Roman" w:hAnsi="Times New Roman" w:eastAsia="仿宋_GB2312" w:cs="仿宋_GB2312"/>
          <w:kern w:val="0"/>
          <w:sz w:val="32"/>
          <w:szCs w:val="32"/>
        </w:rPr>
        <w:t>万元,比</w:t>
      </w:r>
      <w:r>
        <w:rPr>
          <w:rFonts w:hint="eastAsia" w:ascii="Times New Roman" w:hAnsi="Times New Roman" w:eastAsia="仿宋_GB2312" w:cs="仿宋_GB2312"/>
          <w:kern w:val="0"/>
          <w:sz w:val="32"/>
          <w:szCs w:val="32"/>
          <w:lang w:eastAsia="zh-CN"/>
        </w:rPr>
        <w:t>2024</w:t>
      </w:r>
      <w:r>
        <w:rPr>
          <w:rFonts w:hint="eastAsia" w:ascii="Times New Roman" w:hAnsi="Times New Roman" w:eastAsia="仿宋_GB2312" w:cs="仿宋_GB2312"/>
          <w:kern w:val="0"/>
          <w:sz w:val="32"/>
          <w:szCs w:val="32"/>
        </w:rPr>
        <w:t>年财政拨款收支预算总数</w:t>
      </w:r>
      <w:r>
        <w:rPr>
          <w:rFonts w:hint="eastAsia" w:ascii="Times New Roman" w:hAnsi="Times New Roman" w:eastAsia="仿宋_GB2312" w:cs="仿宋_GB2312"/>
          <w:kern w:val="0"/>
          <w:sz w:val="32"/>
          <w:szCs w:val="32"/>
          <w:lang w:val="en-US" w:eastAsia="zh-CN"/>
        </w:rPr>
        <w:t>138.40</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增加</w:t>
      </w:r>
      <w:r>
        <w:rPr>
          <w:rFonts w:hint="eastAsia" w:ascii="Times New Roman" w:hAnsi="Times New Roman" w:eastAsia="仿宋_GB2312" w:cs="仿宋_GB2312"/>
          <w:kern w:val="0"/>
          <w:sz w:val="32"/>
          <w:szCs w:val="32"/>
          <w:lang w:val="en-US" w:eastAsia="zh-CN"/>
        </w:rPr>
        <w:t>0.99</w:t>
      </w:r>
      <w:r>
        <w:rPr>
          <w:rFonts w:hint="eastAsia" w:ascii="Times New Roman" w:hAnsi="Times New Roman" w:eastAsia="仿宋_GB2312" w:cs="仿宋_GB2312"/>
          <w:kern w:val="0"/>
          <w:sz w:val="32"/>
          <w:szCs w:val="32"/>
        </w:rPr>
        <w:t>万元，主要原因是</w:t>
      </w:r>
      <w:r>
        <w:rPr>
          <w:rFonts w:hint="eastAsia" w:ascii="Times New Roman" w:hAnsi="Times New Roman" w:eastAsia="仿宋_GB2312" w:cs="仿宋_GB2312"/>
          <w:kern w:val="0"/>
          <w:sz w:val="32"/>
          <w:szCs w:val="32"/>
          <w:lang w:eastAsia="zh-CN"/>
        </w:rPr>
        <w:t>：基本工资增长，缴费基数增长</w:t>
      </w:r>
      <w:r>
        <w:rPr>
          <w:rFonts w:hint="eastAsia" w:ascii="Times New Roman" w:hAnsi="Times New Roman" w:eastAsia="仿宋_GB2312" w:cs="仿宋_GB2312"/>
          <w:kern w:val="0"/>
          <w:sz w:val="32"/>
          <w:szCs w:val="32"/>
          <w:lang w:val="en-US" w:eastAsia="zh-CN"/>
        </w:rPr>
        <w:t>。</w:t>
      </w:r>
    </w:p>
    <w:p w14:paraId="1E623AB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kern w:val="0"/>
          <w:sz w:val="32"/>
          <w:szCs w:val="32"/>
          <w:lang w:val="en-US" w:eastAsia="zh-CN"/>
        </w:rPr>
        <w:t>139.39</w:t>
      </w:r>
      <w:r>
        <w:rPr>
          <w:rFonts w:hint="eastAsia" w:ascii="Times New Roman" w:hAnsi="Times New Roman" w:eastAsia="仿宋_GB2312" w:cs="仿宋_GB2312"/>
          <w:kern w:val="0"/>
          <w:sz w:val="32"/>
          <w:szCs w:val="32"/>
        </w:rPr>
        <w:t>万元、本年政府性基金预算拨款收入</w:t>
      </w:r>
      <w:r>
        <w:rPr>
          <w:rFonts w:hint="eastAsia" w:ascii="Times New Roman" w:hAnsi="Times New Roman" w:eastAsia="仿宋_GB2312" w:cs="仿宋_GB2312"/>
          <w:kern w:val="0"/>
          <w:sz w:val="32"/>
          <w:szCs w:val="32"/>
          <w:lang w:val="en-US" w:eastAsia="zh-CN"/>
        </w:rPr>
        <w:t>0</w:t>
      </w:r>
      <w:r>
        <w:rPr>
          <w:rFonts w:hint="eastAsia" w:ascii="Times New Roman" w:hAnsi="Times New Roman" w:eastAsia="仿宋_GB2312" w:cs="仿宋_GB2312"/>
          <w:kern w:val="0"/>
          <w:sz w:val="32"/>
          <w:szCs w:val="32"/>
        </w:rPr>
        <w:t>万元；支出包括：</w:t>
      </w:r>
      <w:r>
        <w:rPr>
          <w:rFonts w:hint="eastAsia" w:ascii="Times New Roman" w:hAnsi="Times New Roman" w:eastAsia="仿宋_GB2312" w:cs="仿宋_GB2312"/>
          <w:kern w:val="0"/>
          <w:sz w:val="32"/>
          <w:szCs w:val="32"/>
          <w:lang w:eastAsia="zh-CN"/>
        </w:rPr>
        <w:t>文化旅游体育与传媒</w:t>
      </w:r>
      <w:r>
        <w:rPr>
          <w:rFonts w:hint="eastAsia" w:ascii="Times New Roman" w:hAnsi="Times New Roman" w:eastAsia="仿宋_GB2312" w:cs="仿宋_GB2312"/>
          <w:kern w:val="0"/>
          <w:sz w:val="32"/>
          <w:szCs w:val="32"/>
        </w:rPr>
        <w:t>支出</w:t>
      </w:r>
      <w:r>
        <w:rPr>
          <w:rFonts w:hint="eastAsia" w:ascii="Times New Roman" w:hAnsi="Times New Roman" w:eastAsia="仿宋_GB2312" w:cs="仿宋_GB2312"/>
          <w:kern w:val="0"/>
          <w:sz w:val="32"/>
          <w:szCs w:val="32"/>
          <w:lang w:val="en-US" w:eastAsia="zh-CN"/>
        </w:rPr>
        <w:t>103.87</w:t>
      </w:r>
      <w:r>
        <w:rPr>
          <w:rFonts w:hint="eastAsia" w:ascii="Times New Roman" w:hAnsi="Times New Roman" w:eastAsia="仿宋_GB2312" w:cs="仿宋_GB2312"/>
          <w:kern w:val="0"/>
          <w:sz w:val="32"/>
          <w:szCs w:val="32"/>
        </w:rPr>
        <w:t>万元、社会保障和就业支出</w:t>
      </w:r>
      <w:r>
        <w:rPr>
          <w:rFonts w:hint="eastAsia" w:ascii="Times New Roman" w:hAnsi="Times New Roman" w:eastAsia="仿宋_GB2312" w:cs="仿宋_GB2312"/>
          <w:kern w:val="0"/>
          <w:sz w:val="32"/>
          <w:szCs w:val="32"/>
          <w:lang w:val="en-US" w:eastAsia="zh-CN"/>
        </w:rPr>
        <w:t>19.10</w:t>
      </w:r>
      <w:r>
        <w:rPr>
          <w:rFonts w:hint="eastAsia" w:ascii="Times New Roman" w:hAnsi="Times New Roman" w:eastAsia="仿宋_GB2312" w:cs="仿宋_GB2312"/>
          <w:kern w:val="0"/>
          <w:sz w:val="32"/>
          <w:szCs w:val="32"/>
        </w:rPr>
        <w:t>万元、卫生健康支出</w:t>
      </w:r>
      <w:r>
        <w:rPr>
          <w:rFonts w:hint="eastAsia" w:ascii="Times New Roman" w:hAnsi="Times New Roman" w:eastAsia="仿宋_GB2312" w:cs="仿宋_GB2312"/>
          <w:kern w:val="0"/>
          <w:sz w:val="32"/>
          <w:szCs w:val="32"/>
          <w:lang w:val="en-US" w:eastAsia="zh-CN"/>
        </w:rPr>
        <w:t>4.79</w:t>
      </w:r>
      <w:r>
        <w:rPr>
          <w:rFonts w:hint="eastAsia" w:ascii="Times New Roman" w:hAnsi="Times New Roman" w:eastAsia="仿宋_GB2312" w:cs="仿宋_GB2312"/>
          <w:kern w:val="0"/>
          <w:sz w:val="32"/>
          <w:szCs w:val="32"/>
        </w:rPr>
        <w:t>万元，住</w:t>
      </w:r>
      <w:r>
        <w:rPr>
          <w:rFonts w:hint="eastAsia" w:ascii="Times New Roman" w:hAnsi="Times New Roman" w:eastAsia="仿宋_GB2312" w:cs="仿宋_GB2312"/>
          <w:kern w:val="0"/>
          <w:sz w:val="32"/>
          <w:szCs w:val="32"/>
          <w:lang w:eastAsia="zh-CN"/>
        </w:rPr>
        <w:t>房</w:t>
      </w:r>
      <w:r>
        <w:rPr>
          <w:rFonts w:hint="eastAsia" w:ascii="Times New Roman" w:hAnsi="Times New Roman" w:eastAsia="仿宋_GB2312" w:cs="仿宋_GB2312"/>
          <w:kern w:val="0"/>
          <w:sz w:val="32"/>
          <w:szCs w:val="32"/>
        </w:rPr>
        <w:t>保障支出</w:t>
      </w:r>
      <w:r>
        <w:rPr>
          <w:rFonts w:hint="eastAsia" w:ascii="Times New Roman" w:hAnsi="Times New Roman" w:eastAsia="仿宋_GB2312" w:cs="仿宋_GB2312"/>
          <w:kern w:val="0"/>
          <w:sz w:val="32"/>
          <w:szCs w:val="32"/>
          <w:lang w:val="en-US" w:eastAsia="zh-CN"/>
        </w:rPr>
        <w:t>11.63</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p>
    <w:p w14:paraId="78E15C23">
      <w:pPr>
        <w:numPr>
          <w:ilvl w:val="0"/>
          <w:numId w:val="0"/>
        </w:numPr>
        <w:spacing w:line="600" w:lineRule="exact"/>
        <w:ind w:firstLine="640" w:firstLineChars="200"/>
        <w:rPr>
          <w:rStyle w:val="23"/>
          <w:rFonts w:hint="eastAsia" w:ascii="黑体" w:hAnsi="黑体" w:eastAsia="黑体" w:cs="黑体"/>
          <w:b w:val="0"/>
          <w:bCs/>
          <w:lang w:eastAsia="zh-CN"/>
        </w:rPr>
      </w:pPr>
      <w:r>
        <w:rPr>
          <w:rStyle w:val="23"/>
          <w:rFonts w:hint="eastAsia" w:ascii="黑体" w:hAnsi="黑体" w:eastAsia="黑体" w:cs="黑体"/>
          <w:b w:val="0"/>
          <w:bCs/>
        </w:rPr>
        <w:t>三、一般公共预算当年拨款情况说明</w:t>
      </w:r>
    </w:p>
    <w:p w14:paraId="691EC0C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2A8CDDB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县文化馆</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年一般公共预算当年拨款</w:t>
      </w:r>
      <w:r>
        <w:rPr>
          <w:rFonts w:hint="eastAsia" w:ascii="Times New Roman" w:hAnsi="Times New Roman" w:eastAsia="仿宋_GB2312" w:cs="仿宋_GB2312"/>
          <w:color w:val="000000"/>
          <w:kern w:val="0"/>
          <w:sz w:val="32"/>
          <w:szCs w:val="32"/>
          <w:lang w:val="en-US" w:eastAsia="zh-CN"/>
        </w:rPr>
        <w:t>139.39</w:t>
      </w:r>
      <w:r>
        <w:rPr>
          <w:rFonts w:hint="eastAsia" w:ascii="Times New Roman" w:hAnsi="Times New Roman" w:eastAsia="仿宋_GB2312" w:cs="仿宋_GB2312"/>
          <w:color w:val="000000"/>
          <w:kern w:val="0"/>
          <w:sz w:val="32"/>
          <w:szCs w:val="32"/>
        </w:rPr>
        <w:t>万元，较上年预算数</w:t>
      </w:r>
      <w:r>
        <w:rPr>
          <w:rFonts w:hint="eastAsia" w:ascii="Times New Roman" w:hAnsi="Times New Roman" w:eastAsia="仿宋_GB2312" w:cs="仿宋_GB2312"/>
          <w:color w:val="000000"/>
          <w:kern w:val="0"/>
          <w:sz w:val="32"/>
          <w:szCs w:val="32"/>
          <w:lang w:eastAsia="zh-CN"/>
        </w:rPr>
        <w:t>增加</w:t>
      </w:r>
      <w:r>
        <w:rPr>
          <w:rFonts w:hint="eastAsia" w:ascii="Times New Roman" w:hAnsi="Times New Roman" w:eastAsia="仿宋_GB2312" w:cs="仿宋_GB2312"/>
          <w:color w:val="000000"/>
          <w:kern w:val="0"/>
          <w:sz w:val="32"/>
          <w:szCs w:val="32"/>
          <w:lang w:val="en-US" w:eastAsia="zh-CN"/>
        </w:rPr>
        <w:t>0.99</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kern w:val="0"/>
          <w:sz w:val="32"/>
          <w:szCs w:val="32"/>
        </w:rPr>
        <w:t>主要原因是</w:t>
      </w:r>
      <w:r>
        <w:rPr>
          <w:rFonts w:hint="eastAsia" w:ascii="Times New Roman" w:hAnsi="Times New Roman" w:eastAsia="仿宋_GB2312" w:cs="仿宋_GB2312"/>
          <w:kern w:val="0"/>
          <w:sz w:val="32"/>
          <w:szCs w:val="32"/>
          <w:lang w:eastAsia="zh-CN"/>
        </w:rPr>
        <w:t>文化体育与传媒支出增加</w:t>
      </w:r>
      <w:r>
        <w:rPr>
          <w:rFonts w:hint="eastAsia" w:ascii="Times New Roman" w:hAnsi="Times New Roman" w:eastAsia="仿宋_GB2312" w:cs="仿宋_GB2312"/>
          <w:kern w:val="0"/>
          <w:sz w:val="32"/>
          <w:szCs w:val="32"/>
          <w:lang w:val="en-US" w:eastAsia="zh-CN"/>
        </w:rPr>
        <w:t>0.76万元，住房保障支出增加0.23万元。</w:t>
      </w:r>
      <w:bookmarkStart w:id="0" w:name="_GoBack"/>
      <w:bookmarkEnd w:id="0"/>
    </w:p>
    <w:p w14:paraId="7BBE8247">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4C991BDD">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eastAsia="zh-CN"/>
        </w:rPr>
        <w:t>文化旅游体育与传媒</w:t>
      </w:r>
      <w:r>
        <w:rPr>
          <w:rFonts w:hint="eastAsia" w:ascii="Times New Roman" w:hAnsi="Times New Roman" w:eastAsia="仿宋_GB2312" w:cs="仿宋_GB2312"/>
          <w:color w:val="000000"/>
          <w:kern w:val="0"/>
          <w:sz w:val="32"/>
          <w:szCs w:val="32"/>
        </w:rPr>
        <w:t>支出</w:t>
      </w:r>
      <w:r>
        <w:rPr>
          <w:rFonts w:hint="eastAsia" w:ascii="Times New Roman" w:hAnsi="Times New Roman" w:eastAsia="仿宋_GB2312" w:cs="仿宋_GB2312"/>
          <w:color w:val="000000"/>
          <w:kern w:val="0"/>
          <w:sz w:val="32"/>
          <w:szCs w:val="32"/>
          <w:lang w:val="en-US" w:eastAsia="zh-CN"/>
        </w:rPr>
        <w:t>103.87</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74.52</w:t>
      </w:r>
      <w:r>
        <w:rPr>
          <w:rFonts w:hint="eastAsia" w:ascii="Times New Roman" w:hAnsi="Times New Roman" w:eastAsia="仿宋_GB2312" w:cs="仿宋_GB2312"/>
          <w:color w:val="000000"/>
          <w:kern w:val="0"/>
          <w:sz w:val="32"/>
          <w:szCs w:val="32"/>
        </w:rPr>
        <w:t>%；社会保障和就业支出</w:t>
      </w:r>
      <w:r>
        <w:rPr>
          <w:rFonts w:hint="eastAsia" w:ascii="Times New Roman" w:hAnsi="Times New Roman" w:eastAsia="仿宋_GB2312" w:cs="仿宋_GB2312"/>
          <w:color w:val="000000"/>
          <w:kern w:val="0"/>
          <w:sz w:val="32"/>
          <w:szCs w:val="32"/>
          <w:lang w:val="en-US" w:eastAsia="zh-CN"/>
        </w:rPr>
        <w:t>19.10</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13.70</w:t>
      </w:r>
      <w:r>
        <w:rPr>
          <w:rFonts w:hint="eastAsia" w:ascii="Times New Roman" w:hAnsi="Times New Roman" w:eastAsia="仿宋_GB2312" w:cs="仿宋_GB2312"/>
          <w:color w:val="000000"/>
          <w:kern w:val="0"/>
          <w:sz w:val="32"/>
          <w:szCs w:val="32"/>
        </w:rPr>
        <w:t>%；医疗卫生与计划生育支出</w:t>
      </w:r>
      <w:r>
        <w:rPr>
          <w:rFonts w:hint="eastAsia" w:ascii="Times New Roman" w:hAnsi="Times New Roman" w:eastAsia="仿宋_GB2312" w:cs="仿宋_GB2312"/>
          <w:color w:val="000000"/>
          <w:kern w:val="0"/>
          <w:sz w:val="32"/>
          <w:szCs w:val="32"/>
          <w:lang w:val="en-US" w:eastAsia="zh-CN"/>
        </w:rPr>
        <w:t>4.79</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3.44</w:t>
      </w:r>
      <w:r>
        <w:rPr>
          <w:rFonts w:hint="eastAsia" w:ascii="Times New Roman" w:hAnsi="Times New Roman" w:eastAsia="仿宋_GB2312" w:cs="仿宋_GB2312"/>
          <w:color w:val="000000"/>
          <w:kern w:val="0"/>
          <w:sz w:val="32"/>
          <w:szCs w:val="32"/>
        </w:rPr>
        <w:t>%；住房保障支出</w:t>
      </w:r>
      <w:r>
        <w:rPr>
          <w:rFonts w:hint="eastAsia" w:ascii="Times New Roman" w:hAnsi="Times New Roman" w:eastAsia="仿宋_GB2312" w:cs="仿宋_GB2312"/>
          <w:color w:val="000000"/>
          <w:kern w:val="0"/>
          <w:sz w:val="32"/>
          <w:szCs w:val="32"/>
          <w:lang w:val="en-US" w:eastAsia="zh-CN"/>
        </w:rPr>
        <w:t>11.63</w:t>
      </w:r>
      <w:r>
        <w:rPr>
          <w:rFonts w:hint="eastAsia" w:ascii="Times New Roman" w:hAnsi="Times New Roman" w:eastAsia="仿宋_GB2312" w:cs="仿宋_GB2312"/>
          <w:color w:val="000000"/>
          <w:kern w:val="0"/>
          <w:sz w:val="32"/>
          <w:szCs w:val="32"/>
        </w:rPr>
        <w:t>万元，占</w:t>
      </w:r>
      <w:r>
        <w:rPr>
          <w:rFonts w:hint="eastAsia" w:ascii="Times New Roman" w:hAnsi="Times New Roman" w:eastAsia="仿宋_GB2312" w:cs="仿宋_GB2312"/>
          <w:color w:val="000000"/>
          <w:kern w:val="0"/>
          <w:sz w:val="32"/>
          <w:szCs w:val="32"/>
          <w:lang w:val="en-US" w:eastAsia="zh-CN"/>
        </w:rPr>
        <w:t>8.34</w:t>
      </w:r>
      <w:r>
        <w:rPr>
          <w:rFonts w:hint="eastAsia" w:ascii="Times New Roman" w:hAnsi="Times New Roman" w:eastAsia="仿宋_GB2312" w:cs="仿宋_GB2312"/>
          <w:color w:val="000000"/>
          <w:kern w:val="0"/>
          <w:sz w:val="32"/>
          <w:szCs w:val="32"/>
        </w:rPr>
        <w:t>%。</w:t>
      </w:r>
    </w:p>
    <w:p w14:paraId="22788E4D">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2CB15D02">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lang w:eastAsia="zh-CN"/>
        </w:rPr>
        <w:t>文化旅游体育与传媒</w:t>
      </w:r>
      <w:r>
        <w:rPr>
          <w:rFonts w:hint="eastAsia" w:ascii="Times New Roman" w:hAnsi="Times New Roman" w:eastAsia="仿宋_GB2312" w:cs="仿宋_GB2312"/>
          <w:color w:val="000000"/>
          <w:kern w:val="0"/>
          <w:sz w:val="32"/>
          <w:szCs w:val="32"/>
        </w:rPr>
        <w:t>（类）</w:t>
      </w:r>
      <w:r>
        <w:rPr>
          <w:rFonts w:hint="eastAsia" w:ascii="Times New Roman" w:hAnsi="Times New Roman" w:eastAsia="仿宋_GB2312" w:cs="仿宋_GB2312"/>
          <w:color w:val="000000"/>
          <w:kern w:val="0"/>
          <w:sz w:val="32"/>
          <w:szCs w:val="32"/>
          <w:lang w:eastAsia="zh-CN"/>
        </w:rPr>
        <w:t>文化和旅游</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群众文化</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103.87</w:t>
      </w:r>
      <w:r>
        <w:rPr>
          <w:rFonts w:hint="eastAsia" w:ascii="Times New Roman" w:hAnsi="Times New Roman" w:eastAsia="仿宋_GB2312" w:cs="仿宋_GB2312"/>
          <w:color w:val="000000"/>
          <w:kern w:val="0"/>
          <w:sz w:val="32"/>
          <w:szCs w:val="32"/>
        </w:rPr>
        <w:t>万元，主要用于：事业单位正常运转的基本支出，包括基本工资、</w:t>
      </w:r>
      <w:r>
        <w:rPr>
          <w:rFonts w:hint="eastAsia" w:ascii="Times New Roman" w:hAnsi="Times New Roman" w:eastAsia="仿宋_GB2312" w:cs="仿宋_GB2312"/>
          <w:color w:val="000000"/>
          <w:kern w:val="0"/>
          <w:sz w:val="32"/>
          <w:szCs w:val="32"/>
          <w:lang w:eastAsia="zh-CN"/>
        </w:rPr>
        <w:t>规范</w:t>
      </w:r>
      <w:r>
        <w:rPr>
          <w:rFonts w:hint="eastAsia" w:ascii="Times New Roman" w:hAnsi="Times New Roman" w:eastAsia="仿宋_GB2312" w:cs="仿宋_GB2312"/>
          <w:color w:val="000000"/>
          <w:kern w:val="0"/>
          <w:sz w:val="32"/>
          <w:szCs w:val="32"/>
        </w:rPr>
        <w:t>津贴补贴</w:t>
      </w:r>
      <w:r>
        <w:rPr>
          <w:rFonts w:hint="eastAsia" w:ascii="Times New Roman" w:hAnsi="Times New Roman" w:eastAsia="仿宋_GB2312" w:cs="仿宋_GB2312"/>
          <w:color w:val="000000"/>
          <w:kern w:val="0"/>
          <w:sz w:val="32"/>
          <w:szCs w:val="32"/>
          <w:lang w:eastAsia="zh-CN"/>
        </w:rPr>
        <w:t>、艰苦边远地区津贴补贴、绩效工资、伙食补助费、</w:t>
      </w:r>
      <w:r>
        <w:rPr>
          <w:rFonts w:hint="eastAsia" w:ascii="仿宋" w:hAnsi="仿宋" w:eastAsia="仿宋" w:cs="宋体"/>
          <w:color w:val="000000"/>
          <w:kern w:val="0"/>
          <w:sz w:val="32"/>
          <w:szCs w:val="32"/>
          <w:lang w:eastAsia="zh-CN"/>
        </w:rPr>
        <w:t>对个人和家庭的补助</w:t>
      </w:r>
      <w:r>
        <w:rPr>
          <w:rFonts w:hint="eastAsia" w:ascii="Times New Roman" w:hAnsi="Times New Roman" w:eastAsia="仿宋_GB2312" w:cs="仿宋_GB2312"/>
          <w:color w:val="000000"/>
          <w:kern w:val="0"/>
          <w:sz w:val="32"/>
          <w:szCs w:val="32"/>
        </w:rPr>
        <w:t>等人员经费以及办公费、印刷费、</w:t>
      </w:r>
      <w:r>
        <w:rPr>
          <w:rFonts w:hint="eastAsia" w:ascii="Times New Roman" w:hAnsi="Times New Roman" w:eastAsia="仿宋_GB2312" w:cs="仿宋_GB2312"/>
          <w:color w:val="000000"/>
          <w:kern w:val="0"/>
          <w:sz w:val="32"/>
          <w:szCs w:val="32"/>
          <w:lang w:eastAsia="zh-CN"/>
        </w:rPr>
        <w:t>劳务费、培训费、公务接待费、福利费、工会经费、公务用车运行维护费</w:t>
      </w:r>
      <w:r>
        <w:rPr>
          <w:rFonts w:hint="eastAsia" w:ascii="Times New Roman" w:hAnsi="Times New Roman" w:eastAsia="仿宋_GB2312" w:cs="仿宋_GB2312"/>
          <w:color w:val="000000"/>
          <w:kern w:val="0"/>
          <w:sz w:val="32"/>
          <w:szCs w:val="32"/>
        </w:rPr>
        <w:t>等日常公用经费。</w:t>
      </w:r>
    </w:p>
    <w:p w14:paraId="5E89E829">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.社会保障和就业（类）</w:t>
      </w:r>
      <w:r>
        <w:rPr>
          <w:rFonts w:hint="eastAsia" w:ascii="Times New Roman" w:hAnsi="Times New Roman" w:eastAsia="仿宋_GB2312" w:cs="仿宋_GB2312"/>
          <w:color w:val="000000"/>
          <w:kern w:val="0"/>
          <w:sz w:val="32"/>
          <w:szCs w:val="32"/>
          <w:lang w:eastAsia="zh-CN"/>
        </w:rPr>
        <w:t>行政事业单位养老支出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机关事业单位基本养老保险缴费支出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12.03</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w:t>
      </w:r>
    </w:p>
    <w:p w14:paraId="590E5F78">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.社会保障和就业（类）</w:t>
      </w:r>
      <w:r>
        <w:rPr>
          <w:rFonts w:hint="eastAsia" w:ascii="Times New Roman" w:hAnsi="Times New Roman" w:eastAsia="仿宋_GB2312" w:cs="仿宋_GB2312"/>
          <w:color w:val="000000"/>
          <w:kern w:val="0"/>
          <w:sz w:val="32"/>
          <w:szCs w:val="32"/>
          <w:lang w:eastAsia="zh-CN"/>
        </w:rPr>
        <w:t>行政事业单位养老支出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行政事业单位职业年金缴费支出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6.02</w:t>
      </w:r>
      <w:r>
        <w:rPr>
          <w:rFonts w:hint="eastAsia" w:ascii="Times New Roman" w:hAnsi="Times New Roman" w:eastAsia="仿宋_GB2312" w:cs="仿宋_GB2312"/>
          <w:color w:val="000000"/>
          <w:kern w:val="0"/>
          <w:sz w:val="32"/>
          <w:szCs w:val="32"/>
        </w:rPr>
        <w:t>万元，主要用于：实施养老保险制度后，部门按规定由单位缴纳的职业年金支出。</w:t>
      </w:r>
    </w:p>
    <w:p w14:paraId="5466BE65">
      <w:pPr>
        <w:numPr>
          <w:ilvl w:val="0"/>
          <w:numId w:val="0"/>
        </w:numPr>
        <w:spacing w:line="60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社会保障和就业（类）</w:t>
      </w:r>
      <w:r>
        <w:rPr>
          <w:rFonts w:hint="eastAsia" w:ascii="Times New Roman" w:hAnsi="Times New Roman" w:eastAsia="仿宋_GB2312" w:cs="仿宋_GB2312"/>
          <w:color w:val="000000"/>
          <w:kern w:val="0"/>
          <w:sz w:val="32"/>
          <w:szCs w:val="32"/>
          <w:lang w:eastAsia="zh-CN"/>
        </w:rPr>
        <w:t>行政事业单位养老支出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其他社会保障和就业支出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1.05</w:t>
      </w:r>
      <w:r>
        <w:rPr>
          <w:rFonts w:hint="eastAsia" w:ascii="Times New Roman" w:hAnsi="Times New Roman" w:eastAsia="仿宋_GB2312" w:cs="仿宋_GB2312"/>
          <w:color w:val="000000"/>
          <w:kern w:val="0"/>
          <w:sz w:val="32"/>
          <w:szCs w:val="32"/>
        </w:rPr>
        <w:t>万元，主要用于：</w:t>
      </w:r>
      <w:r>
        <w:rPr>
          <w:rFonts w:hint="eastAsia" w:ascii="仿宋_GB2312" w:hAnsi="仿宋_GB2312" w:eastAsia="仿宋_GB2312" w:cs="仿宋_GB2312"/>
          <w:color w:val="000000"/>
          <w:kern w:val="0"/>
          <w:sz w:val="32"/>
          <w:szCs w:val="32"/>
          <w:lang w:val="en-US" w:eastAsia="zh-CN"/>
        </w:rPr>
        <w:t>其他社会保障和就业支出</w:t>
      </w:r>
      <w:r>
        <w:rPr>
          <w:rFonts w:hint="eastAsia" w:ascii="仿宋_GB2312" w:hAnsi="仿宋_GB2312" w:eastAsia="仿宋_GB2312" w:cs="仿宋_GB2312"/>
          <w:color w:val="000000"/>
          <w:kern w:val="0"/>
          <w:sz w:val="32"/>
          <w:szCs w:val="32"/>
        </w:rPr>
        <w:t>。</w:t>
      </w:r>
    </w:p>
    <w:p w14:paraId="4502BD9B">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.医疗卫生与计划生育（类）</w:t>
      </w:r>
      <w:r>
        <w:rPr>
          <w:rFonts w:hint="eastAsia" w:ascii="Times New Roman" w:hAnsi="Times New Roman" w:eastAsia="仿宋_GB2312" w:cs="仿宋_GB2312"/>
          <w:color w:val="000000"/>
          <w:kern w:val="0"/>
          <w:sz w:val="32"/>
          <w:szCs w:val="32"/>
          <w:lang w:eastAsia="zh-CN"/>
        </w:rPr>
        <w:t>行政事业单位医疗</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事业单位医疗</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4.79</w:t>
      </w:r>
      <w:r>
        <w:rPr>
          <w:rFonts w:hint="eastAsia" w:ascii="Times New Roman" w:hAnsi="Times New Roman" w:eastAsia="仿宋_GB2312" w:cs="仿宋_GB2312"/>
          <w:color w:val="000000"/>
          <w:kern w:val="0"/>
          <w:sz w:val="32"/>
          <w:szCs w:val="32"/>
        </w:rPr>
        <w:t>万元，主要用于：部门下属事业单位基本医疗保险缴费支出。</w:t>
      </w:r>
    </w:p>
    <w:p w14:paraId="05D61BE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.住房保障（类）</w:t>
      </w:r>
      <w:r>
        <w:rPr>
          <w:rFonts w:hint="eastAsia" w:ascii="Times New Roman" w:hAnsi="Times New Roman" w:eastAsia="仿宋_GB2312" w:cs="仿宋_GB2312"/>
          <w:color w:val="000000"/>
          <w:kern w:val="0"/>
          <w:sz w:val="32"/>
          <w:szCs w:val="32"/>
          <w:lang w:eastAsia="zh-CN"/>
        </w:rPr>
        <w:t>住房改革支出</w:t>
      </w:r>
      <w:r>
        <w:rPr>
          <w:rFonts w:hint="eastAsia" w:ascii="Times New Roman" w:hAnsi="Times New Roman" w:eastAsia="仿宋_GB2312" w:cs="仿宋_GB2312"/>
          <w:color w:val="000000"/>
          <w:kern w:val="0"/>
          <w:sz w:val="32"/>
          <w:szCs w:val="32"/>
        </w:rPr>
        <w:t>（款）</w:t>
      </w:r>
      <w:r>
        <w:rPr>
          <w:rFonts w:hint="eastAsia" w:ascii="Times New Roman" w:hAnsi="Times New Roman" w:eastAsia="仿宋_GB2312" w:cs="仿宋_GB2312"/>
          <w:color w:val="000000"/>
          <w:kern w:val="0"/>
          <w:sz w:val="32"/>
          <w:szCs w:val="32"/>
          <w:lang w:eastAsia="zh-CN"/>
        </w:rPr>
        <w:t>住房公积金</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11.63</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186596E9">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50A51C80">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县文化馆2025</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139.39</w:t>
      </w:r>
      <w:r>
        <w:rPr>
          <w:rFonts w:hint="eastAsia" w:ascii="Times New Roman" w:hAnsi="Times New Roman" w:eastAsia="仿宋_GB2312" w:cs="仿宋_GB2312"/>
          <w:color w:val="000000"/>
          <w:kern w:val="0"/>
          <w:sz w:val="32"/>
          <w:szCs w:val="32"/>
        </w:rPr>
        <w:t>万元，其中：</w:t>
      </w:r>
    </w:p>
    <w:p w14:paraId="14A2F832">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人员经费</w:t>
      </w:r>
      <w:r>
        <w:rPr>
          <w:rFonts w:hint="eastAsia" w:ascii="Times New Roman" w:hAnsi="Times New Roman" w:eastAsia="仿宋_GB2312" w:cs="仿宋_GB2312"/>
          <w:color w:val="000000"/>
          <w:kern w:val="0"/>
          <w:sz w:val="32"/>
          <w:szCs w:val="32"/>
          <w:lang w:val="en-US" w:eastAsia="zh-CN"/>
        </w:rPr>
        <w:t>119.95</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基本工资、津贴补贴、</w:t>
      </w:r>
      <w:r>
        <w:rPr>
          <w:rFonts w:hint="eastAsia" w:ascii="Times New Roman" w:hAnsi="Times New Roman" w:eastAsia="仿宋_GB2312" w:cs="仿宋_GB2312"/>
          <w:color w:val="auto"/>
          <w:kern w:val="0"/>
          <w:sz w:val="32"/>
          <w:szCs w:val="32"/>
          <w:lang w:eastAsia="zh-CN"/>
        </w:rPr>
        <w:t>伙食补助费、</w:t>
      </w:r>
      <w:r>
        <w:rPr>
          <w:rFonts w:hint="eastAsia" w:ascii="Times New Roman" w:hAnsi="Times New Roman" w:eastAsia="仿宋_GB2312" w:cs="仿宋_GB2312"/>
          <w:color w:val="auto"/>
          <w:kern w:val="0"/>
          <w:sz w:val="32"/>
          <w:szCs w:val="32"/>
        </w:rPr>
        <w:t>绩效工资、机关事业单位基本养老保险缴费、职业年金缴费、</w:t>
      </w:r>
      <w:r>
        <w:rPr>
          <w:rFonts w:hint="eastAsia" w:ascii="Times New Roman" w:hAnsi="Times New Roman" w:eastAsia="仿宋_GB2312" w:cs="仿宋_GB2312"/>
          <w:color w:val="auto"/>
          <w:kern w:val="0"/>
          <w:sz w:val="32"/>
          <w:szCs w:val="32"/>
          <w:lang w:eastAsia="zh-CN"/>
        </w:rPr>
        <w:t>职工基本医疗保险缴费、其他社会保障缴费、</w:t>
      </w:r>
      <w:r>
        <w:rPr>
          <w:rFonts w:hint="eastAsia" w:ascii="Times New Roman" w:hAnsi="Times New Roman" w:eastAsia="仿宋_GB2312" w:cs="仿宋_GB2312"/>
          <w:color w:val="auto"/>
          <w:kern w:val="0"/>
          <w:sz w:val="32"/>
          <w:szCs w:val="32"/>
        </w:rPr>
        <w:t>住房公积金、其他对个人和家庭的补助支出。</w:t>
      </w:r>
    </w:p>
    <w:p w14:paraId="60E5FFC5">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19.44</w:t>
      </w:r>
      <w:r>
        <w:rPr>
          <w:rFonts w:hint="eastAsia" w:ascii="Times New Roman" w:hAnsi="Times New Roman" w:eastAsia="仿宋_GB2312" w:cs="仿宋_GB2312"/>
          <w:color w:val="000000"/>
          <w:kern w:val="0"/>
          <w:sz w:val="32"/>
          <w:szCs w:val="32"/>
        </w:rPr>
        <w:t>万元，主要包括：</w:t>
      </w:r>
      <w:r>
        <w:rPr>
          <w:rFonts w:hint="eastAsia" w:ascii="Times New Roman" w:hAnsi="Times New Roman" w:eastAsia="仿宋_GB2312" w:cs="仿宋_GB2312"/>
          <w:color w:val="auto"/>
          <w:kern w:val="0"/>
          <w:sz w:val="32"/>
          <w:szCs w:val="32"/>
        </w:rPr>
        <w:t>办公费、印刷费、培训费、</w:t>
      </w:r>
      <w:r>
        <w:rPr>
          <w:rFonts w:hint="eastAsia" w:ascii="Times New Roman" w:hAnsi="Times New Roman" w:eastAsia="仿宋_GB2312" w:cs="仿宋_GB2312"/>
          <w:color w:val="auto"/>
          <w:kern w:val="0"/>
          <w:sz w:val="32"/>
          <w:szCs w:val="32"/>
          <w:lang w:eastAsia="zh-CN"/>
        </w:rPr>
        <w:t>公务接待费、</w:t>
      </w:r>
      <w:r>
        <w:rPr>
          <w:rFonts w:hint="eastAsia" w:ascii="Times New Roman" w:hAnsi="Times New Roman" w:eastAsia="仿宋_GB2312" w:cs="仿宋_GB2312"/>
          <w:color w:val="auto"/>
          <w:kern w:val="0"/>
          <w:sz w:val="32"/>
          <w:szCs w:val="32"/>
        </w:rPr>
        <w:t>劳务费、工会经费、福利费、</w:t>
      </w:r>
      <w:r>
        <w:rPr>
          <w:rFonts w:hint="eastAsia" w:ascii="Times New Roman" w:hAnsi="Times New Roman" w:eastAsia="仿宋_GB2312" w:cs="仿宋_GB2312"/>
          <w:color w:val="auto"/>
          <w:kern w:val="0"/>
          <w:sz w:val="32"/>
          <w:szCs w:val="32"/>
          <w:lang w:eastAsia="zh-CN"/>
        </w:rPr>
        <w:t>公务用车运行维护费</w:t>
      </w:r>
      <w:r>
        <w:rPr>
          <w:rFonts w:hint="eastAsia" w:ascii="Times New Roman" w:hAnsi="Times New Roman" w:eastAsia="仿宋_GB2312" w:cs="仿宋_GB2312"/>
          <w:color w:val="auto"/>
          <w:kern w:val="0"/>
          <w:sz w:val="32"/>
          <w:szCs w:val="32"/>
        </w:rPr>
        <w:t>。</w:t>
      </w:r>
    </w:p>
    <w:p w14:paraId="778E5132">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63139FD4">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峨边彝族自治县文化馆2025年没有使用政府性基金预算拨款安排的支出。</w:t>
      </w:r>
    </w:p>
    <w:p w14:paraId="017BAAEE">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67F0B8CA">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峨边彝族自治县文化馆2025年没有使用国有资本经营预算拨款安排的支出。</w:t>
      </w:r>
    </w:p>
    <w:p w14:paraId="49FD24A4">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3F2D91E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峨边彝族自治县文化馆2025</w:t>
      </w:r>
      <w:r>
        <w:rPr>
          <w:rFonts w:hint="eastAsia" w:ascii="Times New Roman" w:hAnsi="Times New Roman" w:eastAsia="仿宋_GB2312" w:cs="仿宋_GB2312"/>
          <w:color w:val="000000"/>
          <w:kern w:val="0"/>
          <w:sz w:val="32"/>
          <w:szCs w:val="32"/>
        </w:rPr>
        <w:t>年“三公”经费</w:t>
      </w:r>
      <w:r>
        <w:rPr>
          <w:rFonts w:hint="eastAsia" w:ascii="Times New Roman" w:hAnsi="Times New Roman" w:eastAsia="仿宋_GB2312" w:cs="仿宋_GB2312"/>
          <w:color w:val="000000"/>
          <w:kern w:val="0"/>
          <w:sz w:val="32"/>
          <w:szCs w:val="32"/>
          <w:lang w:eastAsia="zh-CN"/>
        </w:rPr>
        <w:t>财政拨款</w:t>
      </w:r>
      <w:r>
        <w:rPr>
          <w:rFonts w:hint="eastAsia" w:ascii="Times New Roman" w:hAnsi="Times New Roman" w:eastAsia="仿宋_GB2312" w:cs="仿宋_GB2312"/>
          <w:color w:val="000000"/>
          <w:kern w:val="0"/>
          <w:sz w:val="32"/>
          <w:szCs w:val="32"/>
        </w:rPr>
        <w:t>预算数</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万元。其中</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因公出国（境）经费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万元，公务接待费</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万元，公务用车购置及运行维护费</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万元。</w:t>
      </w:r>
    </w:p>
    <w:p w14:paraId="2DA2A39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19E4DB68">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w:t>
      </w:r>
      <w:r>
        <w:rPr>
          <w:rFonts w:hint="eastAsia" w:ascii="Times New Roman" w:hAnsi="Times New Roman" w:eastAsia="仿宋_GB2312" w:cs="仿宋_GB2312"/>
          <w:color w:val="000000"/>
          <w:kern w:val="0"/>
          <w:sz w:val="32"/>
          <w:szCs w:val="32"/>
          <w:lang w:eastAsia="zh-CN"/>
        </w:rPr>
        <w:t>增加</w:t>
      </w:r>
      <w:r>
        <w:rPr>
          <w:rFonts w:hint="eastAsia" w:ascii="Times New Roman" w:hAnsi="Times New Roman" w:eastAsia="仿宋_GB2312" w:cs="仿宋_GB2312"/>
          <w:color w:val="000000"/>
          <w:kern w:val="0"/>
          <w:sz w:val="32"/>
          <w:szCs w:val="32"/>
          <w:lang w:val="en-US" w:eastAsia="zh-CN"/>
        </w:rPr>
        <w:t>0.2</w:t>
      </w:r>
      <w:r>
        <w:rPr>
          <w:rFonts w:hint="eastAsia" w:ascii="Times New Roman" w:hAnsi="Times New Roman" w:eastAsia="仿宋_GB2312" w:cs="仿宋_GB2312"/>
          <w:color w:val="000000"/>
          <w:kern w:val="0"/>
          <w:sz w:val="32"/>
          <w:szCs w:val="32"/>
        </w:rPr>
        <w:t>万元，</w:t>
      </w:r>
      <w:r>
        <w:rPr>
          <w:rFonts w:hint="eastAsia" w:ascii="Times New Roman" w:hAnsi="Times New Roman" w:eastAsia="仿宋_GB2312" w:cs="仿宋_GB2312"/>
          <w:color w:val="000000"/>
          <w:kern w:val="0"/>
          <w:sz w:val="32"/>
          <w:szCs w:val="32"/>
          <w:lang w:eastAsia="zh-CN"/>
        </w:rPr>
        <w:t>上升</w:t>
      </w:r>
      <w:r>
        <w:rPr>
          <w:rFonts w:hint="eastAsia" w:ascii="Times New Roman" w:hAnsi="Times New Roman" w:eastAsia="仿宋_GB2312" w:cs="仿宋_GB2312"/>
          <w:color w:val="000000"/>
          <w:kern w:val="0"/>
          <w:sz w:val="32"/>
          <w:szCs w:val="32"/>
          <w:lang w:val="en-US" w:eastAsia="zh-CN"/>
        </w:rPr>
        <w:t>20</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eastAsia="zh-CN"/>
        </w:rPr>
        <w:t>接待需求和接待标准提高</w:t>
      </w:r>
      <w:r>
        <w:rPr>
          <w:rFonts w:hint="eastAsia" w:ascii="Times New Roman" w:hAnsi="Times New Roman" w:eastAsia="仿宋_GB2312" w:cs="仿宋_GB2312"/>
          <w:color w:val="000000"/>
          <w:kern w:val="0"/>
          <w:sz w:val="32"/>
          <w:szCs w:val="32"/>
        </w:rPr>
        <w:t>。</w:t>
      </w:r>
    </w:p>
    <w:p w14:paraId="32C13BE9">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年公务接待费计划用于</w:t>
      </w:r>
      <w:r>
        <w:rPr>
          <w:rFonts w:hint="eastAsia" w:ascii="Times New Roman" w:hAnsi="Times New Roman" w:eastAsia="仿宋_GB2312" w:cs="仿宋_GB2312"/>
          <w:color w:val="000000"/>
          <w:kern w:val="0"/>
          <w:sz w:val="32"/>
          <w:szCs w:val="32"/>
          <w:lang w:eastAsia="zh-CN"/>
        </w:rPr>
        <w:t>省市级领导</w:t>
      </w:r>
      <w:r>
        <w:rPr>
          <w:rFonts w:hint="eastAsia" w:ascii="Times New Roman" w:hAnsi="Times New Roman" w:eastAsia="仿宋_GB2312" w:cs="仿宋_GB2312"/>
          <w:color w:val="000000"/>
          <w:kern w:val="0"/>
          <w:sz w:val="32"/>
          <w:szCs w:val="32"/>
        </w:rPr>
        <w:t>调研指导工作</w:t>
      </w:r>
      <w:r>
        <w:rPr>
          <w:rFonts w:hint="eastAsia" w:ascii="Times New Roman" w:hAnsi="Times New Roman" w:eastAsia="仿宋_GB2312" w:cs="仿宋_GB2312"/>
          <w:color w:val="000000"/>
          <w:kern w:val="0"/>
          <w:sz w:val="32"/>
          <w:szCs w:val="32"/>
          <w:lang w:eastAsia="zh-CN"/>
        </w:rPr>
        <w:t>，迎接上级检查接待，</w:t>
      </w:r>
      <w:r>
        <w:rPr>
          <w:rFonts w:hint="eastAsia" w:ascii="Times New Roman" w:hAnsi="Times New Roman" w:eastAsia="仿宋_GB2312" w:cs="仿宋_GB2312"/>
          <w:color w:val="000000"/>
          <w:kern w:val="0"/>
          <w:sz w:val="32"/>
          <w:szCs w:val="32"/>
        </w:rPr>
        <w:t>和</w:t>
      </w:r>
      <w:r>
        <w:rPr>
          <w:rFonts w:hint="eastAsia" w:ascii="Times New Roman" w:hAnsi="Times New Roman" w:eastAsia="仿宋_GB2312" w:cs="仿宋_GB2312"/>
          <w:color w:val="000000"/>
          <w:kern w:val="0"/>
          <w:sz w:val="32"/>
          <w:szCs w:val="32"/>
          <w:lang w:eastAsia="zh-CN"/>
        </w:rPr>
        <w:t>对外交流活动接待等支出</w:t>
      </w:r>
      <w:r>
        <w:rPr>
          <w:rFonts w:hint="eastAsia" w:ascii="Times New Roman" w:hAnsi="Times New Roman" w:eastAsia="仿宋_GB2312" w:cs="仿宋_GB2312"/>
          <w:color w:val="000000"/>
          <w:kern w:val="0"/>
          <w:sz w:val="32"/>
          <w:szCs w:val="32"/>
        </w:rPr>
        <w:t>。</w:t>
      </w:r>
    </w:p>
    <w:p w14:paraId="78DDB7F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0.5</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14.29</w:t>
      </w:r>
      <w:r>
        <w:rPr>
          <w:rFonts w:hint="eastAsia" w:ascii="Times New Roman" w:hAnsi="Times New Roman" w:eastAsia="仿宋_GB2312" w:cs="仿宋_GB2312"/>
          <w:color w:val="000000"/>
          <w:kern w:val="0"/>
          <w:sz w:val="32"/>
          <w:szCs w:val="32"/>
        </w:rPr>
        <w:t>%。主要原因是</w:t>
      </w:r>
      <w:r>
        <w:rPr>
          <w:rFonts w:hint="eastAsia" w:ascii="Times New Roman" w:hAnsi="Times New Roman" w:eastAsia="仿宋_GB2312" w:cs="仿宋_GB2312"/>
          <w:color w:val="000000"/>
          <w:kern w:val="0"/>
          <w:sz w:val="32"/>
          <w:szCs w:val="32"/>
          <w:lang w:eastAsia="zh-CN"/>
        </w:rPr>
        <w:t>：本着节俭高效的原则，进一步加强公务用车管理，厉行节约，减少费用支出</w:t>
      </w:r>
      <w:r>
        <w:rPr>
          <w:rFonts w:hint="eastAsia" w:ascii="Times New Roman" w:hAnsi="Times New Roman" w:eastAsia="仿宋_GB2312" w:cs="仿宋_GB2312"/>
          <w:color w:val="000000"/>
          <w:kern w:val="0"/>
          <w:sz w:val="32"/>
          <w:szCs w:val="32"/>
        </w:rPr>
        <w:t>。</w:t>
      </w:r>
    </w:p>
    <w:p w14:paraId="0E040FEB">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辆。</w:t>
      </w:r>
    </w:p>
    <w:p w14:paraId="7CFCB63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2025年安排公务用车购置费0万元。</w:t>
      </w:r>
    </w:p>
    <w:p w14:paraId="47106C0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4AA9670A">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600D3780">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592BAF71">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2025</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，峨边彝族自治县文化馆</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19.44</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，比2024年预算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0.15</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000000"/>
          <w:kern w:val="0"/>
          <w:sz w:val="32"/>
          <w:szCs w:val="32"/>
        </w:rPr>
        <w:t>中央八项规定及厉行节约、反对浪费的要求</w:t>
      </w:r>
      <w:r>
        <w:rPr>
          <w:rFonts w:hint="eastAsia" w:ascii="Times New Roman" w:hAnsi="Times New Roman" w:eastAsia="仿宋_GB2312" w:cs="仿宋_GB2312"/>
          <w:color w:val="000000"/>
          <w:sz w:val="32"/>
          <w:szCs w:val="32"/>
          <w:shd w:val="clear" w:color="auto" w:fill="FFFFFF"/>
        </w:rPr>
        <w:t>。</w:t>
      </w:r>
    </w:p>
    <w:p w14:paraId="4D12B96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60C19EDD">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themeColor="text1"/>
          <w:sz w:val="32"/>
          <w:szCs w:val="32"/>
          <w:lang w:eastAsia="zh-CN"/>
          <w14:textFill>
            <w14:solidFill>
              <w14:schemeClr w14:val="tx1"/>
            </w14:solidFill>
          </w14:textFill>
        </w:rPr>
        <w:t>峨边彝族自治县文化馆</w:t>
      </w:r>
      <w:r>
        <w:rPr>
          <w:rFonts w:hint="eastAsia" w:ascii="Times New Roman" w:hAnsi="Times New Roman" w:eastAsia="仿宋_GB2312" w:cs="仿宋_GB2312"/>
          <w:color w:val="000000"/>
          <w:kern w:val="0"/>
          <w:sz w:val="32"/>
          <w:szCs w:val="32"/>
          <w:lang w:eastAsia="zh-CN"/>
        </w:rPr>
        <w:t>2025年无政府采购项目，未安排政府采购预算。</w:t>
      </w:r>
    </w:p>
    <w:p w14:paraId="6D55F6F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502BC11E">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rPr>
        <w:t>截至2024年底，</w:t>
      </w:r>
      <w:r>
        <w:rPr>
          <w:rFonts w:hint="eastAsia" w:ascii="Times New Roman" w:hAnsi="Times New Roman" w:eastAsia="仿宋_GB2312" w:cs="仿宋_GB2312"/>
          <w:color w:val="000000"/>
          <w:kern w:val="0"/>
          <w:lang w:eastAsia="zh-CN"/>
        </w:rPr>
        <w:t>峨边彝族自治县文化馆</w:t>
      </w:r>
      <w:r>
        <w:rPr>
          <w:rFonts w:hint="eastAsia" w:ascii="Times New Roman" w:hAnsi="Times New Roman" w:eastAsia="仿宋_GB2312" w:cs="仿宋_GB2312"/>
          <w:color w:val="000000"/>
          <w:kern w:val="0"/>
        </w:rPr>
        <w:t>所属各预算单位共有车辆</w:t>
      </w:r>
      <w:r>
        <w:rPr>
          <w:rFonts w:hint="eastAsia" w:ascii="Times New Roman" w:hAnsi="Times New Roman" w:eastAsia="仿宋_GB2312" w:cs="仿宋_GB2312"/>
          <w:color w:val="000000"/>
          <w:kern w:val="0"/>
          <w:lang w:val="en-US" w:eastAsia="zh-CN"/>
        </w:rPr>
        <w:t>1</w:t>
      </w:r>
      <w:r>
        <w:rPr>
          <w:rFonts w:hint="eastAsia" w:ascii="Times New Roman" w:hAnsi="Times New Roman" w:eastAsia="仿宋_GB2312" w:cs="仿宋_GB2312"/>
          <w:color w:val="000000"/>
          <w:kern w:val="0"/>
        </w:rPr>
        <w:t>辆，其中，县级领导干部用车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，其他车辆</w:t>
      </w:r>
      <w:r>
        <w:rPr>
          <w:rFonts w:hint="eastAsia" w:ascii="Times New Roman" w:hAnsi="Times New Roman" w:eastAsia="仿宋_GB2312" w:cs="仿宋_GB2312"/>
          <w:color w:val="000000"/>
          <w:kern w:val="0"/>
          <w:lang w:val="en-US" w:eastAsia="zh-CN"/>
        </w:rPr>
        <w:t>1辆</w:t>
      </w:r>
      <w:r>
        <w:rPr>
          <w:rFonts w:hint="eastAsia" w:ascii="Times New Roman" w:hAnsi="Times New Roman" w:eastAsia="仿宋_GB2312" w:cs="仿宋_GB2312"/>
          <w:color w:val="000000"/>
          <w:kern w:val="0"/>
        </w:rPr>
        <w:t>。单位价值200万元以上大型设备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p>
    <w:p w14:paraId="13E7C617">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5</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43EAA6CA">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174FDE16">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2025年，峨边彝族自治县文化馆开展绩效目标管理的项目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23940459">
      <w:pPr>
        <w:pStyle w:val="2"/>
        <w:numPr>
          <w:ilvl w:val="0"/>
          <w:numId w:val="0"/>
        </w:numPr>
        <w:bidi w:val="0"/>
        <w:jc w:val="both"/>
        <w:rPr>
          <w:rFonts w:hint="eastAsia"/>
          <w:lang w:val="en-US" w:eastAsia="zh-CN"/>
        </w:rPr>
      </w:pPr>
    </w:p>
    <w:p w14:paraId="6B9B77F9">
      <w:pPr>
        <w:rPr>
          <w:rFonts w:hint="eastAsia"/>
          <w:lang w:val="en-US" w:eastAsia="zh-CN"/>
        </w:rPr>
      </w:pPr>
    </w:p>
    <w:p w14:paraId="79C0F76F">
      <w:pPr>
        <w:rPr>
          <w:rFonts w:hint="eastAsia"/>
          <w:lang w:val="en-US" w:eastAsia="zh-CN"/>
        </w:rPr>
      </w:pPr>
    </w:p>
    <w:p w14:paraId="245A2890">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769FFA22">
      <w:pPr>
        <w:pStyle w:val="2"/>
        <w:bidi w:val="0"/>
        <w:jc w:val="center"/>
        <w:rPr>
          <w:rFonts w:hint="eastAsia"/>
          <w:lang w:val="en-US" w:eastAsia="zh-CN"/>
        </w:rPr>
      </w:pPr>
      <w:r>
        <w:rPr>
          <w:rFonts w:hint="eastAsia"/>
          <w:lang w:val="en-US" w:eastAsia="zh-CN"/>
        </w:rPr>
        <w:t>第四部分  名词解释</w:t>
      </w:r>
    </w:p>
    <w:p w14:paraId="78F2D130">
      <w:pPr>
        <w:widowControl/>
        <w:numPr>
          <w:ilvl w:val="0"/>
          <w:numId w:val="0"/>
        </w:numPr>
        <w:shd w:val="clear" w:color="auto" w:fill="FFFFFF"/>
        <w:spacing w:beforeAutospacing="0"/>
        <w:ind w:left="960" w:leftChars="0"/>
        <w:jc w:val="left"/>
        <w:rPr>
          <w:rFonts w:hint="eastAsia" w:ascii="仿宋" w:hAnsi="宋体" w:eastAsia="仿宋" w:cs="宋体"/>
          <w:color w:val="000000"/>
          <w:kern w:val="0"/>
          <w:sz w:val="32"/>
          <w:szCs w:val="32"/>
        </w:rPr>
      </w:pPr>
    </w:p>
    <w:p w14:paraId="7D7EDD7A">
      <w:pPr>
        <w:widowControl/>
        <w:numPr>
          <w:ilvl w:val="0"/>
          <w:numId w:val="0"/>
        </w:numPr>
        <w:shd w:val="clear" w:color="auto" w:fill="FFFFFF"/>
        <w:jc w:val="left"/>
        <w:rPr>
          <w:rFonts w:hint="eastAsia" w:ascii="仿宋" w:hAnsi="宋体" w:eastAsia="仿宋" w:cs="宋体"/>
          <w:color w:val="000000"/>
          <w:kern w:val="0"/>
          <w:sz w:val="32"/>
          <w:szCs w:val="32"/>
        </w:rPr>
      </w:pPr>
    </w:p>
    <w:p w14:paraId="7D112A43">
      <w:pPr>
        <w:widowControl/>
        <w:numPr>
          <w:ilvl w:val="0"/>
          <w:numId w:val="0"/>
        </w:numPr>
        <w:shd w:val="clear" w:color="auto" w:fill="FFFFFF"/>
        <w:jc w:val="left"/>
        <w:rPr>
          <w:rFonts w:hint="eastAsia" w:ascii="仿宋" w:hAnsi="宋体" w:eastAsia="仿宋" w:cs="宋体"/>
          <w:color w:val="000000"/>
          <w:kern w:val="0"/>
          <w:sz w:val="32"/>
          <w:szCs w:val="32"/>
        </w:rPr>
      </w:pPr>
    </w:p>
    <w:p w14:paraId="4ED3C0EE">
      <w:pPr>
        <w:widowControl/>
        <w:numPr>
          <w:ilvl w:val="0"/>
          <w:numId w:val="0"/>
        </w:numPr>
        <w:shd w:val="clear" w:color="auto" w:fill="FFFFFF"/>
        <w:jc w:val="left"/>
        <w:rPr>
          <w:rFonts w:hint="eastAsia" w:ascii="仿宋" w:hAnsi="宋体" w:eastAsia="仿宋" w:cs="宋体"/>
          <w:color w:val="000000"/>
          <w:kern w:val="0"/>
          <w:sz w:val="32"/>
          <w:szCs w:val="32"/>
        </w:rPr>
      </w:pPr>
    </w:p>
    <w:p w14:paraId="4038D28C">
      <w:pPr>
        <w:widowControl/>
        <w:numPr>
          <w:ilvl w:val="0"/>
          <w:numId w:val="0"/>
        </w:numPr>
        <w:shd w:val="clear" w:color="auto" w:fill="FFFFFF"/>
        <w:jc w:val="left"/>
        <w:rPr>
          <w:rFonts w:hint="eastAsia" w:ascii="仿宋" w:hAnsi="宋体" w:eastAsia="仿宋" w:cs="宋体"/>
          <w:color w:val="000000"/>
          <w:kern w:val="0"/>
          <w:sz w:val="32"/>
          <w:szCs w:val="32"/>
        </w:rPr>
      </w:pPr>
    </w:p>
    <w:p w14:paraId="15E1407E">
      <w:pPr>
        <w:widowControl/>
        <w:numPr>
          <w:ilvl w:val="0"/>
          <w:numId w:val="0"/>
        </w:numPr>
        <w:shd w:val="clear" w:color="auto" w:fill="FFFFFF"/>
        <w:jc w:val="left"/>
        <w:rPr>
          <w:rFonts w:hint="eastAsia" w:ascii="仿宋" w:hAnsi="宋体" w:eastAsia="仿宋" w:cs="宋体"/>
          <w:color w:val="000000"/>
          <w:kern w:val="0"/>
          <w:sz w:val="32"/>
          <w:szCs w:val="32"/>
        </w:rPr>
      </w:pPr>
    </w:p>
    <w:p w14:paraId="5F6B8A23">
      <w:pPr>
        <w:widowControl/>
        <w:numPr>
          <w:ilvl w:val="0"/>
          <w:numId w:val="0"/>
        </w:numPr>
        <w:shd w:val="clear" w:color="auto" w:fill="FFFFFF"/>
        <w:jc w:val="left"/>
        <w:rPr>
          <w:rFonts w:hint="eastAsia" w:ascii="仿宋" w:hAnsi="宋体" w:eastAsia="仿宋" w:cs="宋体"/>
          <w:color w:val="000000"/>
          <w:kern w:val="0"/>
          <w:sz w:val="32"/>
          <w:szCs w:val="32"/>
        </w:rPr>
      </w:pPr>
    </w:p>
    <w:p w14:paraId="48A5A33D">
      <w:pPr>
        <w:widowControl/>
        <w:numPr>
          <w:ilvl w:val="0"/>
          <w:numId w:val="0"/>
        </w:numPr>
        <w:shd w:val="clear" w:color="auto" w:fill="FFFFFF"/>
        <w:jc w:val="left"/>
        <w:rPr>
          <w:rFonts w:hint="eastAsia" w:ascii="仿宋" w:hAnsi="宋体" w:eastAsia="仿宋" w:cs="宋体"/>
          <w:color w:val="000000"/>
          <w:kern w:val="0"/>
          <w:sz w:val="32"/>
          <w:szCs w:val="32"/>
        </w:rPr>
      </w:pPr>
    </w:p>
    <w:p w14:paraId="5944D81F">
      <w:pPr>
        <w:widowControl/>
        <w:numPr>
          <w:ilvl w:val="0"/>
          <w:numId w:val="0"/>
        </w:numPr>
        <w:shd w:val="clear" w:color="auto" w:fill="FFFFFF"/>
        <w:jc w:val="left"/>
        <w:rPr>
          <w:rFonts w:hint="eastAsia" w:ascii="仿宋" w:hAnsi="宋体" w:eastAsia="仿宋" w:cs="宋体"/>
          <w:color w:val="000000"/>
          <w:kern w:val="0"/>
          <w:sz w:val="32"/>
          <w:szCs w:val="32"/>
        </w:rPr>
      </w:pPr>
    </w:p>
    <w:p w14:paraId="77BD6427">
      <w:pPr>
        <w:widowControl/>
        <w:numPr>
          <w:ilvl w:val="0"/>
          <w:numId w:val="0"/>
        </w:numPr>
        <w:shd w:val="clear" w:color="auto" w:fill="FFFFFF"/>
        <w:jc w:val="left"/>
        <w:rPr>
          <w:rFonts w:hint="eastAsia" w:ascii="仿宋" w:hAnsi="宋体" w:eastAsia="仿宋" w:cs="宋体"/>
          <w:color w:val="000000"/>
          <w:kern w:val="0"/>
          <w:sz w:val="32"/>
          <w:szCs w:val="32"/>
        </w:rPr>
      </w:pPr>
    </w:p>
    <w:p w14:paraId="1544B0C1">
      <w:pPr>
        <w:widowControl/>
        <w:numPr>
          <w:ilvl w:val="0"/>
          <w:numId w:val="0"/>
        </w:numPr>
        <w:shd w:val="clear" w:color="auto" w:fill="FFFFFF"/>
        <w:jc w:val="left"/>
        <w:rPr>
          <w:rFonts w:hint="eastAsia" w:ascii="仿宋" w:hAnsi="宋体" w:eastAsia="仿宋" w:cs="宋体"/>
          <w:color w:val="000000"/>
          <w:kern w:val="0"/>
          <w:sz w:val="32"/>
          <w:szCs w:val="32"/>
        </w:rPr>
      </w:pPr>
    </w:p>
    <w:p w14:paraId="3848FC13">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61222B53">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1CA37A6C">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2AC01C79">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7886D3B6">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05D7FEA0">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73009E7F">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5B19782B">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2AD55261">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274C66AA">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0764DCCD">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以外的</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397DB10C">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1C161B57">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2BCF7687">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4BD3ADC4">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2A44125C">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0513C23E">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2F051861">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68E5C69B">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F07D1C-C28D-4389-BDDA-E7944C00B82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EEC15446-80BA-4C06-BEFB-E56A72042F71}"/>
  </w:font>
  <w:font w:name="仿宋_GB2312">
    <w:panose1 w:val="02010609030101010101"/>
    <w:charset w:val="86"/>
    <w:family w:val="modern"/>
    <w:pitch w:val="default"/>
    <w:sig w:usb0="00000001" w:usb1="080E0000" w:usb2="00000000" w:usb3="00000000" w:csb0="00040000" w:csb1="00000000"/>
    <w:embedRegular r:id="rId3" w:fontKey="{D200C6CD-CB4A-460A-AD62-C24C5F40E194}"/>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6E6D79EF-B003-428F-963C-77D4FDF3BA71}"/>
  </w:font>
  <w:font w:name="楷体_GB2312">
    <w:panose1 w:val="02010609030101010101"/>
    <w:charset w:val="86"/>
    <w:family w:val="modern"/>
    <w:pitch w:val="default"/>
    <w:sig w:usb0="00000001" w:usb1="080E0000" w:usb2="00000000" w:usb3="00000000" w:csb0="00040000" w:csb1="00000000"/>
    <w:embedRegular r:id="rId5" w:fontKey="{3AC0173E-4067-49BB-9AA5-C98ABCD5E961}"/>
  </w:font>
  <w:font w:name="楷体">
    <w:panose1 w:val="02010609060101010101"/>
    <w:charset w:val="86"/>
    <w:family w:val="auto"/>
    <w:pitch w:val="default"/>
    <w:sig w:usb0="800002BF" w:usb1="38CF7CFA" w:usb2="00000016" w:usb3="00000000" w:csb0="00040001" w:csb1="00000000"/>
    <w:embedRegular r:id="rId6" w:fontKey="{3A6875C8-35EF-4B9F-92A2-5D0BBC33CA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75BD6">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4551A2">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714551A2">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jFmMzVhYmRmMjFjZDYxYzZmMDA5NjI2ZjA5Zjc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5D0D1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9C3BFA"/>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94A63"/>
    <w:rsid w:val="412A1254"/>
    <w:rsid w:val="41656000"/>
    <w:rsid w:val="41AE00B6"/>
    <w:rsid w:val="41E95F9F"/>
    <w:rsid w:val="42154310"/>
    <w:rsid w:val="42495010"/>
    <w:rsid w:val="425C545A"/>
    <w:rsid w:val="42636FB6"/>
    <w:rsid w:val="42811BC4"/>
    <w:rsid w:val="42B60B92"/>
    <w:rsid w:val="42D650B2"/>
    <w:rsid w:val="42DD34D6"/>
    <w:rsid w:val="43137D99"/>
    <w:rsid w:val="43475BB2"/>
    <w:rsid w:val="43702CF3"/>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384B87"/>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101E0A"/>
    <w:rsid w:val="6341785E"/>
    <w:rsid w:val="63A96A13"/>
    <w:rsid w:val="644448CA"/>
    <w:rsid w:val="6453457F"/>
    <w:rsid w:val="648B5500"/>
    <w:rsid w:val="649655B1"/>
    <w:rsid w:val="6496714E"/>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3E3DFA"/>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4409</Words>
  <Characters>4724</Characters>
  <Lines>1</Lines>
  <Paragraphs>1</Paragraphs>
  <TotalTime>20</TotalTime>
  <ScaleCrop>false</ScaleCrop>
  <LinksUpToDate>false</LinksUpToDate>
  <CharactersWithSpaces>4741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2025-05-15T07:17:48Z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5F8CFE7D6B1A46C09FD0E01A4184DF82_13</vt:lpwstr>
  </property>
</Properties>
</file>