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contextualSpacing/>
        <w:rPr>
          <w:rFonts w:ascii="方正黑体_GBK" w:hAnsi="SimSun" w:eastAsia="方正黑体_GBK"/>
          <w:sz w:val="33"/>
          <w:szCs w:val="33"/>
          <w:lang w:val="zh-CN"/>
        </w:rPr>
      </w:pPr>
      <w:r>
        <w:rPr>
          <w:rFonts w:hint="eastAsia" w:ascii="方正黑体_GBK" w:hAnsi="SimSun" w:eastAsia="方正黑体_GBK"/>
          <w:sz w:val="33"/>
          <w:szCs w:val="33"/>
          <w:lang w:val="zh-CN"/>
        </w:rPr>
        <w:t>附件</w:t>
      </w:r>
      <w:r>
        <w:rPr>
          <w:rFonts w:hint="eastAsia" w:eastAsia="方正黑体_GBK"/>
          <w:sz w:val="33"/>
          <w:szCs w:val="33"/>
        </w:rPr>
        <w:t>1</w:t>
      </w:r>
    </w:p>
    <w:p>
      <w:pPr>
        <w:widowControl/>
        <w:spacing w:line="580" w:lineRule="exact"/>
        <w:ind w:firstLine="883" w:firstLineChars="200"/>
        <w:contextualSpacing/>
        <w:jc w:val="center"/>
        <w:rPr>
          <w:rFonts w:ascii="SimSun"/>
          <w:b/>
          <w:sz w:val="44"/>
          <w:szCs w:val="44"/>
          <w:shd w:val="clear" w:color="auto" w:fill="FFFFFF"/>
        </w:rPr>
      </w:pPr>
    </w:p>
    <w:p>
      <w:pPr>
        <w:widowControl/>
        <w:spacing w:line="580" w:lineRule="exact"/>
        <w:contextualSpacing/>
        <w:jc w:val="center"/>
        <w:rPr>
          <w:rFonts w:ascii="FZXiaoBiaoSong-B05S" w:eastAsia="FZXiaoBiaoSong-B05S"/>
          <w:sz w:val="44"/>
          <w:szCs w:val="44"/>
          <w:shd w:val="clear" w:color="auto" w:fill="FFFFFF"/>
        </w:rPr>
      </w:pPr>
      <w:r>
        <w:rPr>
          <w:rFonts w:hint="eastAsia" w:ascii="FZXiaoBiaoSong-B05S" w:hAnsi="SimSun" w:eastAsia="FZXiaoBiaoSong-B05S"/>
          <w:sz w:val="44"/>
          <w:szCs w:val="44"/>
          <w:shd w:val="clear" w:color="auto" w:fill="FFFFFF"/>
          <w:lang w:eastAsia="zh-CN"/>
        </w:rPr>
        <w:t>县</w:t>
      </w:r>
      <w:r>
        <w:rPr>
          <w:rFonts w:hint="eastAsia" w:ascii="FZXiaoBiaoSong-B05S" w:hAnsi="SimSun" w:eastAsia="FZXiaoBiaoSong-B05S"/>
          <w:sz w:val="44"/>
          <w:szCs w:val="44"/>
          <w:shd w:val="clear" w:color="auto" w:fill="FFFFFF"/>
        </w:rPr>
        <w:t>级部门整体绩效自评报告范本</w:t>
      </w:r>
    </w:p>
    <w:p>
      <w:pPr>
        <w:widowControl/>
        <w:spacing w:line="580" w:lineRule="exact"/>
        <w:contextualSpacing/>
        <w:jc w:val="center"/>
        <w:rPr>
          <w:rFonts w:ascii="FZXiaoBiaoSong-B05S" w:eastAsia="FZXiaoBiaoSong-B05S"/>
          <w:sz w:val="44"/>
          <w:szCs w:val="44"/>
          <w:shd w:val="clear" w:color="auto" w:fill="FFFFFF"/>
        </w:rPr>
      </w:pPr>
      <w:r>
        <w:rPr>
          <w:rFonts w:hint="eastAsia" w:ascii="FangSong_GB2312" w:hAnsi="SimSun" w:eastAsia="FangSong_GB2312"/>
          <w:szCs w:val="32"/>
          <w:shd w:val="clear" w:color="auto" w:fill="FFFFFF"/>
        </w:rPr>
        <w:t>（报告范围包括机关和下属单位）</w:t>
      </w:r>
    </w:p>
    <w:p>
      <w:pPr>
        <w:widowControl/>
        <w:adjustRightInd w:val="0"/>
        <w:snapToGrid w:val="0"/>
        <w:spacing w:line="580" w:lineRule="exact"/>
        <w:ind w:firstLine="660" w:firstLineChars="200"/>
        <w:contextualSpacing/>
        <w:jc w:val="left"/>
        <w:rPr>
          <w:rFonts w:ascii="方正仿宋_GBK" w:hAnsi="SimSun" w:eastAsia="方正仿宋_GBK" w:cs="SimSun"/>
          <w:color w:val="000000"/>
          <w:kern w:val="0"/>
          <w:sz w:val="33"/>
          <w:szCs w:val="33"/>
          <w:shd w:val="clear" w:color="auto" w:fill="FFFFFF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SimHei" w:hAnsi="SimHei" w:eastAsia="SimHei" w:cs="SimSun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SimHei" w:hAnsi="SimHei" w:eastAsia="SimHei" w:cs="SimSun"/>
          <w:color w:val="000000"/>
          <w:kern w:val="0"/>
          <w:szCs w:val="32"/>
          <w:shd w:val="clear" w:color="auto" w:fill="FFFFFF"/>
        </w:rPr>
        <w:t>一、</w:t>
      </w:r>
      <w:r>
        <w:rPr>
          <w:rFonts w:hint="eastAsia" w:ascii="SimHei" w:hAnsi="SimHei" w:eastAsia="SimHei" w:cs="SimSun"/>
          <w:color w:val="000000"/>
          <w:kern w:val="0"/>
          <w:szCs w:val="32"/>
          <w:shd w:val="clear" w:color="auto" w:fill="FFFFFF"/>
          <w:lang w:val="zh-CN"/>
        </w:rPr>
        <w:t>部门基本情况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KaiTi_GB2312" w:hAnsi="SimSun" w:eastAsia="KaiTi_GB2312" w:cs="SimSun"/>
          <w:color w:val="000000"/>
          <w:kern w:val="0"/>
          <w:szCs w:val="32"/>
          <w:shd w:val="clear" w:color="auto" w:fill="FFFFFF"/>
          <w:lang w:val="zh-CN"/>
        </w:rPr>
        <w:t>（一）机构组成。</w:t>
      </w: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  <w:t>统战部预算单位1个，其中：行政单位1个，事业单位</w:t>
      </w: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en-US" w:eastAsia="zh-CN"/>
        </w:rPr>
        <w:t>0</w:t>
      </w: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  <w:t>个。</w:t>
      </w:r>
    </w:p>
    <w:p>
      <w:pPr>
        <w:spacing w:line="600" w:lineRule="exact"/>
        <w:ind w:firstLine="640" w:firstLineChars="200"/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KaiTi_GB2312" w:hAnsi="SimSun" w:eastAsia="KaiTi_GB2312" w:cs="SimSun"/>
          <w:color w:val="000000"/>
          <w:kern w:val="0"/>
          <w:szCs w:val="32"/>
          <w:shd w:val="clear" w:color="auto" w:fill="FFFFFF"/>
          <w:lang w:val="zh-CN"/>
        </w:rPr>
        <w:t>（二）机构职能和人员概况。</w:t>
      </w:r>
      <w:r>
        <w:rPr>
          <w:rFonts w:hint="eastAsia" w:ascii="KaiTi_GB2312" w:hAnsi="SimSun" w:eastAsia="KaiTi_GB2312" w:cs="SimSun"/>
          <w:color w:val="000000"/>
          <w:kern w:val="0"/>
          <w:szCs w:val="32"/>
          <w:shd w:val="clear" w:color="auto" w:fill="FFFFFF"/>
          <w:lang w:val="en-US" w:eastAsia="zh-CN"/>
        </w:rPr>
        <w:t>1、</w:t>
      </w:r>
      <w:r>
        <w:rPr>
          <w:rFonts w:hint="eastAsia" w:ascii="FangSong_GB2312" w:hAnsi="FangSong_GB2312" w:eastAsia="FangSong_GB2312" w:cs="FangSong_GB2312"/>
          <w:sz w:val="32"/>
          <w:szCs w:val="32"/>
        </w:rPr>
        <w:t>负责协调、监督、检查全县统一战线工作。宣传贯彻统一战线的理论、方针、政策，向县委反映统一战线全面情况，提出开展统战工作的意见和建议，协调统战工作中的重大问题，组织开展统一战线的重大活动。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2、</w:t>
      </w:r>
      <w:r>
        <w:rPr>
          <w:rFonts w:hint="eastAsia" w:ascii="FangSong_GB2312" w:hAnsi="FangSong_GB2312" w:eastAsia="FangSong_GB2312" w:cs="FangSong_GB2312"/>
          <w:sz w:val="32"/>
          <w:szCs w:val="32"/>
        </w:rPr>
        <w:t>负责联系无党派人士，及时通报情况，反映他们的意见和建议；研究、贯彻中国共产党领导的多党合作和政治协商制度，落实中央、省委、市委、县委关于发挥无党派代表人士参政议政和民主监督作用的工作；受县委委托，向无党派人士通报中央、省委、市委、县委的重大决定和指示精神。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3、</w:t>
      </w:r>
      <w:r>
        <w:rPr>
          <w:rFonts w:hint="eastAsia" w:ascii="FangSong_GB2312" w:hAnsi="FangSong_GB2312" w:eastAsia="FangSong_GB2312" w:cs="FangSong_GB2312"/>
          <w:sz w:val="32"/>
          <w:szCs w:val="32"/>
        </w:rPr>
        <w:t>负责调查研究、协调检查有关民族和宗教工作重大方针、政策的贯彻执行；联系少数民族代表人士；协助有关部门做好少数民族党外干部的培养和举荐工作。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4、</w:t>
      </w:r>
      <w:r>
        <w:rPr>
          <w:rFonts w:hint="eastAsia" w:ascii="FangSong_GB2312" w:hAnsi="FangSong_GB2312" w:eastAsia="FangSong_GB2312" w:cs="FangSong_GB2312"/>
          <w:sz w:val="32"/>
          <w:szCs w:val="32"/>
        </w:rPr>
        <w:t>负责开展以祖国统一为重点的海外统战工作；联系香港、澳门和海外有关社团及代表人士；归口管理台湾在野党派、政治团体的来访工作；协调指导做好台胞、台属的有关工作。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5、</w:t>
      </w:r>
      <w:r>
        <w:rPr>
          <w:rFonts w:hint="eastAsia" w:ascii="FangSong_GB2312" w:hAnsi="FangSong_GB2312" w:eastAsia="FangSong_GB2312" w:cs="FangSong_GB2312"/>
          <w:sz w:val="32"/>
          <w:szCs w:val="32"/>
        </w:rPr>
        <w:t>负责党外人士的政治安排；会同有关部门做好培养、考察、选拔、推荐、安排党外人士担任政府和司法机关领导职务的工作；做好党外后备干部和新的代表人士队伍的建设工作；受县委委托，领导县工商联党组、指导县工商联工作，协调工商联做好干部管理工作；协调指导县政府宗教事务办公室工作。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6、</w:t>
      </w:r>
      <w:r>
        <w:rPr>
          <w:rFonts w:hint="eastAsia" w:ascii="FangSong_GB2312" w:hAnsi="FangSong_GB2312" w:eastAsia="FangSong_GB2312" w:cs="FangSong_GB2312"/>
          <w:sz w:val="32"/>
          <w:szCs w:val="32"/>
        </w:rPr>
        <w:t>调查研究并反映我县非公有制经济代表人士的情况，协调关系，提出政策建议；团结、帮助、引导、教育非公有制经济代表人士，积极开展思想政治工作。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7、</w:t>
      </w:r>
      <w:r>
        <w:rPr>
          <w:rFonts w:hint="eastAsia" w:ascii="FangSong_GB2312" w:hAnsi="FangSong_GB2312" w:eastAsia="FangSong_GB2312" w:cs="FangSong_GB2312"/>
          <w:sz w:val="32"/>
          <w:szCs w:val="32"/>
        </w:rPr>
        <w:t>调查研究党外人士知识分子的情况，反映意见，协调关系，提出政策建议；联系并培养党外知识分子代表人士。</w:t>
      </w:r>
    </w:p>
    <w:p>
      <w:pPr>
        <w:spacing w:line="600" w:lineRule="exact"/>
        <w:ind w:firstLine="640" w:firstLineChars="200"/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FangSong_GB2312" w:hAnsi="FangSong_GB2312" w:eastAsia="FangSong_GB2312" w:cs="FangSong_GB2312"/>
          <w:sz w:val="32"/>
          <w:szCs w:val="32"/>
          <w:lang w:eastAsia="zh-CN"/>
        </w:rPr>
        <w:t>统战部</w:t>
      </w:r>
      <w:r>
        <w:rPr>
          <w:rFonts w:hint="eastAsia" w:ascii="FangSong_GB2312" w:hAnsi="FangSong_GB2312" w:eastAsia="FangSong_GB2312" w:cs="FangSong_GB2312"/>
          <w:sz w:val="32"/>
          <w:szCs w:val="32"/>
        </w:rPr>
        <w:t>总编制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10</w:t>
      </w:r>
      <w:r>
        <w:rPr>
          <w:rFonts w:hint="eastAsia" w:ascii="FangSong_GB2312" w:hAnsi="FangSong_GB2312" w:eastAsia="FangSong_GB2312" w:cs="FangSong_GB2312"/>
          <w:sz w:val="32"/>
          <w:szCs w:val="32"/>
        </w:rPr>
        <w:t>名，其中：行政编制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5</w:t>
      </w:r>
      <w:r>
        <w:rPr>
          <w:rFonts w:hint="eastAsia" w:ascii="FangSong_GB2312" w:hAnsi="FangSong_GB2312" w:eastAsia="FangSong_GB2312" w:cs="FangSong_GB2312"/>
          <w:sz w:val="32"/>
          <w:szCs w:val="32"/>
        </w:rPr>
        <w:t>名，工勤编制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1</w:t>
      </w:r>
      <w:r>
        <w:rPr>
          <w:rFonts w:hint="eastAsia" w:ascii="FangSong_GB2312" w:hAnsi="FangSong_GB2312" w:eastAsia="FangSong_GB2312" w:cs="FangSong_GB2312"/>
          <w:sz w:val="32"/>
          <w:szCs w:val="32"/>
        </w:rPr>
        <w:t>名，事业编制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4</w:t>
      </w:r>
      <w:r>
        <w:rPr>
          <w:rFonts w:hint="eastAsia" w:ascii="FangSong_GB2312" w:hAnsi="FangSong_GB2312" w:eastAsia="FangSong_GB2312" w:cs="FangSong_GB2312"/>
          <w:sz w:val="32"/>
          <w:szCs w:val="32"/>
        </w:rPr>
        <w:t>名。在职人员总数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9</w:t>
      </w:r>
      <w:r>
        <w:rPr>
          <w:rFonts w:hint="eastAsia" w:ascii="FangSong_GB2312" w:hAnsi="FangSong_GB2312" w:eastAsia="FangSong_GB2312" w:cs="FangSong_GB2312"/>
          <w:sz w:val="32"/>
          <w:szCs w:val="32"/>
        </w:rPr>
        <w:t>名，其中：行政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6</w:t>
      </w:r>
      <w:r>
        <w:rPr>
          <w:rFonts w:hint="eastAsia" w:ascii="FangSong_GB2312" w:hAnsi="FangSong_GB2312" w:eastAsia="FangSong_GB2312" w:cs="FangSong_GB2312"/>
          <w:sz w:val="32"/>
          <w:szCs w:val="32"/>
        </w:rPr>
        <w:t>名，工勤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0</w:t>
      </w:r>
      <w:r>
        <w:rPr>
          <w:rFonts w:hint="eastAsia" w:ascii="FangSong_GB2312" w:hAnsi="FangSong_GB2312" w:eastAsia="FangSong_GB2312" w:cs="FangSong_GB2312"/>
          <w:sz w:val="32"/>
          <w:szCs w:val="32"/>
        </w:rPr>
        <w:t>名，事业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3</w:t>
      </w:r>
      <w:r>
        <w:rPr>
          <w:rFonts w:hint="eastAsia" w:ascii="FangSong_GB2312" w:hAnsi="FangSong_GB2312" w:eastAsia="FangSong_GB2312" w:cs="FangSong_GB2312"/>
          <w:sz w:val="32"/>
          <w:szCs w:val="32"/>
        </w:rPr>
        <w:t>名。离休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0</w:t>
      </w:r>
      <w:r>
        <w:rPr>
          <w:rFonts w:hint="eastAsia" w:ascii="FangSong_GB2312" w:hAnsi="FangSong_GB2312" w:eastAsia="FangSong_GB2312" w:cs="FangSong_GB2312"/>
          <w:sz w:val="32"/>
          <w:szCs w:val="32"/>
        </w:rPr>
        <w:t>名。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KaiTi_GB2312" w:hAnsi="SimSun" w:eastAsia="KaiTi_GB2312" w:cs="SimSun"/>
          <w:color w:val="000000"/>
          <w:kern w:val="0"/>
          <w:szCs w:val="32"/>
          <w:shd w:val="clear" w:color="auto" w:fill="FFFFFF"/>
          <w:lang w:val="zh-CN"/>
        </w:rPr>
        <w:t>（三）年度主要工作任务。</w:t>
      </w:r>
      <w:r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1、着力加强无党派人士、党外知识分子、党外代表人士队伍建设工作。2、积极推进民营经济统战工作。3、深入开展新的社会阶层人士统战工作。4、着力做好港澳台侨海外统战工作。5、以铸牢中华民族共同体意识为主线，加强和改进民族宗教工作。6、积极贯彻落实巩固拓展脱贫攻坚成果同乡村振兴有效衔接工作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KaiTi_GB2312" w:hAnsi="SimSun" w:eastAsia="KaiTi_GB2312" w:cs="SimSun"/>
          <w:color w:val="000000"/>
          <w:kern w:val="0"/>
          <w:szCs w:val="32"/>
          <w:shd w:val="clear" w:color="auto" w:fill="FFFFFF"/>
          <w:lang w:val="zh-CN"/>
        </w:rPr>
        <w:t>（四）部门整体支出绩效目标。</w:t>
      </w: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en-US" w:eastAsia="zh-CN"/>
        </w:rPr>
        <w:t>2022年初统战部按照县财政局2022年预算编制说明，制定了部门整体支出</w:t>
      </w: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  <w:t>绩效目标、预算收入（支出）</w:t>
      </w: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en-US" w:eastAsia="zh-CN"/>
        </w:rPr>
        <w:t>182.9万元，本着节约、用活用好财政资金，严格按照预算</w:t>
      </w: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  <w:t>执行进度。中途增减人员，调整了预算数，无违规支出等情况。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SimHei" w:hAnsi="SimHei" w:eastAsia="SimHei" w:cs="SimSun"/>
          <w:color w:val="000000"/>
          <w:kern w:val="0"/>
          <w:szCs w:val="32"/>
          <w:shd w:val="clear" w:color="auto" w:fill="FFFFFF"/>
        </w:rPr>
      </w:pPr>
      <w:r>
        <w:rPr>
          <w:rFonts w:hint="eastAsia" w:ascii="SimHei" w:hAnsi="SimHei" w:eastAsia="SimHei" w:cs="SimSun"/>
          <w:color w:val="000000"/>
          <w:kern w:val="0"/>
          <w:szCs w:val="32"/>
          <w:shd w:val="clear" w:color="auto" w:fill="FFFFFF"/>
        </w:rPr>
        <w:t>二、部门财政资金收支情况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FangSong_GB2312" w:hAnsi="FangSong_GB2312" w:eastAsia="FangSong_GB2312" w:cs="FangSong_GB2312"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KaiTi_GB2312" w:hAnsi="SimSun" w:eastAsia="KaiTi_GB2312" w:cs="SimSun"/>
          <w:color w:val="000000"/>
          <w:kern w:val="0"/>
          <w:szCs w:val="32"/>
          <w:shd w:val="clear" w:color="auto" w:fill="FFFFFF"/>
          <w:lang w:val="zh-CN"/>
        </w:rPr>
        <w:t>（一）部门财政资金收入情况。</w:t>
      </w: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  <w:t>统战部</w:t>
      </w: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en-US" w:eastAsia="zh-CN"/>
        </w:rPr>
        <w:t>2022年预算收入182.9万元</w:t>
      </w: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。</w:t>
      </w:r>
      <w:r>
        <w:rPr>
          <w:rFonts w:hint="eastAsia" w:ascii="FangSong_GB2312" w:hAnsi="FangSong_GB2312" w:eastAsia="FangSong_GB2312" w:cs="FangSong_GB2312"/>
          <w:sz w:val="32"/>
          <w:szCs w:val="32"/>
          <w:highlight w:val="none"/>
          <w:lang w:val="en-US" w:eastAsia="zh-CN"/>
        </w:rPr>
        <w:t>其中：一般公共预算财政拨款收入</w:t>
      </w: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182.9</w:t>
      </w:r>
      <w:r>
        <w:rPr>
          <w:rFonts w:hint="eastAsia" w:ascii="FangSong_GB2312" w:hAnsi="FangSong_GB2312" w:eastAsia="FangSong_GB2312" w:cs="FangSong_GB2312"/>
          <w:sz w:val="32"/>
          <w:szCs w:val="32"/>
          <w:highlight w:val="none"/>
          <w:lang w:val="en-US" w:eastAsia="zh-CN"/>
        </w:rPr>
        <w:t>万元，政府性基金预算财政拨款收入0万元。国有资本经营预算财政拨款收入0万元</w:t>
      </w:r>
      <w:r>
        <w:rPr>
          <w:rFonts w:hint="eastAsia" w:ascii="FangSong_GB2312" w:hAnsi="FangSong_GB2312" w:eastAsia="FangSong_GB2312" w:cs="FangSong_GB2312"/>
          <w:snapToGrid w:val="0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FangSong_GB2312" w:hAnsi="FangSong_GB2312" w:eastAsia="FangSong_GB2312" w:cs="FangSong_GB2312"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KaiTi_GB2312" w:hAnsi="SimSun" w:eastAsia="KaiTi_GB2312" w:cs="SimSun"/>
          <w:color w:val="000000"/>
          <w:kern w:val="0"/>
          <w:szCs w:val="32"/>
          <w:highlight w:val="none"/>
          <w:shd w:val="clear" w:color="auto" w:fill="FFFFFF"/>
          <w:lang w:val="zh-CN"/>
        </w:rPr>
        <w:t>（二）部门财政资金支出情况。</w:t>
      </w: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highlight w:val="none"/>
          <w:shd w:val="clear" w:color="auto" w:fill="FFFFFF"/>
          <w:lang w:val="zh-CN"/>
        </w:rPr>
        <w:t>统战部</w:t>
      </w: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2022年预算支出182.9万元。</w:t>
      </w:r>
      <w:r>
        <w:rPr>
          <w:rFonts w:hint="eastAsia" w:ascii="FangSong_GB2312" w:hAnsi="FangSong_GB2312" w:eastAsia="FangSong_GB2312" w:cs="FangSong_GB2312"/>
          <w:snapToGrid w:val="0"/>
          <w:kern w:val="0"/>
          <w:sz w:val="32"/>
          <w:szCs w:val="32"/>
          <w:highlight w:val="none"/>
        </w:rPr>
        <w:t>其中：基本支出</w:t>
      </w:r>
      <w:r>
        <w:rPr>
          <w:rFonts w:hint="eastAsia" w:ascii="FangSong_GB2312" w:hAnsi="FangSong_GB2312" w:eastAsia="FangSong_GB2312" w:cs="FangSong_GB2312"/>
          <w:sz w:val="32"/>
          <w:szCs w:val="32"/>
          <w:highlight w:val="none"/>
          <w:lang w:val="en-US" w:eastAsia="zh-CN"/>
        </w:rPr>
        <w:t>172.9</w:t>
      </w:r>
      <w:r>
        <w:rPr>
          <w:rFonts w:hint="eastAsia" w:ascii="FangSong_GB2312" w:hAnsi="FangSong_GB2312" w:eastAsia="FangSong_GB2312" w:cs="FangSong_GB2312"/>
          <w:snapToGrid w:val="0"/>
          <w:kern w:val="0"/>
          <w:sz w:val="32"/>
          <w:szCs w:val="32"/>
          <w:highlight w:val="none"/>
        </w:rPr>
        <w:t>万元</w:t>
      </w:r>
      <w:r>
        <w:rPr>
          <w:rFonts w:hint="eastAsia" w:ascii="FangSong_GB2312" w:hAnsi="FangSong_GB2312" w:eastAsia="FangSong_GB2312" w:cs="FangSong_GB2312"/>
          <w:snapToGrid w:val="0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FangSong_GB2312" w:hAnsi="FangSong_GB2312" w:eastAsia="FangSong_GB2312" w:cs="FangSong_GB2312"/>
          <w:snapToGrid w:val="0"/>
          <w:kern w:val="0"/>
          <w:sz w:val="32"/>
          <w:szCs w:val="32"/>
          <w:highlight w:val="none"/>
        </w:rPr>
        <w:t>项目支出</w:t>
      </w:r>
      <w:r>
        <w:rPr>
          <w:rFonts w:hint="eastAsia" w:ascii="FangSong_GB2312" w:hAnsi="FangSong_GB2312" w:eastAsia="FangSong_GB2312" w:cs="FangSong_GB2312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FangSong_GB2312" w:hAnsi="FangSong_GB2312" w:eastAsia="FangSong_GB2312" w:cs="FangSong_GB2312"/>
          <w:snapToGrid w:val="0"/>
          <w:kern w:val="0"/>
          <w:sz w:val="32"/>
          <w:szCs w:val="32"/>
          <w:highlight w:val="none"/>
        </w:rPr>
        <w:t>万元</w:t>
      </w:r>
      <w:r>
        <w:rPr>
          <w:rFonts w:hint="eastAsia" w:ascii="FangSong_GB2312" w:hAnsi="FangSong_GB2312" w:eastAsia="FangSong_GB2312" w:cs="FangSong_GB2312"/>
          <w:snapToGrid w:val="0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widowControl/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en-US" w:eastAsia="zh-CN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KaiTi_GB2312" w:hAnsi="SimSun" w:eastAsia="KaiTi_GB2312" w:cs="SimSun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KaiTi_GB2312" w:hAnsi="SimSun" w:eastAsia="KaiTi_GB2312" w:cs="SimSun"/>
          <w:color w:val="000000"/>
          <w:kern w:val="0"/>
          <w:szCs w:val="32"/>
          <w:shd w:val="clear" w:color="auto" w:fill="FFFFFF"/>
          <w:lang w:val="zh-CN"/>
        </w:rPr>
        <w:t>（三）部门财政资金结转结余情况。</w:t>
      </w: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  <w:t>无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SimHei" w:hAnsi="SimHei" w:eastAsia="SimHei" w:cs="SimSun"/>
          <w:color w:val="000000"/>
          <w:kern w:val="0"/>
          <w:szCs w:val="32"/>
          <w:shd w:val="clear" w:color="auto" w:fill="FFFFFF"/>
        </w:rPr>
      </w:pPr>
      <w:r>
        <w:rPr>
          <w:rFonts w:hint="eastAsia" w:ascii="SimHei" w:hAnsi="SimHei" w:eastAsia="SimHei" w:cs="SimSun"/>
          <w:color w:val="000000"/>
          <w:kern w:val="0"/>
          <w:szCs w:val="32"/>
          <w:shd w:val="clear" w:color="auto" w:fill="FFFFFF"/>
        </w:rPr>
        <w:t>三、部门整体绩效管理情况（根据自评体系进行描述）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KaiTi_GB2312" w:hAnsi="SimSun" w:eastAsia="KaiTi_GB2312" w:cs="SimSun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KaiTi_GB2312" w:hAnsi="SimSun" w:eastAsia="KaiTi_GB2312" w:cs="SimSun"/>
          <w:color w:val="000000"/>
          <w:kern w:val="0"/>
          <w:szCs w:val="32"/>
          <w:shd w:val="clear" w:color="auto" w:fill="FFFFFF"/>
          <w:lang w:val="zh-CN"/>
        </w:rPr>
        <w:t>（一）部门整体履职绩效分析。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en-US" w:eastAsia="zh-CN"/>
        </w:rPr>
        <w:t>2022年初统战部按照县财政局2022年预算编制说明，制定了部门整体支出</w:t>
      </w: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  <w:t>绩效目标、预算收入（支出）</w:t>
      </w: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en-US" w:eastAsia="zh-CN"/>
        </w:rPr>
        <w:t>182.9万元，本着节约、用活用好财政资金的原则，严格按照</w:t>
      </w: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  <w:t>预算进度执行。中途增减人员，调整了预算数，无违规支出等情况。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KaiTi_GB2312" w:hAnsi="SimSun" w:eastAsia="KaiTi_GB2312" w:cs="SimSun"/>
          <w:color w:val="000000"/>
          <w:kern w:val="0"/>
          <w:szCs w:val="32"/>
          <w:shd w:val="clear" w:color="auto" w:fill="FFFFFF"/>
          <w:lang w:val="zh-CN"/>
        </w:rPr>
        <w:t>特定目标类项目绩效分析。</w:t>
      </w: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  <w:t>县级领导驻村帮扶工作经费</w:t>
      </w: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en-US" w:eastAsia="zh-CN"/>
        </w:rPr>
        <w:t>10万元，主要用于金岩乡购买种子和肥料、支付勒乌乡柑子口村村级卫生员工资、杨河乡仲子村2组人畜引水工程费用和困难户救助金。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KaiTi_GB2312" w:hAnsi="SimSun" w:eastAsia="KaiTi_GB2312" w:cs="SimSun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KaiTi_GB2312" w:hAnsi="SimSun" w:eastAsia="KaiTi_GB2312" w:cs="SimSun"/>
          <w:color w:val="000000"/>
          <w:kern w:val="0"/>
          <w:szCs w:val="32"/>
          <w:shd w:val="clear" w:color="auto" w:fill="FFFFFF"/>
          <w:lang w:val="zh-CN"/>
        </w:rPr>
        <w:t>（三）结果应用情况。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  <w:t>基本支出保障机关人员的基本工资、津贴补贴、住房公积金和养老保险等人员经费的支出；公用经费用于全县党外人士的培养、考察、选拔和推荐；组织党外代表人士、非公有制经济代表人士参加调研活动；</w:t>
      </w:r>
      <w:r>
        <w:rPr>
          <w:rFonts w:hint="eastAsia" w:ascii="FangSong_GB2312" w:hAnsi="FangSong_GB2312" w:eastAsia="FangSong_GB2312" w:cs="FangSong_GB2312"/>
          <w:color w:val="auto"/>
          <w:sz w:val="32"/>
          <w:szCs w:val="32"/>
          <w:lang w:val="en-US" w:eastAsia="zh-CN"/>
        </w:rPr>
        <w:t>2022年以来，配合市委统战部开展民营经济人士进党校学习培训2期，开展理想信念教育</w:t>
      </w: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  <w:t>；</w:t>
      </w:r>
      <w:r>
        <w:rPr>
          <w:rFonts w:hint="eastAsia" w:ascii="FangSong_GB2312" w:hAnsi="FangSong_GB2312" w:eastAsia="FangSong_GB2312" w:cs="FangSong_GB2312"/>
          <w:color w:val="auto"/>
          <w:sz w:val="32"/>
          <w:szCs w:val="32"/>
          <w:lang w:val="en-US" w:eastAsia="zh-CN"/>
        </w:rPr>
        <w:t>召开2022年新阶人士工作座谈会，并组织新阶人士观看党的二十大会议主题活动，参观民族团结进步示范教育基地；</w:t>
      </w:r>
      <w:r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会同县司法局、县乡村振兴局、得助律师事务所开展“峨边新阶·律动乡村”行动2次；彝历新年前夕购买价值6000余元的米、面、食用油等物资，对杨河乡仲子村进行全覆盖慰问，让群众切实感受党和政府的温暖和关怀。</w:t>
      </w: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  <w:t>并与预算公开一并公开。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SimHei" w:hAnsi="SimHei" w:eastAsia="SimHei" w:cs="SimSun"/>
          <w:color w:val="000000"/>
          <w:kern w:val="0"/>
          <w:szCs w:val="32"/>
          <w:shd w:val="clear" w:color="auto" w:fill="FFFFFF"/>
        </w:rPr>
      </w:pPr>
      <w:r>
        <w:rPr>
          <w:rFonts w:hint="eastAsia" w:ascii="SimHei" w:hAnsi="SimHei" w:eastAsia="SimHei" w:cs="SimSun"/>
          <w:color w:val="000000"/>
          <w:kern w:val="0"/>
          <w:szCs w:val="32"/>
          <w:shd w:val="clear" w:color="auto" w:fill="FFFFFF"/>
        </w:rPr>
        <w:t>四、评价结论及建议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KaiTi_GB2312" w:hAnsi="SimSun" w:eastAsia="KaiTi_GB2312" w:cs="SimSun"/>
          <w:color w:val="000000"/>
          <w:kern w:val="0"/>
          <w:szCs w:val="32"/>
          <w:shd w:val="clear" w:color="auto" w:fill="FFFFFF"/>
          <w:lang w:val="zh-CN"/>
        </w:rPr>
        <w:t>（一）评价结论。</w:t>
      </w: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  <w:t>开展绩效评价，明确了要严格按照年初预定目标执行，按照项目开展进度安排资金。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FangSong_GB2312" w:hAnsi="SimSun" w:cs="SimSun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KaiTi_GB2312" w:hAnsi="SimSun" w:eastAsia="KaiTi_GB2312" w:cs="SimSun"/>
          <w:color w:val="000000"/>
          <w:kern w:val="0"/>
          <w:szCs w:val="32"/>
          <w:shd w:val="clear" w:color="auto" w:fill="FFFFFF"/>
          <w:lang w:val="zh-CN"/>
        </w:rPr>
        <w:t>（二）存在问题。</w:t>
      </w: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  <w:t>基础薄弱，内容和材料需要再完善。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KaiTi_GB2312" w:hAnsi="SimSun" w:eastAsia="KaiTi_GB2312" w:cs="SimSun"/>
          <w:color w:val="000000"/>
          <w:kern w:val="0"/>
          <w:szCs w:val="32"/>
          <w:shd w:val="clear" w:color="auto" w:fill="FFFFFF"/>
          <w:lang w:val="zh-CN"/>
        </w:rPr>
        <w:t>（三）改进建议。</w:t>
      </w:r>
      <w:r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  <w:t>无</w:t>
      </w:r>
    </w:p>
    <w:p>
      <w:pPr>
        <w:pStyle w:val="2"/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</w:pPr>
    </w:p>
    <w:p>
      <w:pPr>
        <w:pStyle w:val="2"/>
        <w:rPr>
          <w:rFonts w:hint="eastAsia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zh-CN"/>
        </w:rPr>
      </w:pPr>
    </w:p>
    <w:p>
      <w:pPr>
        <w:pStyle w:val="2"/>
        <w:rPr>
          <w:rFonts w:hint="default" w:ascii="FangSong_GB2312" w:hAnsi="FangSong_GB2312" w:eastAsia="FangSong_GB2312" w:cs="FangSong_GB2312"/>
          <w:color w:val="000000"/>
          <w:kern w:val="0"/>
          <w:szCs w:val="32"/>
          <w:shd w:val="clear" w:color="auto" w:fill="FFFFFF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even"/>
      <w:pgSz w:w="11906" w:h="16838"/>
      <w:pgMar w:top="907" w:right="1361" w:bottom="851" w:left="1361" w:header="851" w:footer="992" w:gutter="0"/>
      <w:pgNumType w:fmt="numberInDash" w:start="12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676B825-C89A-4304-BDC6-E6D21DC1ABF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mSun">
    <w:panose1 w:val="02010600030101010101"/>
    <w:charset w:val="7A"/>
    <w:family w:val="auto"/>
    <w:pitch w:val="default"/>
    <w:sig w:usb0="00000003" w:usb1="288F0000" w:usb2="00000006" w:usb3="00000000" w:csb0="00040001" w:csb1="00000000"/>
    <w:embedRegular r:id="rId2" w:fontKey="{AA7584F5-D5A5-4BCB-852B-B14A60992562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Microsoft YaHei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FZXiaoBiaoSong-B05S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EB2C3FD7-DD47-4A12-9EB0-543F2B8B76C3}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D568CDD-8CDF-4C57-8E16-6A769E228444}"/>
  </w:font>
  <w:font w:name="方正仿宋_GBK">
    <w:altName w:val="Microsoft YaHei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5" w:fontKey="{30EB7F72-976D-408E-9014-318E4184B946}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E665079F-487F-49FB-BA56-B52EDFDBC057}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rFonts w:ascii="SimSun" w:hAnsi="SimSun"/>
        <w:sz w:val="28"/>
        <w:szCs w:val="28"/>
      </w:rPr>
      <w:fldChar w:fldCharType="begin"/>
    </w:r>
    <w:r>
      <w:rPr>
        <w:rFonts w:ascii="SimSun" w:hAnsi="SimSun"/>
        <w:sz w:val="28"/>
        <w:szCs w:val="28"/>
      </w:rPr>
      <w:instrText xml:space="preserve"> PAGE   \* MERGEFORMAT </w:instrText>
    </w:r>
    <w:r>
      <w:rPr>
        <w:rFonts w:ascii="SimSun" w:hAnsi="SimSun"/>
        <w:sz w:val="28"/>
        <w:szCs w:val="28"/>
      </w:rPr>
      <w:fldChar w:fldCharType="separate"/>
    </w:r>
    <w:r>
      <w:rPr>
        <w:rFonts w:ascii="SimSun"/>
        <w:sz w:val="28"/>
        <w:szCs w:val="28"/>
        <w:lang w:val="zh-CN"/>
      </w:rPr>
      <w:t>-</w:t>
    </w:r>
    <w:r>
      <w:rPr>
        <w:rFonts w:ascii="SimSun" w:hAnsi="SimSun"/>
        <w:sz w:val="28"/>
        <w:szCs w:val="28"/>
      </w:rPr>
      <w:t xml:space="preserve"> 12 -</w:t>
    </w:r>
    <w:r>
      <w:rPr>
        <w:rFonts w:ascii="SimSun" w:hAnsi="SimSun"/>
        <w:sz w:val="28"/>
        <w:szCs w:val="28"/>
      </w:rPr>
      <w:fldChar w:fldCharType="end"/>
    </w:r>
  </w:p>
  <w:p>
    <w:pPr>
      <w:pStyle w:val="7"/>
      <w:tabs>
        <w:tab w:val="right" w:pos="9184"/>
        <w:tab w:val="clear" w:pos="4153"/>
        <w:tab w:val="clear" w:pos="8306"/>
      </w:tabs>
      <w:rPr>
        <w:rFonts w:ascii="SimSun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8B844B"/>
    <w:multiLevelType w:val="singleLevel"/>
    <w:tmpl w:val="0F8B844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00EC0174"/>
    <w:rsid w:val="00006E4D"/>
    <w:rsid w:val="00021652"/>
    <w:rsid w:val="00030311"/>
    <w:rsid w:val="00030782"/>
    <w:rsid w:val="00030B66"/>
    <w:rsid w:val="00052572"/>
    <w:rsid w:val="0006068D"/>
    <w:rsid w:val="0006102A"/>
    <w:rsid w:val="00065B0F"/>
    <w:rsid w:val="00065E7E"/>
    <w:rsid w:val="000820BB"/>
    <w:rsid w:val="0008241B"/>
    <w:rsid w:val="00092280"/>
    <w:rsid w:val="00097FAE"/>
    <w:rsid w:val="000A3233"/>
    <w:rsid w:val="000A7486"/>
    <w:rsid w:val="000A7CE3"/>
    <w:rsid w:val="000B04D6"/>
    <w:rsid w:val="000B15CE"/>
    <w:rsid w:val="000C40C6"/>
    <w:rsid w:val="000C79C1"/>
    <w:rsid w:val="000D208A"/>
    <w:rsid w:val="000E037E"/>
    <w:rsid w:val="000F659A"/>
    <w:rsid w:val="000F77B0"/>
    <w:rsid w:val="0010235D"/>
    <w:rsid w:val="00103A47"/>
    <w:rsid w:val="0010627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54C87"/>
    <w:rsid w:val="001769C6"/>
    <w:rsid w:val="00177AAF"/>
    <w:rsid w:val="00183850"/>
    <w:rsid w:val="00184D9F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59D0"/>
    <w:rsid w:val="002D1A18"/>
    <w:rsid w:val="002D6C79"/>
    <w:rsid w:val="002D76D5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52164"/>
    <w:rsid w:val="00357793"/>
    <w:rsid w:val="00361C85"/>
    <w:rsid w:val="00371352"/>
    <w:rsid w:val="00376753"/>
    <w:rsid w:val="0038541D"/>
    <w:rsid w:val="00387818"/>
    <w:rsid w:val="00391A13"/>
    <w:rsid w:val="00391FD0"/>
    <w:rsid w:val="003A44FC"/>
    <w:rsid w:val="003B3299"/>
    <w:rsid w:val="003D10A2"/>
    <w:rsid w:val="003D33B8"/>
    <w:rsid w:val="003D624D"/>
    <w:rsid w:val="003D719A"/>
    <w:rsid w:val="003F5EB7"/>
    <w:rsid w:val="003F7FE2"/>
    <w:rsid w:val="004004E7"/>
    <w:rsid w:val="00401C7A"/>
    <w:rsid w:val="00416E1A"/>
    <w:rsid w:val="00426A3F"/>
    <w:rsid w:val="004277D4"/>
    <w:rsid w:val="00461638"/>
    <w:rsid w:val="004706FA"/>
    <w:rsid w:val="00474D8D"/>
    <w:rsid w:val="00475CCD"/>
    <w:rsid w:val="00477266"/>
    <w:rsid w:val="004811BC"/>
    <w:rsid w:val="004838F2"/>
    <w:rsid w:val="00486492"/>
    <w:rsid w:val="00492CF6"/>
    <w:rsid w:val="004A4C9D"/>
    <w:rsid w:val="004C2078"/>
    <w:rsid w:val="004C228F"/>
    <w:rsid w:val="004C6A76"/>
    <w:rsid w:val="004E752F"/>
    <w:rsid w:val="004F1E37"/>
    <w:rsid w:val="00515198"/>
    <w:rsid w:val="00521C44"/>
    <w:rsid w:val="005274E1"/>
    <w:rsid w:val="00531DDF"/>
    <w:rsid w:val="00535FA6"/>
    <w:rsid w:val="00537DB9"/>
    <w:rsid w:val="00542AB7"/>
    <w:rsid w:val="0055358D"/>
    <w:rsid w:val="005540C8"/>
    <w:rsid w:val="00555809"/>
    <w:rsid w:val="00562165"/>
    <w:rsid w:val="005756AF"/>
    <w:rsid w:val="00575A4A"/>
    <w:rsid w:val="00591B6F"/>
    <w:rsid w:val="005A1DAF"/>
    <w:rsid w:val="005A67BD"/>
    <w:rsid w:val="005C17C8"/>
    <w:rsid w:val="005C2098"/>
    <w:rsid w:val="005C2E6C"/>
    <w:rsid w:val="005D0CCF"/>
    <w:rsid w:val="005D1C01"/>
    <w:rsid w:val="005D5BEE"/>
    <w:rsid w:val="005E297D"/>
    <w:rsid w:val="005E3F12"/>
    <w:rsid w:val="005F627E"/>
    <w:rsid w:val="0061652E"/>
    <w:rsid w:val="006205E9"/>
    <w:rsid w:val="00622D0B"/>
    <w:rsid w:val="006270DA"/>
    <w:rsid w:val="00630B75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37684"/>
    <w:rsid w:val="007732A1"/>
    <w:rsid w:val="007739D4"/>
    <w:rsid w:val="00774C4A"/>
    <w:rsid w:val="00775421"/>
    <w:rsid w:val="00782BBB"/>
    <w:rsid w:val="007A0690"/>
    <w:rsid w:val="007A078F"/>
    <w:rsid w:val="007B34D4"/>
    <w:rsid w:val="007C0633"/>
    <w:rsid w:val="007D086C"/>
    <w:rsid w:val="007F1BE1"/>
    <w:rsid w:val="007F637D"/>
    <w:rsid w:val="007F707F"/>
    <w:rsid w:val="007F794C"/>
    <w:rsid w:val="007F7AC9"/>
    <w:rsid w:val="00803B42"/>
    <w:rsid w:val="008073EF"/>
    <w:rsid w:val="0081095C"/>
    <w:rsid w:val="00810C41"/>
    <w:rsid w:val="008212FF"/>
    <w:rsid w:val="0082593B"/>
    <w:rsid w:val="00827537"/>
    <w:rsid w:val="00830A05"/>
    <w:rsid w:val="0083462A"/>
    <w:rsid w:val="008468EA"/>
    <w:rsid w:val="00867140"/>
    <w:rsid w:val="00881134"/>
    <w:rsid w:val="008904F0"/>
    <w:rsid w:val="008B2F27"/>
    <w:rsid w:val="008B4A72"/>
    <w:rsid w:val="008B585E"/>
    <w:rsid w:val="008E0337"/>
    <w:rsid w:val="008E6C0C"/>
    <w:rsid w:val="008F1E63"/>
    <w:rsid w:val="008F3052"/>
    <w:rsid w:val="00901E19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92716"/>
    <w:rsid w:val="009A0E5F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432A"/>
    <w:rsid w:val="00A55F8A"/>
    <w:rsid w:val="00A9670E"/>
    <w:rsid w:val="00AA1423"/>
    <w:rsid w:val="00AB7996"/>
    <w:rsid w:val="00AC43C3"/>
    <w:rsid w:val="00AE2EAD"/>
    <w:rsid w:val="00AF77BE"/>
    <w:rsid w:val="00B00BB4"/>
    <w:rsid w:val="00B11CEE"/>
    <w:rsid w:val="00B23428"/>
    <w:rsid w:val="00B264BF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3879"/>
    <w:rsid w:val="00BD0E0D"/>
    <w:rsid w:val="00BD41BC"/>
    <w:rsid w:val="00BD55AD"/>
    <w:rsid w:val="00BD7047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1851"/>
    <w:rsid w:val="00C53721"/>
    <w:rsid w:val="00C64D2E"/>
    <w:rsid w:val="00C70F97"/>
    <w:rsid w:val="00C7497C"/>
    <w:rsid w:val="00C757A2"/>
    <w:rsid w:val="00C75966"/>
    <w:rsid w:val="00C76577"/>
    <w:rsid w:val="00C80225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49F5"/>
    <w:rsid w:val="00D355B5"/>
    <w:rsid w:val="00D43DC3"/>
    <w:rsid w:val="00D51791"/>
    <w:rsid w:val="00D5281E"/>
    <w:rsid w:val="00D6531B"/>
    <w:rsid w:val="00D6612D"/>
    <w:rsid w:val="00D71AD9"/>
    <w:rsid w:val="00D73C02"/>
    <w:rsid w:val="00D77D81"/>
    <w:rsid w:val="00D8170D"/>
    <w:rsid w:val="00D872ED"/>
    <w:rsid w:val="00D913C6"/>
    <w:rsid w:val="00DA0236"/>
    <w:rsid w:val="00DA37F7"/>
    <w:rsid w:val="00DA5D51"/>
    <w:rsid w:val="00DA5E29"/>
    <w:rsid w:val="00DA61CA"/>
    <w:rsid w:val="00DB66BB"/>
    <w:rsid w:val="00DB73AF"/>
    <w:rsid w:val="00DC2865"/>
    <w:rsid w:val="00DD0894"/>
    <w:rsid w:val="00DD12DB"/>
    <w:rsid w:val="00DE1888"/>
    <w:rsid w:val="00DF1250"/>
    <w:rsid w:val="00DF6EF7"/>
    <w:rsid w:val="00E05454"/>
    <w:rsid w:val="00E074C3"/>
    <w:rsid w:val="00E23329"/>
    <w:rsid w:val="00E24D6D"/>
    <w:rsid w:val="00E341B2"/>
    <w:rsid w:val="00E42633"/>
    <w:rsid w:val="00E5699E"/>
    <w:rsid w:val="00E570E1"/>
    <w:rsid w:val="00E70BEA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C0839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45DA1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3946B2A"/>
    <w:rsid w:val="05A87C02"/>
    <w:rsid w:val="18D17537"/>
    <w:rsid w:val="19927F78"/>
    <w:rsid w:val="21AE59D8"/>
    <w:rsid w:val="286F56EA"/>
    <w:rsid w:val="293D10C5"/>
    <w:rsid w:val="2D527252"/>
    <w:rsid w:val="329102D6"/>
    <w:rsid w:val="38D9637F"/>
    <w:rsid w:val="39F641D2"/>
    <w:rsid w:val="3A9520B3"/>
    <w:rsid w:val="3DE562B7"/>
    <w:rsid w:val="3E6507EA"/>
    <w:rsid w:val="41A62A9A"/>
    <w:rsid w:val="4465782E"/>
    <w:rsid w:val="47550EBA"/>
    <w:rsid w:val="4977273E"/>
    <w:rsid w:val="50BB3388"/>
    <w:rsid w:val="526F488F"/>
    <w:rsid w:val="550D3071"/>
    <w:rsid w:val="6636451A"/>
    <w:rsid w:val="6BE94116"/>
    <w:rsid w:val="6EE703D0"/>
    <w:rsid w:val="7222364E"/>
    <w:rsid w:val="78916378"/>
    <w:rsid w:val="7BC20073"/>
    <w:rsid w:val="7C631402"/>
    <w:rsid w:val="7DCC0F6E"/>
    <w:rsid w:val="7E140770"/>
    <w:rsid w:val="9BFF62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qFormat="1" w:unhideWhenUsed="0" w:uiPriority="0" w:semiHidden="0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qFormat="1" w:unhideWhenUsed="0" w:uiPriority="0" w:semiHidden="0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semiHidden="0" w:name="Document Map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SimSun" w:cs="Times New Roman"/>
      <w:kern w:val="2"/>
      <w:sz w:val="32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locked/>
    <w:uiPriority w:val="0"/>
    <w:pPr>
      <w:spacing w:after="120"/>
      <w:ind w:left="420" w:leftChars="200" w:firstLine="420"/>
    </w:pPr>
  </w:style>
  <w:style w:type="paragraph" w:styleId="3">
    <w:name w:val="Body Text Indent"/>
    <w:basedOn w:val="1"/>
    <w:autoRedefine/>
    <w:qFormat/>
    <w:locked/>
    <w:uiPriority w:val="0"/>
    <w:pPr>
      <w:ind w:firstLine="600" w:firstLineChars="200"/>
    </w:pPr>
    <w:rPr>
      <w:sz w:val="30"/>
      <w:szCs w:val="30"/>
    </w:rPr>
  </w:style>
  <w:style w:type="paragraph" w:styleId="4">
    <w:name w:val="Document Map"/>
    <w:basedOn w:val="1"/>
    <w:link w:val="13"/>
    <w:autoRedefine/>
    <w:qFormat/>
    <w:uiPriority w:val="99"/>
    <w:rPr>
      <w:rFonts w:ascii="SimSun"/>
      <w:sz w:val="18"/>
      <w:szCs w:val="18"/>
    </w:rPr>
  </w:style>
  <w:style w:type="paragraph" w:styleId="5">
    <w:name w:val="annotation text"/>
    <w:basedOn w:val="1"/>
    <w:autoRedefine/>
    <w:semiHidden/>
    <w:unhideWhenUsed/>
    <w:qFormat/>
    <w:locked/>
    <w:uiPriority w:val="99"/>
    <w:pPr>
      <w:jc w:val="left"/>
    </w:pPr>
  </w:style>
  <w:style w:type="paragraph" w:styleId="6">
    <w:name w:val="Balloon Text"/>
    <w:basedOn w:val="1"/>
    <w:link w:val="14"/>
    <w:autoRedefine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15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autoRedefine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autoRedefine/>
    <w:qFormat/>
    <w:uiPriority w:val="99"/>
    <w:rPr>
      <w:rFonts w:cs="Times New Roman"/>
    </w:rPr>
  </w:style>
  <w:style w:type="character" w:customStyle="1" w:styleId="13">
    <w:name w:val="文档结构图 Char"/>
    <w:link w:val="4"/>
    <w:autoRedefine/>
    <w:qFormat/>
    <w:locked/>
    <w:uiPriority w:val="99"/>
    <w:rPr>
      <w:rFonts w:ascii="SimSun" w:cs="Times New Roman"/>
      <w:kern w:val="2"/>
      <w:sz w:val="18"/>
      <w:szCs w:val="18"/>
    </w:rPr>
  </w:style>
  <w:style w:type="character" w:customStyle="1" w:styleId="14">
    <w:name w:val="批注框文本 Char"/>
    <w:link w:val="6"/>
    <w:autoRedefine/>
    <w:semiHidden/>
    <w:qFormat/>
    <w:locked/>
    <w:uiPriority w:val="99"/>
    <w:rPr>
      <w:rFonts w:cs="Times New Roman"/>
      <w:sz w:val="2"/>
    </w:rPr>
  </w:style>
  <w:style w:type="character" w:customStyle="1" w:styleId="15">
    <w:name w:val="页脚 Char"/>
    <w:link w:val="7"/>
    <w:autoRedefine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6">
    <w:name w:val="页眉 Char"/>
    <w:link w:val="8"/>
    <w:autoRedefine/>
    <w:semiHidden/>
    <w:qFormat/>
    <w:locked/>
    <w:uiPriority w:val="99"/>
    <w:rPr>
      <w:rFonts w:cs="Times New Roman"/>
      <w:sz w:val="18"/>
      <w:szCs w:val="18"/>
    </w:rPr>
  </w:style>
  <w:style w:type="paragraph" w:customStyle="1" w:styleId="17">
    <w:name w:val="四号正文"/>
    <w:basedOn w:val="1"/>
    <w:link w:val="18"/>
    <w:autoRedefine/>
    <w:qFormat/>
    <w:uiPriority w:val="99"/>
    <w:pPr>
      <w:spacing w:line="360" w:lineRule="auto"/>
    </w:pPr>
    <w:rPr>
      <w:rFonts w:ascii="??" w:hAnsi="??" w:cs="SimSun"/>
      <w:color w:val="000000"/>
      <w:kern w:val="0"/>
      <w:sz w:val="28"/>
      <w:szCs w:val="21"/>
    </w:rPr>
  </w:style>
  <w:style w:type="character" w:customStyle="1" w:styleId="18">
    <w:name w:val="四号正文 Char"/>
    <w:link w:val="17"/>
    <w:autoRedefine/>
    <w:qFormat/>
    <w:locked/>
    <w:uiPriority w:val="99"/>
    <w:rPr>
      <w:rFonts w:ascii="??" w:hAnsi="??" w:eastAsia="SimSun" w:cs="SimSun"/>
      <w:color w:val="000000"/>
      <w:sz w:val="21"/>
      <w:szCs w:val="21"/>
      <w:lang w:val="en-US" w:eastAsia="zh-CN" w:bidi="ar-SA"/>
    </w:rPr>
  </w:style>
  <w:style w:type="paragraph" w:customStyle="1" w:styleId="19">
    <w:name w:val="a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PSZX</Company>
  <Pages>2</Pages>
  <Words>63</Words>
  <Characters>361</Characters>
  <Lines>3</Lines>
  <Paragraphs>1</Paragraphs>
  <TotalTime>38</TotalTime>
  <ScaleCrop>false</ScaleCrop>
  <LinksUpToDate>false</LinksUpToDate>
  <CharactersWithSpaces>423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2020-05-28T09:28:00Z</dcterms:created>
  <dc:creator>陈萍</dc:creator>
  <cp:lastModifiedBy>碧云天</cp:lastModifiedBy>
  <cp:lastPrinted>2023-07-24T03:04:00Z</cp:lastPrinted>
  <dcterms:modified xsi:type="dcterms:W3CDTF">2024-03-29T04:53:45Z</dcterms:modified>
  <dc:title>区域性就业培训基地建设项目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53B7F86B27C64309879EEE75FFE498EF</vt:lpwstr>
  </property>
</Properties>
</file>