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ind w:firstLine="522" w:firstLineChars="100"/>
        <w:jc w:val="both"/>
        <w:rPr>
          <w:rFonts w:hint="eastAsia"/>
          <w:b/>
          <w:bCs/>
          <w:sz w:val="52"/>
          <w:szCs w:val="52"/>
          <w:lang w:val="en-US" w:eastAsia="zh-CN"/>
        </w:rPr>
      </w:pPr>
      <w:r>
        <w:rPr>
          <w:rFonts w:hint="eastAsia"/>
          <w:b/>
          <w:bCs/>
          <w:sz w:val="52"/>
          <w:szCs w:val="52"/>
          <w:lang w:val="en-US" w:eastAsia="zh-CN"/>
        </w:rPr>
        <w:t>中共峨边彝族自治县县委统战部</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单位(签章)：中共峨边县委统战部</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 xml:space="preserve">   2022年04 月 18日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统战部</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统战部</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统战部</w:t>
      </w:r>
      <w:r>
        <w:rPr>
          <w:rFonts w:hint="default"/>
          <w:b w:val="0"/>
          <w:bCs w:val="0"/>
          <w:sz w:val="32"/>
          <w:szCs w:val="32"/>
          <w:lang w:val="en-US" w:eastAsia="zh-CN"/>
        </w:rPr>
        <w:t>2022 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中共峨边彝族自治县县委统战部</w:t>
      </w: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pPr>
        <w:spacing w:line="600"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r>
        <w:rPr>
          <w:rFonts w:hint="eastAsia" w:ascii="仿宋_GB2312" w:eastAsia="仿宋_GB2312"/>
          <w:sz w:val="32"/>
          <w:szCs w:val="32"/>
        </w:rPr>
        <w:t>（一）负责协调、监督、检查全县统一战线工作。宣传贯彻统一战线的理论、方针、政策，向县委反映统一战线全面情况，提出开展统战工作的意见和建议，协调统战工作中的重大问题，组织开展统一战线的重大活动。（二）负责联系无党派人士，及时通报情况，反映他们的意见和建议；研究、贯彻中国共产党领导的多党合作和政治协商制度，落实中央、省委、市委、县委关于发挥无党派代表人士参政议政和民主监督作用的工作；受县委委托，向无党派人士通报中央、省委、市委、县委的重大决定和指示精神。（三）负责调查研究、协调检查有关民族和宗教工作重大方针、政策的贯彻执行；联系少数民族代表人士；协助有关部门做好少数民族党外干部的培养和举荐工作。（四）负责开展以祖国统一为重点的海外统战工作；联系香港、澳门和海外有关社团及代表人士；归口管理台湾在野党派、政治团体的来访工作；协调指导做好台胞、台属的有关工作。（五）负责党外人士的政治安排；会同有关部门做好培养、考察、选拔、推荐、安排党外人士担任政府和司法机关领导职务的工作；做好党外后备干部和新的代表人士队伍的建设工作；受县委委托，领导县工商联党组、指导县工商联工作，协调工商联做好干部管理工作；协调指导县政府宗教事务办公室工作。（六）调查研究并反映我县非公有制经济代表人士的情况，协调关系，提出政策建议；团结、帮助、引导、教育非公有制经济代表人士，积极开展思想政治工作。（七）调查研究党外人士知识分子的情况，反映意见，协调关系，提出政策建议；联系并培养党外知识分子代表人士。</w:t>
      </w:r>
    </w:p>
    <w:p>
      <w:pPr>
        <w:spacing w:line="600" w:lineRule="exact"/>
        <w:rPr>
          <w:rFonts w:hint="default" w:ascii="仿宋" w:hAnsi="仿宋" w:eastAsia="仿宋"/>
          <w:color w:val="FF0000"/>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r>
        <w:rPr>
          <w:rFonts w:hint="eastAsia" w:ascii="仿宋" w:hAnsi="仿宋" w:eastAsia="仿宋"/>
          <w:color w:val="FF0000"/>
          <w:sz w:val="32"/>
          <w:szCs w:val="32"/>
          <w:lang w:val="en-US" w:eastAsia="zh-CN"/>
        </w:rPr>
        <w:t>1、深入学习贯彻《中国共产党统一战线工作条例》；2、进一步抓好党外人士、民营经济、民族宗教、侨台事务、新阶人士、统战信息宣传等工作；3、持续抓好脱贫成果巩固和疫情防控工作。</w:t>
      </w: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pPr>
        <w:spacing w:line="600" w:lineRule="exact"/>
        <w:ind w:firstLine="640" w:firstLineChars="200"/>
        <w:rPr>
          <w:rFonts w:hint="eastAsia" w:ascii="仿宋" w:hAnsi="仿宋" w:eastAsia="仿宋"/>
          <w:sz w:val="32"/>
          <w:szCs w:val="32"/>
        </w:rPr>
      </w:pPr>
      <w:r>
        <w:rPr>
          <w:rFonts w:hint="eastAsia" w:ascii="仿宋" w:hAnsi="仿宋" w:eastAsia="仿宋"/>
          <w:color w:val="FF0000"/>
          <w:sz w:val="32"/>
          <w:szCs w:val="32"/>
          <w:lang w:eastAsia="zh-CN"/>
        </w:rPr>
        <w:t>统战部</w:t>
      </w:r>
      <w:r>
        <w:rPr>
          <w:rFonts w:hint="eastAsia" w:ascii="仿宋" w:hAnsi="仿宋" w:eastAsia="仿宋"/>
          <w:sz w:val="32"/>
          <w:szCs w:val="32"/>
        </w:rPr>
        <w:t>预算单位</w:t>
      </w:r>
      <w:r>
        <w:rPr>
          <w:rFonts w:hint="eastAsia" w:ascii="仿宋" w:hAnsi="仿宋" w:eastAsia="仿宋"/>
          <w:color w:val="FF0000"/>
          <w:sz w:val="32"/>
          <w:szCs w:val="32"/>
          <w:lang w:val="en-US" w:eastAsia="zh-CN"/>
        </w:rPr>
        <w:t>1</w:t>
      </w:r>
      <w:r>
        <w:rPr>
          <w:rFonts w:hint="eastAsia" w:ascii="仿宋" w:hAnsi="仿宋" w:eastAsia="仿宋"/>
          <w:sz w:val="32"/>
          <w:szCs w:val="32"/>
        </w:rPr>
        <w:t>个，其中：行政单位</w:t>
      </w:r>
      <w:r>
        <w:rPr>
          <w:rFonts w:hint="eastAsia" w:ascii="仿宋" w:hAnsi="仿宋" w:eastAsia="仿宋"/>
          <w:color w:val="FF0000"/>
          <w:sz w:val="32"/>
          <w:szCs w:val="32"/>
          <w:lang w:val="en-US" w:eastAsia="zh-CN"/>
        </w:rPr>
        <w:t>1</w:t>
      </w:r>
      <w:r>
        <w:rPr>
          <w:rFonts w:hint="eastAsia" w:ascii="仿宋" w:hAnsi="仿宋" w:eastAsia="仿宋"/>
          <w:sz w:val="32"/>
          <w:szCs w:val="32"/>
        </w:rPr>
        <w:t>个，事业单位</w:t>
      </w:r>
      <w:r>
        <w:rPr>
          <w:rFonts w:hint="eastAsia" w:ascii="仿宋" w:hAnsi="仿宋" w:eastAsia="仿宋"/>
          <w:color w:val="FF0000"/>
          <w:sz w:val="32"/>
          <w:szCs w:val="32"/>
          <w:lang w:val="en-US" w:eastAsia="zh-CN"/>
        </w:rPr>
        <w:t>0</w:t>
      </w:r>
      <w:r>
        <w:rPr>
          <w:rFonts w:hint="eastAsia" w:ascii="仿宋" w:hAnsi="仿宋" w:eastAsia="仿宋"/>
          <w:sz w:val="32"/>
          <w:szCs w:val="32"/>
        </w:rPr>
        <w:t>个。</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统战部</w:t>
      </w:r>
      <w:r>
        <w:rPr>
          <w:rFonts w:hint="eastAsia" w:ascii="仿宋" w:hAnsi="仿宋" w:eastAsia="仿宋"/>
          <w:sz w:val="32"/>
          <w:szCs w:val="32"/>
        </w:rPr>
        <w:t>总编制</w:t>
      </w:r>
      <w:r>
        <w:rPr>
          <w:rFonts w:hint="eastAsia" w:ascii="仿宋" w:hAnsi="仿宋" w:eastAsia="仿宋"/>
          <w:color w:val="FF0000"/>
          <w:sz w:val="32"/>
          <w:szCs w:val="32"/>
          <w:lang w:val="en-US" w:eastAsia="zh-CN"/>
        </w:rPr>
        <w:t>10</w:t>
      </w:r>
      <w:r>
        <w:rPr>
          <w:rFonts w:hint="eastAsia" w:ascii="仿宋" w:hAnsi="仿宋" w:eastAsia="仿宋"/>
          <w:sz w:val="32"/>
          <w:szCs w:val="32"/>
        </w:rPr>
        <w:t>名，其中：行政编制</w:t>
      </w:r>
      <w:r>
        <w:rPr>
          <w:rFonts w:hint="eastAsia" w:ascii="仿宋" w:hAnsi="仿宋" w:eastAsia="仿宋"/>
          <w:color w:val="FF0000"/>
          <w:sz w:val="32"/>
          <w:szCs w:val="32"/>
          <w:lang w:val="en-US" w:eastAsia="zh-CN"/>
        </w:rPr>
        <w:t>5</w:t>
      </w:r>
      <w:r>
        <w:rPr>
          <w:rFonts w:hint="eastAsia" w:ascii="仿宋" w:hAnsi="仿宋" w:eastAsia="仿宋"/>
          <w:sz w:val="32"/>
          <w:szCs w:val="32"/>
        </w:rPr>
        <w:t>名，工勤编制</w:t>
      </w:r>
      <w:r>
        <w:rPr>
          <w:rFonts w:hint="eastAsia" w:ascii="仿宋" w:hAnsi="仿宋" w:eastAsia="仿宋"/>
          <w:color w:val="FF0000"/>
          <w:sz w:val="32"/>
          <w:szCs w:val="32"/>
          <w:lang w:val="en-US" w:eastAsia="zh-CN"/>
        </w:rPr>
        <w:t>1</w:t>
      </w:r>
      <w:r>
        <w:rPr>
          <w:rFonts w:hint="eastAsia" w:ascii="仿宋" w:hAnsi="仿宋" w:eastAsia="仿宋"/>
          <w:sz w:val="32"/>
          <w:szCs w:val="32"/>
        </w:rPr>
        <w:t>名，</w:t>
      </w:r>
      <w:r>
        <w:rPr>
          <w:rFonts w:hint="eastAsia" w:ascii="仿宋" w:hAnsi="仿宋" w:eastAsia="仿宋"/>
          <w:sz w:val="32"/>
          <w:szCs w:val="32"/>
          <w:lang w:eastAsia="zh-CN"/>
        </w:rPr>
        <w:t>参公编制</w:t>
      </w:r>
      <w:r>
        <w:rPr>
          <w:rFonts w:hint="eastAsia" w:ascii="仿宋" w:hAnsi="仿宋" w:eastAsia="仿宋"/>
          <w:sz w:val="32"/>
          <w:szCs w:val="32"/>
          <w:lang w:val="en-US" w:eastAsia="zh-CN"/>
        </w:rPr>
        <w:t>2名，</w:t>
      </w:r>
      <w:r>
        <w:rPr>
          <w:rFonts w:hint="eastAsia" w:ascii="仿宋" w:hAnsi="仿宋" w:eastAsia="仿宋"/>
          <w:sz w:val="32"/>
          <w:szCs w:val="32"/>
        </w:rPr>
        <w:t>事业编制</w:t>
      </w:r>
      <w:r>
        <w:rPr>
          <w:rFonts w:hint="eastAsia" w:ascii="仿宋" w:hAnsi="仿宋" w:eastAsia="仿宋"/>
          <w:color w:val="FF0000"/>
          <w:sz w:val="32"/>
          <w:szCs w:val="32"/>
          <w:lang w:val="en-US" w:eastAsia="zh-CN"/>
        </w:rPr>
        <w:t>2</w:t>
      </w:r>
      <w:r>
        <w:rPr>
          <w:rFonts w:hint="eastAsia" w:ascii="仿宋" w:hAnsi="仿宋" w:eastAsia="仿宋"/>
          <w:sz w:val="32"/>
          <w:szCs w:val="32"/>
        </w:rPr>
        <w:t>名。在职人员总数</w:t>
      </w:r>
      <w:r>
        <w:rPr>
          <w:rFonts w:hint="eastAsia" w:ascii="仿宋" w:hAnsi="仿宋" w:eastAsia="仿宋"/>
          <w:color w:val="FF0000"/>
          <w:sz w:val="32"/>
          <w:szCs w:val="32"/>
          <w:lang w:val="en-US" w:eastAsia="zh-CN"/>
        </w:rPr>
        <w:t>6</w:t>
      </w:r>
      <w:r>
        <w:rPr>
          <w:rFonts w:hint="eastAsia" w:ascii="仿宋" w:hAnsi="仿宋" w:eastAsia="仿宋"/>
          <w:sz w:val="32"/>
          <w:szCs w:val="32"/>
        </w:rPr>
        <w:t>名，其中：行政</w:t>
      </w:r>
      <w:r>
        <w:rPr>
          <w:rFonts w:hint="eastAsia" w:ascii="仿宋" w:hAnsi="仿宋" w:eastAsia="仿宋"/>
          <w:color w:val="FF0000"/>
          <w:sz w:val="32"/>
          <w:szCs w:val="32"/>
          <w:lang w:val="en-US" w:eastAsia="zh-CN"/>
        </w:rPr>
        <w:t>5</w:t>
      </w:r>
      <w:r>
        <w:rPr>
          <w:rFonts w:hint="eastAsia" w:ascii="仿宋" w:hAnsi="仿宋" w:eastAsia="仿宋"/>
          <w:sz w:val="32"/>
          <w:szCs w:val="32"/>
        </w:rPr>
        <w:t>名，工勤</w:t>
      </w:r>
      <w:r>
        <w:rPr>
          <w:rFonts w:hint="eastAsia" w:ascii="仿宋" w:hAnsi="仿宋" w:eastAsia="仿宋"/>
          <w:sz w:val="32"/>
          <w:szCs w:val="32"/>
          <w:lang w:val="en-US" w:eastAsia="zh-CN"/>
        </w:rPr>
        <w:t>0名</w:t>
      </w:r>
      <w:r>
        <w:rPr>
          <w:rFonts w:hint="eastAsia" w:ascii="仿宋" w:hAnsi="仿宋" w:eastAsia="仿宋"/>
          <w:sz w:val="32"/>
          <w:szCs w:val="32"/>
        </w:rPr>
        <w:t>，事业</w:t>
      </w:r>
      <w:r>
        <w:rPr>
          <w:rFonts w:hint="eastAsia" w:ascii="仿宋" w:hAnsi="仿宋" w:eastAsia="仿宋"/>
          <w:color w:val="FF0000"/>
          <w:sz w:val="32"/>
          <w:szCs w:val="32"/>
          <w:lang w:val="en-US" w:eastAsia="zh-CN"/>
        </w:rPr>
        <w:t>1</w:t>
      </w:r>
      <w:r>
        <w:rPr>
          <w:rFonts w:hint="eastAsia" w:ascii="仿宋" w:hAnsi="仿宋" w:eastAsia="仿宋"/>
          <w:sz w:val="32"/>
          <w:szCs w:val="32"/>
        </w:rPr>
        <w:t>名</w:t>
      </w:r>
      <w:r>
        <w:rPr>
          <w:rFonts w:hint="eastAsia" w:ascii="仿宋" w:hAnsi="仿宋" w:eastAsia="仿宋"/>
          <w:sz w:val="32"/>
          <w:szCs w:val="32"/>
          <w:lang w:eastAsia="zh-CN"/>
        </w:rPr>
        <w:t>，参公</w:t>
      </w:r>
      <w:r>
        <w:rPr>
          <w:rFonts w:hint="eastAsia" w:ascii="仿宋" w:hAnsi="仿宋" w:eastAsia="仿宋"/>
          <w:sz w:val="32"/>
          <w:szCs w:val="32"/>
          <w:lang w:val="en-US" w:eastAsia="zh-CN"/>
        </w:rPr>
        <w:t>0名</w:t>
      </w:r>
      <w:r>
        <w:rPr>
          <w:rFonts w:hint="eastAsia" w:ascii="仿宋" w:hAnsi="仿宋" w:eastAsia="仿宋"/>
          <w:sz w:val="32"/>
          <w:szCs w:val="32"/>
        </w:rPr>
        <w:t>。离休</w:t>
      </w:r>
      <w:r>
        <w:rPr>
          <w:rFonts w:hint="eastAsia" w:ascii="仿宋" w:hAnsi="仿宋" w:eastAsia="仿宋"/>
          <w:color w:val="FF0000"/>
          <w:sz w:val="32"/>
          <w:szCs w:val="32"/>
          <w:lang w:val="en-US" w:eastAsia="zh-CN"/>
        </w:rPr>
        <w:t>0</w:t>
      </w:r>
      <w:r>
        <w:rPr>
          <w:rFonts w:hint="eastAsia" w:ascii="仿宋" w:hAnsi="仿宋" w:eastAsia="仿宋"/>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ind w:firstLine="1044" w:firstLineChars="200"/>
        <w:jc w:val="both"/>
        <w:rPr>
          <w:rFonts w:hint="eastAsia"/>
          <w:b/>
          <w:bCs/>
          <w:sz w:val="52"/>
          <w:szCs w:val="52"/>
          <w:lang w:val="en-US" w:eastAsia="zh-CN"/>
        </w:rPr>
      </w:pPr>
      <w:r>
        <w:rPr>
          <w:rFonts w:hint="eastAsia"/>
          <w:b/>
          <w:bCs/>
          <w:sz w:val="52"/>
          <w:szCs w:val="52"/>
          <w:lang w:val="en-US" w:eastAsia="zh-CN"/>
        </w:rPr>
        <w:t>中共峨边彝族自治县委统战部</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pStyle w:val="2"/>
        <w:numPr>
          <w:ilvl w:val="0"/>
          <w:numId w:val="2"/>
        </w:numPr>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部门收支总表（公开表1）</w:t>
      </w:r>
      <w:r>
        <w:commentReference w:id="0"/>
      </w:r>
    </w:p>
    <w:p>
      <w:r>
        <w:drawing>
          <wp:inline distT="0" distB="0" distL="114300" distR="114300">
            <wp:extent cx="5113655" cy="6513195"/>
            <wp:effectExtent l="0" t="0" r="10795" b="1905"/>
            <wp:docPr id="884" name="图片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图片 884"/>
                    <pic:cNvPicPr>
                      <a:picLocks noChangeAspect="1"/>
                    </pic:cNvPicPr>
                  </pic:nvPicPr>
                  <pic:blipFill>
                    <a:blip r:embed="rId6"/>
                    <a:stretch>
                      <a:fillRect/>
                    </a:stretch>
                  </pic:blipFill>
                  <pic:spPr>
                    <a:xfrm>
                      <a:off x="0" y="0"/>
                      <a:ext cx="5113655" cy="6513195"/>
                    </a:xfrm>
                    <a:prstGeom prst="rect">
                      <a:avLst/>
                    </a:prstGeom>
                    <a:noFill/>
                    <a:ln>
                      <a:noFill/>
                    </a:ln>
                  </pic:spPr>
                </pic:pic>
              </a:graphicData>
            </a:graphic>
          </wp:inline>
        </w:drawing>
      </w:r>
    </w:p>
    <w:p>
      <w:pPr>
        <w:pStyle w:val="2"/>
      </w:pPr>
    </w:p>
    <w:p/>
    <w:p>
      <w:pPr>
        <w:pStyle w:val="2"/>
      </w:pPr>
    </w:p>
    <w:p>
      <w:pPr>
        <w:rPr>
          <w:rFonts w:hint="eastAsia"/>
          <w:lang w:val="en-US" w:eastAsia="zh-CN"/>
        </w:rPr>
      </w:pPr>
    </w:p>
    <w:tbl>
      <w:tblPr>
        <w:tblStyle w:val="6"/>
        <w:tblW w:w="9420" w:type="dxa"/>
        <w:tblInd w:w="0" w:type="dxa"/>
        <w:shd w:val="clear" w:color="auto" w:fill="auto"/>
        <w:tblLayout w:type="autofit"/>
        <w:tblCellMar>
          <w:top w:w="0" w:type="dxa"/>
          <w:left w:w="0" w:type="dxa"/>
          <w:bottom w:w="0" w:type="dxa"/>
          <w:right w:w="0" w:type="dxa"/>
        </w:tblCellMar>
      </w:tblPr>
      <w:tblGrid>
        <w:gridCol w:w="9420"/>
      </w:tblGrid>
      <w:tr>
        <w:tblPrEx>
          <w:shd w:val="clear" w:color="auto" w:fill="auto"/>
          <w:tblCellMar>
            <w:top w:w="0" w:type="dxa"/>
            <w:left w:w="0" w:type="dxa"/>
            <w:bottom w:w="0" w:type="dxa"/>
            <w:right w:w="0" w:type="dxa"/>
          </w:tblCellMar>
        </w:tblPrEx>
        <w:trPr>
          <w:trHeight w:val="456" w:hRule="atLeast"/>
        </w:trPr>
        <w:tc>
          <w:tcPr>
            <w:tcW w:w="9420" w:type="dxa"/>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0" w:leftChars="0" w:firstLine="0" w:firstLineChars="0"/>
              <w:jc w:val="center"/>
              <w:textAlignment w:val="center"/>
              <w:rPr>
                <w:rFonts w:hint="eastAsia"/>
                <w:lang w:val="en-US" w:eastAsia="zh-CN"/>
              </w:rPr>
            </w:pPr>
            <w:r>
              <w:rPr>
                <w:rFonts w:hint="eastAsia"/>
                <w:lang w:val="en-US" w:eastAsia="zh-CN"/>
              </w:rPr>
              <w:t>部门收入总表（公开表1-1）</w:t>
            </w:r>
          </w:p>
          <w:p>
            <w:pPr>
              <w:pStyle w:val="2"/>
              <w:numPr>
                <w:ilvl w:val="0"/>
                <w:numId w:val="0"/>
              </w:numPr>
              <w:ind w:leftChars="0"/>
              <w:jc w:val="both"/>
              <w:rPr>
                <w:rFonts w:hint="default"/>
                <w:lang w:val="en-US"/>
              </w:rPr>
            </w:pPr>
            <w:r>
              <w:drawing>
                <wp:inline distT="0" distB="0" distL="114300" distR="114300">
                  <wp:extent cx="5334635" cy="2455545"/>
                  <wp:effectExtent l="0" t="0" r="184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334635" cy="2455545"/>
                          </a:xfrm>
                          <a:prstGeom prst="rect">
                            <a:avLst/>
                          </a:prstGeom>
                          <a:noFill/>
                          <a:ln>
                            <a:noFill/>
                          </a:ln>
                        </pic:spPr>
                      </pic:pic>
                    </a:graphicData>
                  </a:graphic>
                </wp:inline>
              </w:drawing>
            </w:r>
          </w:p>
        </w:tc>
      </w:tr>
    </w:tbl>
    <w:p>
      <w:pPr>
        <w:numPr>
          <w:ilvl w:val="0"/>
          <w:numId w:val="0"/>
        </w:numPr>
        <w:rPr>
          <w:rFonts w:hint="default"/>
          <w:lang w:val="en-US" w:eastAsia="zh-CN"/>
        </w:rPr>
      </w:pPr>
    </w:p>
    <w:p>
      <w:pPr>
        <w:spacing w:line="600" w:lineRule="exact"/>
        <w:rPr>
          <w:rFonts w:hint="default" w:ascii="仿宋" w:hAnsi="仿宋" w:eastAsia="仿宋" w:cs="Times New Roman"/>
          <w:sz w:val="32"/>
          <w:szCs w:val="32"/>
          <w:lang w:val="en-US" w:eastAsia="zh-CN"/>
        </w:rPr>
      </w:pPr>
    </w:p>
    <w:tbl>
      <w:tblPr>
        <w:tblStyle w:val="6"/>
        <w:tblW w:w="18660" w:type="dxa"/>
        <w:tblInd w:w="0" w:type="dxa"/>
        <w:shd w:val="clear" w:color="auto" w:fill="auto"/>
        <w:tblLayout w:type="fixed"/>
        <w:tblCellMar>
          <w:top w:w="0" w:type="dxa"/>
          <w:left w:w="0" w:type="dxa"/>
          <w:bottom w:w="0" w:type="dxa"/>
          <w:right w:w="0" w:type="dxa"/>
        </w:tblCellMar>
      </w:tblPr>
      <w:tblGrid>
        <w:gridCol w:w="16982"/>
        <w:gridCol w:w="1678"/>
      </w:tblGrid>
      <w:tr>
        <w:tblPrEx>
          <w:shd w:val="clear" w:color="auto" w:fill="auto"/>
          <w:tblCellMar>
            <w:top w:w="0" w:type="dxa"/>
            <w:left w:w="0" w:type="dxa"/>
            <w:bottom w:w="0" w:type="dxa"/>
            <w:right w:w="0" w:type="dxa"/>
          </w:tblCellMar>
        </w:tblPrEx>
        <w:trPr>
          <w:gridAfter w:val="1"/>
          <w:wAfter w:w="1678" w:type="dxa"/>
          <w:trHeight w:val="456" w:hRule="atLeast"/>
        </w:trPr>
        <w:tc>
          <w:tcPr>
            <w:tcW w:w="16982" w:type="dxa"/>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928" w:firstLineChars="600"/>
              <w:jc w:val="both"/>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32"/>
                <w:szCs w:val="32"/>
                <w:u w:val="none"/>
                <w:lang w:val="en-US" w:eastAsia="zh-CN" w:bidi="ar"/>
              </w:rPr>
              <w:t>三、部门支出总表（公开表1-2）</w:t>
            </w: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840" w:firstLineChars="400"/>
              <w:jc w:val="both"/>
              <w:textAlignment w:val="center"/>
              <w:rPr>
                <w:rFonts w:hint="eastAsia" w:ascii="黑体" w:hAnsi="宋体" w:eastAsia="黑体" w:cs="黑体"/>
                <w:b/>
                <w:i w:val="0"/>
                <w:color w:val="000000"/>
                <w:kern w:val="0"/>
                <w:sz w:val="32"/>
                <w:szCs w:val="32"/>
                <w:u w:val="none"/>
                <w:lang w:val="en-US" w:eastAsia="zh-CN" w:bidi="ar"/>
              </w:rPr>
            </w:pPr>
            <w:r>
              <w:drawing>
                <wp:inline distT="0" distB="0" distL="114300" distR="114300">
                  <wp:extent cx="4843780" cy="3434715"/>
                  <wp:effectExtent l="0" t="0" r="13970" b="13335"/>
                  <wp:docPr id="890" name="图片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图片 890"/>
                          <pic:cNvPicPr>
                            <a:picLocks noChangeAspect="1"/>
                          </pic:cNvPicPr>
                        </pic:nvPicPr>
                        <pic:blipFill>
                          <a:blip r:embed="rId8"/>
                          <a:stretch>
                            <a:fillRect/>
                          </a:stretch>
                        </pic:blipFill>
                        <pic:spPr>
                          <a:xfrm>
                            <a:off x="0" y="0"/>
                            <a:ext cx="4843780" cy="3434715"/>
                          </a:xfrm>
                          <a:prstGeom prst="rect">
                            <a:avLst/>
                          </a:prstGeom>
                          <a:noFill/>
                          <a:ln>
                            <a:noFill/>
                          </a:ln>
                        </pic:spPr>
                      </pic:pic>
                    </a:graphicData>
                  </a:graphic>
                </wp:inline>
              </w:drawing>
            </w:r>
          </w:p>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p>
            <w:pPr>
              <w:keepNext w:val="0"/>
              <w:keepLines w:val="0"/>
              <w:widowControl/>
              <w:suppressLineNumbers w:val="0"/>
              <w:ind w:firstLine="1285" w:firstLineChars="400"/>
              <w:jc w:val="both"/>
              <w:textAlignment w:val="center"/>
              <w:rPr>
                <w:rFonts w:hint="default" w:ascii="黑体" w:hAnsi="宋体" w:eastAsia="黑体" w:cs="黑体"/>
                <w:b/>
                <w:i w:val="0"/>
                <w:color w:val="000000"/>
                <w:sz w:val="32"/>
                <w:szCs w:val="32"/>
                <w:u w:val="none"/>
                <w:lang w:val="en-US"/>
              </w:rPr>
            </w:pPr>
            <w:r>
              <w:rPr>
                <w:rFonts w:hint="eastAsia" w:ascii="黑体" w:hAnsi="宋体" w:eastAsia="黑体" w:cs="黑体"/>
                <w:b/>
                <w:i w:val="0"/>
                <w:color w:val="000000"/>
                <w:kern w:val="0"/>
                <w:sz w:val="32"/>
                <w:szCs w:val="32"/>
                <w:u w:val="none"/>
                <w:lang w:val="en-US" w:eastAsia="zh-CN" w:bidi="ar"/>
              </w:rPr>
              <w:t>四、财政拨款收支预算总表（公开表2）</w:t>
            </w: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840" w:firstLineChars="400"/>
              <w:jc w:val="both"/>
              <w:textAlignment w:val="center"/>
              <w:rPr>
                <w:rFonts w:hint="eastAsia" w:ascii="黑体" w:hAnsi="宋体" w:eastAsia="黑体" w:cs="黑体"/>
                <w:b/>
                <w:i w:val="0"/>
                <w:color w:val="000000"/>
                <w:kern w:val="0"/>
                <w:sz w:val="32"/>
                <w:szCs w:val="32"/>
                <w:u w:val="none"/>
                <w:lang w:val="en-US" w:eastAsia="zh-CN" w:bidi="ar"/>
              </w:rPr>
            </w:pPr>
            <w:r>
              <w:drawing>
                <wp:inline distT="0" distB="0" distL="114300" distR="114300">
                  <wp:extent cx="4871085" cy="5290820"/>
                  <wp:effectExtent l="0" t="0" r="571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871085" cy="529082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124" w:firstLineChars="400"/>
              <w:jc w:val="both"/>
              <w:textAlignment w:val="center"/>
              <w:rPr>
                <w:rFonts w:hint="eastAsia" w:ascii="黑体" w:hAnsi="宋体" w:eastAsia="黑体" w:cs="黑体"/>
                <w:b/>
                <w:i w:val="0"/>
                <w:color w:val="000000"/>
                <w:kern w:val="0"/>
                <w:sz w:val="32"/>
                <w:szCs w:val="32"/>
                <w:u w:val="none"/>
                <w:lang w:val="en-US" w:eastAsia="zh-CN" w:bidi="ar"/>
              </w:rPr>
            </w:pPr>
            <w:r>
              <w:rPr>
                <w:rFonts w:hint="eastAsia" w:ascii="宋体" w:hAnsi="宋体" w:eastAsia="宋体" w:cs="宋体"/>
                <w:b/>
                <w:i w:val="0"/>
                <w:color w:val="000000"/>
                <w:kern w:val="0"/>
                <w:sz w:val="28"/>
                <w:szCs w:val="28"/>
                <w:u w:val="none"/>
                <w:lang w:val="en-US" w:eastAsia="zh-CN" w:bidi="ar"/>
              </w:rPr>
              <w:t>五、财政拨款支出预算表（部门经济分类科目）（公开表2-1）</w:t>
            </w: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840" w:firstLineChars="400"/>
              <w:jc w:val="both"/>
              <w:textAlignment w:val="center"/>
              <w:rPr>
                <w:rFonts w:hint="eastAsia" w:ascii="黑体" w:hAnsi="宋体" w:eastAsia="黑体" w:cs="黑体"/>
                <w:b/>
                <w:i w:val="0"/>
                <w:color w:val="000000"/>
                <w:kern w:val="0"/>
                <w:sz w:val="32"/>
                <w:szCs w:val="32"/>
                <w:u w:val="none"/>
                <w:lang w:val="en-US" w:eastAsia="zh-CN" w:bidi="ar"/>
              </w:rPr>
            </w:pPr>
            <w:r>
              <w:drawing>
                <wp:inline distT="0" distB="0" distL="114300" distR="114300">
                  <wp:extent cx="4738370" cy="4901565"/>
                  <wp:effectExtent l="0" t="0" r="508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738370" cy="490156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tc>
      </w:tr>
      <w:tr>
        <w:tblPrEx>
          <w:tblCellMar>
            <w:top w:w="0" w:type="dxa"/>
            <w:left w:w="0" w:type="dxa"/>
            <w:bottom w:w="0" w:type="dxa"/>
            <w:right w:w="0" w:type="dxa"/>
          </w:tblCellMar>
        </w:tblPrEx>
        <w:trPr>
          <w:trHeight w:val="456" w:hRule="atLeast"/>
        </w:trPr>
        <w:tc>
          <w:tcPr>
            <w:tcW w:w="18660" w:type="dxa"/>
            <w:gridSpan w:val="2"/>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ind w:firstLine="1285" w:firstLineChars="400"/>
              <w:jc w:val="both"/>
              <w:textAlignment w:val="center"/>
              <w:rPr>
                <w:rFonts w:hint="eastAsia" w:ascii="黑体" w:hAnsi="宋体" w:eastAsia="黑体" w:cs="黑体"/>
                <w:b/>
                <w:i w:val="0"/>
                <w:color w:val="000000"/>
                <w:kern w:val="0"/>
                <w:sz w:val="32"/>
                <w:szCs w:val="32"/>
                <w:u w:val="none"/>
                <w:lang w:val="en-US" w:eastAsia="zh-CN" w:bidi="ar"/>
              </w:rPr>
            </w:pPr>
          </w:p>
        </w:tc>
      </w:tr>
    </w:tbl>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numPr>
          <w:ilvl w:val="0"/>
          <w:numId w:val="0"/>
        </w:numPr>
        <w:spacing w:line="600" w:lineRule="exact"/>
        <w:ind w:firstLine="843" w:firstLineChars="300"/>
        <w:rPr>
          <w:rFonts w:hint="eastAsia" w:ascii="仿宋" w:hAnsi="仿宋" w:eastAsia="仿宋" w:cs="Times New Roman"/>
          <w:sz w:val="32"/>
          <w:szCs w:val="32"/>
          <w:lang w:val="en-US" w:eastAsia="zh-CN"/>
        </w:rPr>
      </w:pPr>
      <w:r>
        <w:rPr>
          <w:rFonts w:hint="eastAsia" w:ascii="宋体" w:hAnsi="宋体" w:eastAsia="宋体" w:cs="宋体"/>
          <w:b/>
          <w:i w:val="0"/>
          <w:color w:val="000000"/>
          <w:kern w:val="0"/>
          <w:sz w:val="28"/>
          <w:szCs w:val="28"/>
          <w:u w:val="none"/>
          <w:lang w:val="en-US" w:eastAsia="zh-CN" w:bidi="ar"/>
        </w:rPr>
        <w:t>六、一般公共预算支出预算表（公开表3）</w:t>
      </w:r>
    </w:p>
    <w:p>
      <w:pPr>
        <w:numPr>
          <w:ilvl w:val="0"/>
          <w:numId w:val="0"/>
        </w:numPr>
        <w:spacing w:line="600" w:lineRule="exact"/>
        <w:rPr>
          <w:rFonts w:hint="eastAsia" w:ascii="仿宋" w:hAnsi="仿宋" w:eastAsia="仿宋" w:cs="Times New Roman"/>
          <w:sz w:val="32"/>
          <w:szCs w:val="32"/>
          <w:lang w:val="en-US" w:eastAsia="zh-CN"/>
        </w:rPr>
      </w:pPr>
    </w:p>
    <w:tbl>
      <w:tblPr>
        <w:tblStyle w:val="6"/>
        <w:tblpPr w:leftFromText="180" w:rightFromText="180" w:vertAnchor="text" w:horzAnchor="page" w:tblpX="1926" w:tblpY="64"/>
        <w:tblOverlap w:val="never"/>
        <w:tblW w:w="7600" w:type="dxa"/>
        <w:tblInd w:w="0" w:type="dxa"/>
        <w:shd w:val="clear" w:color="auto" w:fill="auto"/>
        <w:tblLayout w:type="autofit"/>
        <w:tblCellMar>
          <w:top w:w="0" w:type="dxa"/>
          <w:left w:w="0" w:type="dxa"/>
          <w:bottom w:w="0" w:type="dxa"/>
          <w:right w:w="0" w:type="dxa"/>
        </w:tblCellMar>
      </w:tblPr>
      <w:tblGrid>
        <w:gridCol w:w="401"/>
        <w:gridCol w:w="279"/>
        <w:gridCol w:w="279"/>
        <w:gridCol w:w="959"/>
        <w:gridCol w:w="2804"/>
        <w:gridCol w:w="614"/>
        <w:gridCol w:w="614"/>
        <w:gridCol w:w="1650"/>
      </w:tblGrid>
      <w:tr>
        <w:tblPrEx>
          <w:shd w:val="clear" w:color="auto" w:fill="auto"/>
          <w:tblCellMar>
            <w:top w:w="0" w:type="dxa"/>
            <w:left w:w="0" w:type="dxa"/>
            <w:bottom w:w="0" w:type="dxa"/>
            <w:right w:w="0" w:type="dxa"/>
          </w:tblCellMar>
        </w:tblPrEx>
        <w:trPr>
          <w:trHeight w:val="661" w:hRule="atLeast"/>
        </w:trPr>
        <w:tc>
          <w:tcPr>
            <w:tcW w:w="760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一般公共预算支出预算表</w:t>
            </w:r>
          </w:p>
        </w:tc>
      </w:tr>
      <w:tr>
        <w:tblPrEx>
          <w:shd w:val="clear" w:color="auto" w:fill="auto"/>
          <w:tblCellMar>
            <w:top w:w="0" w:type="dxa"/>
            <w:left w:w="0" w:type="dxa"/>
            <w:bottom w:w="0" w:type="dxa"/>
            <w:right w:w="0" w:type="dxa"/>
          </w:tblCellMar>
        </w:tblPrEx>
        <w:trPr>
          <w:trHeight w:val="424" w:hRule="atLeast"/>
        </w:trPr>
        <w:tc>
          <w:tcPr>
            <w:tcW w:w="4722" w:type="dxa"/>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614"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1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0"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522" w:hRule="atLeast"/>
        </w:trPr>
        <w:tc>
          <w:tcPr>
            <w:tcW w:w="4722" w:type="dxa"/>
            <w:gridSpan w:val="5"/>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61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1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当年财政拨款安排</w:t>
            </w:r>
          </w:p>
        </w:tc>
        <w:tc>
          <w:tcPr>
            <w:tcW w:w="1650"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上年结转安排</w:t>
            </w:r>
          </w:p>
        </w:tc>
      </w:tr>
      <w:tr>
        <w:tblPrEx>
          <w:shd w:val="clear" w:color="auto" w:fill="auto"/>
          <w:tblCellMar>
            <w:top w:w="0" w:type="dxa"/>
            <w:left w:w="0" w:type="dxa"/>
            <w:bottom w:w="0" w:type="dxa"/>
            <w:right w:w="0" w:type="dxa"/>
          </w:tblCellMar>
        </w:tblPrEx>
        <w:trPr>
          <w:trHeight w:val="522" w:hRule="atLeast"/>
        </w:trPr>
        <w:tc>
          <w:tcPr>
            <w:tcW w:w="959"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959"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280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61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1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50"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522" w:hRule="atLeast"/>
        </w:trPr>
        <w:tc>
          <w:tcPr>
            <w:tcW w:w="401"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279"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279"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959"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0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1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1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50"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59"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0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95.54</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95.54</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中共峨边彝族自治县委统战部本级</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1650"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行政运行</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74.84</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74.84</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机关事业单位基本养老保险缴费支出</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机关事业单位职业年金缴费支出</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其他社会保障和就业支出</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行政单位医疗</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401"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27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959"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280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6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6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165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tbl>
      <w:tblPr>
        <w:tblStyle w:val="6"/>
        <w:tblW w:w="19319" w:type="dxa"/>
        <w:tblInd w:w="0" w:type="dxa"/>
        <w:shd w:val="clear" w:color="auto" w:fill="auto"/>
        <w:tblLayout w:type="fixed"/>
        <w:tblCellMar>
          <w:top w:w="0" w:type="dxa"/>
          <w:left w:w="0" w:type="dxa"/>
          <w:bottom w:w="0" w:type="dxa"/>
          <w:right w:w="0" w:type="dxa"/>
        </w:tblCellMar>
      </w:tblPr>
      <w:tblGrid>
        <w:gridCol w:w="19319"/>
      </w:tblGrid>
      <w:tr>
        <w:tblPrEx>
          <w:tblCellMar>
            <w:top w:w="0" w:type="dxa"/>
            <w:left w:w="0" w:type="dxa"/>
            <w:bottom w:w="0" w:type="dxa"/>
            <w:right w:w="0" w:type="dxa"/>
          </w:tblCellMar>
        </w:tblPrEx>
        <w:trPr>
          <w:trHeight w:val="456" w:hRule="atLeast"/>
        </w:trPr>
        <w:tc>
          <w:tcPr>
            <w:tcW w:w="19319" w:type="dxa"/>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b/>
                <w:i w:val="0"/>
                <w:color w:val="000000"/>
                <w:sz w:val="32"/>
                <w:szCs w:val="32"/>
                <w:u w:val="none"/>
                <w:lang w:val="en-US"/>
              </w:rPr>
            </w:pP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7200" w:type="dxa"/>
        <w:tblInd w:w="0" w:type="dxa"/>
        <w:shd w:val="clear" w:color="auto" w:fill="auto"/>
        <w:tblLayout w:type="autofit"/>
        <w:tblCellMar>
          <w:top w:w="0" w:type="dxa"/>
          <w:left w:w="0" w:type="dxa"/>
          <w:bottom w:w="0" w:type="dxa"/>
          <w:right w:w="0" w:type="dxa"/>
        </w:tblCellMar>
      </w:tblPr>
      <w:tblGrid>
        <w:gridCol w:w="539"/>
        <w:gridCol w:w="375"/>
        <w:gridCol w:w="914"/>
        <w:gridCol w:w="2890"/>
        <w:gridCol w:w="585"/>
        <w:gridCol w:w="914"/>
        <w:gridCol w:w="1570"/>
      </w:tblGrid>
      <w:tr>
        <w:tblPrEx>
          <w:shd w:val="clear" w:color="auto" w:fill="auto"/>
          <w:tblCellMar>
            <w:top w:w="0" w:type="dxa"/>
            <w:left w:w="0" w:type="dxa"/>
            <w:bottom w:w="0" w:type="dxa"/>
            <w:right w:w="0" w:type="dxa"/>
          </w:tblCellMar>
        </w:tblPrEx>
        <w:trPr>
          <w:trHeight w:val="456" w:hRule="atLeast"/>
        </w:trPr>
        <w:tc>
          <w:tcPr>
            <w:tcW w:w="7206" w:type="dxa"/>
            <w:gridSpan w:val="7"/>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24"/>
                <w:szCs w:val="24"/>
                <w:u w:val="none"/>
                <w:lang w:val="en-US" w:eastAsia="zh-CN" w:bidi="ar"/>
              </w:rPr>
              <w:t>七、一般公共预算基本支出预算表（公开表3-1）</w:t>
            </w:r>
          </w:p>
        </w:tc>
      </w:tr>
      <w:tr>
        <w:tblPrEx>
          <w:shd w:val="clear" w:color="auto" w:fill="auto"/>
          <w:tblCellMar>
            <w:top w:w="0" w:type="dxa"/>
            <w:left w:w="0" w:type="dxa"/>
            <w:bottom w:w="0" w:type="dxa"/>
            <w:right w:w="0"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部门：统战部</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488"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r>
      <w:tr>
        <w:tblPrEx>
          <w:shd w:val="clear" w:color="auto" w:fill="auto"/>
          <w:tblCellMar>
            <w:top w:w="0" w:type="dxa"/>
            <w:left w:w="0" w:type="dxa"/>
            <w:bottom w:w="0" w:type="dxa"/>
            <w:right w:w="0" w:type="dxa"/>
          </w:tblCellMar>
        </w:tblPrEx>
        <w:trPr>
          <w:trHeight w:val="488"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488" w:hRule="atLeast"/>
        </w:trPr>
        <w:tc>
          <w:tcPr>
            <w:tcW w:w="0" w:type="auto"/>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26.92</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中共峨边彝族自治县委统战部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26.92</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伙食补助费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24.82</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印刷费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维修（护）费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公务接待费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w:t>
            </w:r>
          </w:p>
        </w:tc>
      </w:tr>
      <w:tr>
        <w:tblPrEx>
          <w:shd w:val="clear" w:color="auto" w:fill="auto"/>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r>
      <w:tr>
        <w:tblPrEx>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r>
      <w:tr>
        <w:tblPrEx>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公务交通补贴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r>
      <w:tr>
        <w:tblPrEx>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资本性支出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r>
      <w:tr>
        <w:tblPrEx>
          <w:tblCellMar>
            <w:top w:w="0" w:type="dxa"/>
            <w:left w:w="0" w:type="dxa"/>
            <w:bottom w:w="0" w:type="dxa"/>
            <w:right w:w="0" w:type="dxa"/>
          </w:tblCellMar>
        </w:tblPrEx>
        <w:trPr>
          <w:trHeight w:val="456"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办公设备购置</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7791" w:type="dxa"/>
        <w:tblInd w:w="0" w:type="dxa"/>
        <w:shd w:val="clear" w:color="auto" w:fill="auto"/>
        <w:tblLayout w:type="autofit"/>
        <w:tblCellMar>
          <w:top w:w="0" w:type="dxa"/>
          <w:left w:w="0" w:type="dxa"/>
          <w:bottom w:w="0" w:type="dxa"/>
          <w:right w:w="0" w:type="dxa"/>
        </w:tblCellMar>
      </w:tblPr>
      <w:tblGrid>
        <w:gridCol w:w="305"/>
        <w:gridCol w:w="305"/>
        <w:gridCol w:w="304"/>
        <w:gridCol w:w="583"/>
        <w:gridCol w:w="2176"/>
        <w:gridCol w:w="4120"/>
      </w:tblGrid>
      <w:tr>
        <w:tblPrEx>
          <w:shd w:val="clear" w:color="auto" w:fill="auto"/>
          <w:tblCellMar>
            <w:top w:w="0" w:type="dxa"/>
            <w:left w:w="0" w:type="dxa"/>
            <w:bottom w:w="0" w:type="dxa"/>
            <w:right w:w="0" w:type="dxa"/>
          </w:tblCellMar>
        </w:tblPrEx>
        <w:trPr>
          <w:trHeight w:val="456" w:hRule="atLeast"/>
        </w:trPr>
        <w:tc>
          <w:tcPr>
            <w:tcW w:w="7791" w:type="dxa"/>
            <w:gridSpan w:val="6"/>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八、一般公共预算项目支出预算表（公开表3-2）</w:t>
            </w:r>
          </w:p>
        </w:tc>
      </w:tr>
      <w:tr>
        <w:tblPrEx>
          <w:shd w:val="clear" w:color="auto" w:fill="auto"/>
          <w:tblCellMar>
            <w:top w:w="0" w:type="dxa"/>
            <w:left w:w="0" w:type="dxa"/>
            <w:bottom w:w="0" w:type="dxa"/>
            <w:right w:w="0"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3402"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48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711"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3402"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488"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711"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02"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340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0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340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340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tbl>
      <w:tblPr>
        <w:tblStyle w:val="6"/>
        <w:tblW w:w="8475" w:type="dxa"/>
        <w:tblInd w:w="0" w:type="dxa"/>
        <w:shd w:val="clear" w:color="auto" w:fill="auto"/>
        <w:tblLayout w:type="fixed"/>
        <w:tblCellMar>
          <w:top w:w="0" w:type="dxa"/>
          <w:left w:w="0" w:type="dxa"/>
          <w:bottom w:w="0" w:type="dxa"/>
          <w:right w:w="0" w:type="dxa"/>
        </w:tblCellMar>
      </w:tblPr>
      <w:tblGrid>
        <w:gridCol w:w="914"/>
        <w:gridCol w:w="2190"/>
        <w:gridCol w:w="474"/>
        <w:gridCol w:w="693"/>
        <w:gridCol w:w="472"/>
        <w:gridCol w:w="1577"/>
        <w:gridCol w:w="1577"/>
        <w:gridCol w:w="578"/>
      </w:tblGrid>
      <w:tr>
        <w:tblPrEx>
          <w:tblCellMar>
            <w:top w:w="0" w:type="dxa"/>
            <w:left w:w="0" w:type="dxa"/>
            <w:bottom w:w="0" w:type="dxa"/>
            <w:right w:w="0" w:type="dxa"/>
          </w:tblCellMar>
        </w:tblPrEx>
        <w:trPr>
          <w:trHeight w:val="631" w:hRule="atLeast"/>
        </w:trPr>
        <w:tc>
          <w:tcPr>
            <w:tcW w:w="8475"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28"/>
                <w:szCs w:val="28"/>
                <w:u w:val="none"/>
                <w:lang w:val="en-US" w:eastAsia="zh-CN" w:bidi="ar"/>
              </w:rPr>
              <w:t>九、一般公共预算“三公”经费支出预算表（公开表3-3）</w:t>
            </w:r>
          </w:p>
        </w:tc>
      </w:tr>
      <w:tr>
        <w:tblPrEx>
          <w:tblCellMar>
            <w:top w:w="0" w:type="dxa"/>
            <w:left w:w="0" w:type="dxa"/>
            <w:bottom w:w="0" w:type="dxa"/>
            <w:right w:w="0" w:type="dxa"/>
          </w:tblCellMar>
        </w:tblPrEx>
        <w:trPr>
          <w:trHeight w:val="499" w:hRule="atLeast"/>
        </w:trPr>
        <w:tc>
          <w:tcPr>
            <w:tcW w:w="91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2190"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5371" w:type="dxa"/>
            <w:gridSpan w:val="6"/>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tblCellMar>
            <w:top w:w="0" w:type="dxa"/>
            <w:left w:w="0" w:type="dxa"/>
            <w:bottom w:w="0" w:type="dxa"/>
            <w:right w:w="0" w:type="dxa"/>
          </w:tblCellMar>
        </w:tblPrEx>
        <w:trPr>
          <w:trHeight w:val="499" w:hRule="atLeast"/>
        </w:trPr>
        <w:tc>
          <w:tcPr>
            <w:tcW w:w="91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90"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3"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3626"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578"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499" w:hRule="atLeast"/>
        </w:trPr>
        <w:tc>
          <w:tcPr>
            <w:tcW w:w="91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90"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693"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2"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577"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1577" w:type="dxa"/>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578"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68" w:hRule="atLeast"/>
        </w:trPr>
        <w:tc>
          <w:tcPr>
            <w:tcW w:w="91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90"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2.50</w:t>
            </w:r>
          </w:p>
        </w:tc>
        <w:tc>
          <w:tcPr>
            <w:tcW w:w="693"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7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78"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2.50</w:t>
            </w:r>
          </w:p>
        </w:tc>
      </w:tr>
      <w:tr>
        <w:tblPrEx>
          <w:tblCellMar>
            <w:top w:w="0" w:type="dxa"/>
            <w:left w:w="0" w:type="dxa"/>
            <w:bottom w:w="0" w:type="dxa"/>
            <w:right w:w="0" w:type="dxa"/>
          </w:tblCellMar>
        </w:tblPrEx>
        <w:trPr>
          <w:trHeight w:val="468" w:hRule="atLeast"/>
        </w:trPr>
        <w:tc>
          <w:tcPr>
            <w:tcW w:w="9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9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693"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tblCellMar>
            <w:top w:w="0" w:type="dxa"/>
            <w:left w:w="0" w:type="dxa"/>
            <w:bottom w:w="0" w:type="dxa"/>
            <w:right w:w="0" w:type="dxa"/>
          </w:tblCellMar>
        </w:tblPrEx>
        <w:trPr>
          <w:trHeight w:val="477" w:hRule="atLeast"/>
        </w:trPr>
        <w:tc>
          <w:tcPr>
            <w:tcW w:w="91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154001</w:t>
            </w:r>
          </w:p>
        </w:tc>
        <w:tc>
          <w:tcPr>
            <w:tcW w:w="2190"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中共峨边彝族自治县委统战部</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69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7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7"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tbl>
      <w:tblPr>
        <w:tblStyle w:val="6"/>
        <w:tblW w:w="8160" w:type="dxa"/>
        <w:tblInd w:w="0" w:type="dxa"/>
        <w:shd w:val="clear" w:color="auto" w:fill="auto"/>
        <w:tblLayout w:type="autofit"/>
        <w:tblCellMar>
          <w:top w:w="0" w:type="dxa"/>
          <w:left w:w="0" w:type="dxa"/>
          <w:bottom w:w="0" w:type="dxa"/>
          <w:right w:w="0" w:type="dxa"/>
        </w:tblCellMar>
      </w:tblPr>
      <w:tblGrid>
        <w:gridCol w:w="319"/>
        <w:gridCol w:w="319"/>
        <w:gridCol w:w="319"/>
        <w:gridCol w:w="1162"/>
        <w:gridCol w:w="2284"/>
        <w:gridCol w:w="600"/>
        <w:gridCol w:w="1162"/>
        <w:gridCol w:w="1995"/>
      </w:tblGrid>
      <w:tr>
        <w:tblPrEx>
          <w:shd w:val="clear" w:color="auto" w:fill="auto"/>
          <w:tblCellMar>
            <w:top w:w="0" w:type="dxa"/>
            <w:left w:w="0" w:type="dxa"/>
            <w:bottom w:w="0" w:type="dxa"/>
            <w:right w:w="0" w:type="dxa"/>
          </w:tblCellMar>
        </w:tblPrEx>
        <w:trPr>
          <w:trHeight w:val="619" w:hRule="atLeast"/>
        </w:trPr>
        <w:tc>
          <w:tcPr>
            <w:tcW w:w="816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十、政府性基金预算支出预算表（公开表4）</w:t>
            </w:r>
            <w:r>
              <w:rPr>
                <w:rFonts w:hint="eastAsia" w:ascii="宋体" w:hAnsi="宋体" w:eastAsia="宋体" w:cs="宋体"/>
                <w:b/>
                <w:i w:val="0"/>
                <w:color w:val="000000"/>
                <w:kern w:val="0"/>
                <w:sz w:val="32"/>
                <w:szCs w:val="32"/>
                <w:u w:val="none"/>
                <w:lang w:val="en-US" w:eastAsia="zh-CN" w:bidi="ar"/>
              </w:rPr>
              <w:t xml:space="preserve"> </w:t>
            </w:r>
          </w:p>
        </w:tc>
      </w:tr>
      <w:tr>
        <w:tblPrEx>
          <w:shd w:val="clear" w:color="auto" w:fill="auto"/>
          <w:tblCellMar>
            <w:top w:w="0" w:type="dxa"/>
            <w:left w:w="0" w:type="dxa"/>
            <w:bottom w:w="0" w:type="dxa"/>
            <w:right w:w="0" w:type="dxa"/>
          </w:tblCellMar>
        </w:tblPrEx>
        <w:trPr>
          <w:trHeight w:val="397" w:hRule="atLeast"/>
        </w:trPr>
        <w:tc>
          <w:tcPr>
            <w:tcW w:w="0" w:type="auto"/>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90"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本年政府性基金预算支出</w:t>
            </w:r>
          </w:p>
        </w:tc>
      </w:tr>
      <w:tr>
        <w:tblPrEx>
          <w:tblCellMar>
            <w:top w:w="0" w:type="dxa"/>
            <w:left w:w="0" w:type="dxa"/>
            <w:bottom w:w="0" w:type="dxa"/>
            <w:right w:w="0" w:type="dxa"/>
          </w:tblCellMar>
        </w:tblPrEx>
        <w:trPr>
          <w:trHeight w:val="490"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90"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9"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9"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9"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9"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8595" w:type="dxa"/>
        <w:tblInd w:w="0" w:type="dxa"/>
        <w:shd w:val="clear" w:color="auto" w:fill="auto"/>
        <w:tblLayout w:type="autofit"/>
        <w:tblCellMar>
          <w:top w:w="0" w:type="dxa"/>
          <w:left w:w="0" w:type="dxa"/>
          <w:bottom w:w="0" w:type="dxa"/>
          <w:right w:w="0" w:type="dxa"/>
        </w:tblCellMar>
      </w:tblPr>
      <w:tblGrid>
        <w:gridCol w:w="914"/>
        <w:gridCol w:w="1797"/>
        <w:gridCol w:w="472"/>
        <w:gridCol w:w="1065"/>
        <w:gridCol w:w="824"/>
        <w:gridCol w:w="949"/>
        <w:gridCol w:w="1004"/>
        <w:gridCol w:w="1570"/>
      </w:tblGrid>
      <w:tr>
        <w:tblPrEx>
          <w:shd w:val="clear" w:color="auto" w:fill="auto"/>
          <w:tblCellMar>
            <w:top w:w="0" w:type="dxa"/>
            <w:left w:w="0" w:type="dxa"/>
            <w:bottom w:w="0" w:type="dxa"/>
            <w:right w:w="0" w:type="dxa"/>
          </w:tblCellMar>
        </w:tblPrEx>
        <w:trPr>
          <w:trHeight w:val="456" w:hRule="atLeast"/>
        </w:trPr>
        <w:tc>
          <w:tcPr>
            <w:tcW w:w="8595"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ind w:firstLine="482" w:firstLineChars="200"/>
              <w:jc w:val="both"/>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十一、政府性基金预算“三公”经费支出预算表（公开表4-1）</w:t>
            </w:r>
          </w:p>
        </w:tc>
      </w:tr>
      <w:tr>
        <w:tblPrEx>
          <w:shd w:val="clear" w:color="auto" w:fill="auto"/>
          <w:tblCellMar>
            <w:top w:w="0" w:type="dxa"/>
            <w:left w:w="0" w:type="dxa"/>
            <w:bottom w:w="0" w:type="dxa"/>
            <w:right w:w="0"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488" w:hRule="atLeast"/>
        </w:trPr>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gridSpan w:val="6"/>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当年财政拨款预算安排</w:t>
            </w:r>
          </w:p>
        </w:tc>
      </w:tr>
      <w:tr>
        <w:tblPrEx>
          <w:shd w:val="clear" w:color="auto" w:fill="auto"/>
          <w:tblCellMar>
            <w:top w:w="0" w:type="dxa"/>
            <w:left w:w="0" w:type="dxa"/>
            <w:bottom w:w="0" w:type="dxa"/>
            <w:right w:w="0" w:type="dxa"/>
          </w:tblCellMar>
        </w:tblPrEx>
        <w:trPr>
          <w:trHeight w:val="488"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65"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3105" w:type="dxa"/>
            <w:gridSpan w:val="3"/>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公务用车购置及运行费</w:t>
            </w:r>
          </w:p>
        </w:tc>
        <w:tc>
          <w:tcPr>
            <w:tcW w:w="840"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1540" w:hRule="atLeast"/>
        </w:trPr>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65"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40"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080"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1185"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公务用车运行费</w:t>
            </w:r>
          </w:p>
        </w:tc>
        <w:tc>
          <w:tcPr>
            <w:tcW w:w="840"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8280" w:type="dxa"/>
        <w:tblInd w:w="0" w:type="dxa"/>
        <w:shd w:val="clear" w:color="auto" w:fill="auto"/>
        <w:tblLayout w:type="autofit"/>
        <w:tblCellMar>
          <w:top w:w="0" w:type="dxa"/>
          <w:left w:w="0" w:type="dxa"/>
          <w:bottom w:w="0" w:type="dxa"/>
          <w:right w:w="0" w:type="dxa"/>
        </w:tblCellMar>
      </w:tblPr>
      <w:tblGrid>
        <w:gridCol w:w="324"/>
        <w:gridCol w:w="324"/>
        <w:gridCol w:w="324"/>
        <w:gridCol w:w="1179"/>
        <w:gridCol w:w="2318"/>
        <w:gridCol w:w="609"/>
        <w:gridCol w:w="1179"/>
        <w:gridCol w:w="2023"/>
      </w:tblGrid>
      <w:tr>
        <w:tblPrEx>
          <w:tblCellMar>
            <w:top w:w="0" w:type="dxa"/>
            <w:left w:w="0" w:type="dxa"/>
            <w:bottom w:w="0" w:type="dxa"/>
            <w:right w:w="0" w:type="dxa"/>
          </w:tblCellMar>
        </w:tblPrEx>
        <w:trPr>
          <w:trHeight w:val="456" w:hRule="atLeast"/>
        </w:trPr>
        <w:tc>
          <w:tcPr>
            <w:tcW w:w="8280" w:type="dxa"/>
            <w:gridSpan w:val="8"/>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24"/>
                <w:szCs w:val="24"/>
                <w:u w:val="none"/>
                <w:lang w:val="en-US" w:eastAsia="zh-CN" w:bidi="ar"/>
              </w:rPr>
              <w:t>十二、国有资本经营预算支出预算表（公开表5）</w:t>
            </w:r>
          </w:p>
        </w:tc>
      </w:tr>
      <w:tr>
        <w:tblPrEx>
          <w:tblCellMar>
            <w:top w:w="0" w:type="dxa"/>
            <w:left w:w="0" w:type="dxa"/>
            <w:bottom w:w="0" w:type="dxa"/>
            <w:right w:w="0" w:type="dxa"/>
          </w:tblCellMar>
        </w:tblPrEx>
        <w:trPr>
          <w:trHeight w:val="391" w:hRule="atLeast"/>
        </w:trPr>
        <w:tc>
          <w:tcPr>
            <w:tcW w:w="0" w:type="auto"/>
            <w:gridSpan w:val="5"/>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CellMar>
            <w:top w:w="0" w:type="dxa"/>
            <w:left w:w="0" w:type="dxa"/>
            <w:bottom w:w="0" w:type="dxa"/>
            <w:right w:w="0" w:type="dxa"/>
          </w:tblCellMar>
        </w:tblPrEx>
        <w:trPr>
          <w:trHeight w:val="488"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本年国有资本经营预算支出</w:t>
            </w:r>
          </w:p>
        </w:tc>
      </w:tr>
      <w:tr>
        <w:tblPrEx>
          <w:tblCellMar>
            <w:top w:w="0" w:type="dxa"/>
            <w:left w:w="0" w:type="dxa"/>
            <w:bottom w:w="0" w:type="dxa"/>
            <w:right w:w="0" w:type="dxa"/>
          </w:tblCellMar>
        </w:tblPrEx>
        <w:trPr>
          <w:trHeight w:val="48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88"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6"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pPr w:leftFromText="180" w:rightFromText="180" w:vertAnchor="text" w:horzAnchor="page" w:tblpX="1791" w:tblpY="708"/>
        <w:tblOverlap w:val="never"/>
        <w:tblW w:w="8336" w:type="dxa"/>
        <w:tblInd w:w="0" w:type="dxa"/>
        <w:shd w:val="clear" w:color="auto" w:fill="auto"/>
        <w:tblLayout w:type="autofit"/>
        <w:tblCellMar>
          <w:top w:w="0" w:type="dxa"/>
          <w:left w:w="0" w:type="dxa"/>
          <w:bottom w:w="0" w:type="dxa"/>
          <w:right w:w="0" w:type="dxa"/>
        </w:tblCellMar>
      </w:tblPr>
      <w:tblGrid>
        <w:gridCol w:w="2693"/>
        <w:gridCol w:w="742"/>
        <w:gridCol w:w="742"/>
        <w:gridCol w:w="992"/>
        <w:gridCol w:w="635"/>
        <w:gridCol w:w="551"/>
        <w:gridCol w:w="1985"/>
      </w:tblGrid>
      <w:tr>
        <w:tblPrEx>
          <w:shd w:val="clear" w:color="auto" w:fill="auto"/>
          <w:tblCellMar>
            <w:top w:w="0" w:type="dxa"/>
            <w:left w:w="0" w:type="dxa"/>
            <w:bottom w:w="0" w:type="dxa"/>
            <w:right w:w="0" w:type="dxa"/>
          </w:tblCellMar>
        </w:tblPrEx>
        <w:trPr>
          <w:trHeight w:val="2943" w:hRule="atLeast"/>
        </w:trPr>
        <w:tc>
          <w:tcPr>
            <w:tcW w:w="8336" w:type="dxa"/>
            <w:gridSpan w:val="7"/>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suppressLineNumbers w:val="0"/>
              <w:jc w:val="center"/>
              <w:textAlignment w:val="center"/>
              <w:rPr>
                <w:rFonts w:hint="eastAsia"/>
                <w:lang w:val="en-US" w:eastAsia="zh-CN"/>
              </w:rPr>
            </w:pPr>
          </w:p>
          <w:p>
            <w:pPr>
              <w:keepNext w:val="0"/>
              <w:keepLines w:val="0"/>
              <w:widowControl/>
              <w:numPr>
                <w:ilvl w:val="0"/>
                <w:numId w:val="3"/>
              </w:numPr>
              <w:suppressLineNumbers w:val="0"/>
              <w:jc w:val="center"/>
              <w:textAlignment w:val="center"/>
              <w:rPr>
                <w:rFonts w:hint="eastAsia"/>
                <w:lang w:val="en-US" w:eastAsia="zh-CN"/>
              </w:rPr>
            </w:pPr>
            <w:r>
              <w:rPr>
                <w:rFonts w:hint="eastAsia"/>
                <w:lang w:val="en-US" w:eastAsia="zh-CN"/>
              </w:rPr>
              <w:t>省级部门预算项目绩效目标申报表（公开表6）</w:t>
            </w:r>
          </w:p>
          <w:p>
            <w:pPr>
              <w:pStyle w:val="2"/>
              <w:numPr>
                <w:ilvl w:val="0"/>
                <w:numId w:val="0"/>
              </w:numPr>
              <w:jc w:val="both"/>
              <w:rPr>
                <w:rFonts w:hint="eastAsia"/>
              </w:rPr>
            </w:pPr>
            <w:r>
              <w:drawing>
                <wp:inline distT="0" distB="0" distL="114300" distR="114300">
                  <wp:extent cx="5269230" cy="41471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69230" cy="41471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401" w:hRule="atLeast"/>
        </w:trPr>
        <w:tc>
          <w:tcPr>
            <w:tcW w:w="2737"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8"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8"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5"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8"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1"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9"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8340" w:type="dxa"/>
        <w:tblInd w:w="0" w:type="dxa"/>
        <w:shd w:val="clear" w:color="auto" w:fill="auto"/>
        <w:tblLayout w:type="autofit"/>
        <w:tblCellMar>
          <w:top w:w="0" w:type="dxa"/>
          <w:left w:w="0" w:type="dxa"/>
          <w:bottom w:w="0" w:type="dxa"/>
          <w:right w:w="0" w:type="dxa"/>
        </w:tblCellMar>
      </w:tblPr>
      <w:tblGrid>
        <w:gridCol w:w="655"/>
        <w:gridCol w:w="835"/>
        <w:gridCol w:w="1265"/>
        <w:gridCol w:w="2865"/>
        <w:gridCol w:w="1654"/>
        <w:gridCol w:w="1066"/>
      </w:tblGrid>
      <w:tr>
        <w:tblPrEx>
          <w:shd w:val="clear" w:color="auto" w:fill="auto"/>
          <w:tblCellMar>
            <w:top w:w="0" w:type="dxa"/>
            <w:left w:w="0" w:type="dxa"/>
            <w:bottom w:w="0" w:type="dxa"/>
            <w:right w:w="0" w:type="dxa"/>
          </w:tblCellMar>
        </w:tblPrEx>
        <w:trPr>
          <w:trHeight w:val="1031" w:hRule="atLeast"/>
        </w:trPr>
        <w:tc>
          <w:tcPr>
            <w:tcW w:w="83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30"/>
                <w:szCs w:val="30"/>
                <w:u w:val="none"/>
                <w:lang w:val="en-US"/>
              </w:rPr>
            </w:pPr>
            <w:r>
              <w:rPr>
                <w:rFonts w:hint="eastAsia" w:ascii="黑体" w:hAnsi="宋体" w:eastAsia="黑体" w:cs="黑体"/>
                <w:i w:val="0"/>
                <w:color w:val="000000"/>
                <w:kern w:val="0"/>
                <w:sz w:val="30"/>
                <w:szCs w:val="30"/>
                <w:u w:val="none"/>
                <w:lang w:val="en-US" w:eastAsia="zh-CN" w:bidi="ar"/>
              </w:rPr>
              <w:t>十四、整体支出绩效目标申报表（公开表7）</w:t>
            </w:r>
          </w:p>
        </w:tc>
      </w:tr>
      <w:tr>
        <w:tblPrEx>
          <w:shd w:val="clear" w:color="auto" w:fill="auto"/>
          <w:tblCellMar>
            <w:top w:w="0" w:type="dxa"/>
            <w:left w:w="0" w:type="dxa"/>
            <w:bottom w:w="0" w:type="dxa"/>
            <w:right w:w="0" w:type="dxa"/>
          </w:tblCellMar>
        </w:tblPrEx>
        <w:trPr>
          <w:trHeight w:val="336" w:hRule="atLeast"/>
        </w:trPr>
        <w:tc>
          <w:tcPr>
            <w:tcW w:w="83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（2022年度）</w:t>
            </w:r>
          </w:p>
        </w:tc>
      </w:tr>
      <w:tr>
        <w:tblPrEx>
          <w:shd w:val="clear" w:color="auto" w:fill="auto"/>
          <w:tblCellMar>
            <w:top w:w="0" w:type="dxa"/>
            <w:left w:w="0" w:type="dxa"/>
            <w:bottom w:w="0" w:type="dxa"/>
            <w:right w:w="0" w:type="dxa"/>
          </w:tblCellMar>
        </w:tblPrEx>
        <w:trPr>
          <w:trHeight w:val="336" w:hRule="atLeast"/>
        </w:trPr>
        <w:tc>
          <w:tcPr>
            <w:tcW w:w="8340" w:type="dxa"/>
            <w:gridSpan w:val="6"/>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64"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部门名称</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中共峨边彝族自治县委统战部本级</w:t>
            </w:r>
          </w:p>
        </w:tc>
      </w:tr>
      <w:tr>
        <w:tblPrEx>
          <w:shd w:val="clear" w:color="auto" w:fill="auto"/>
          <w:tblCellMar>
            <w:top w:w="0" w:type="dxa"/>
            <w:left w:w="0" w:type="dxa"/>
            <w:bottom w:w="0" w:type="dxa"/>
            <w:right w:w="0" w:type="dxa"/>
          </w:tblCellMar>
        </w:tblPrEx>
        <w:trPr>
          <w:trHeight w:val="664"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tblPrEx>
          <w:shd w:val="clear" w:color="auto" w:fill="auto"/>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用于机关正常运转</w:t>
            </w:r>
          </w:p>
        </w:tc>
      </w:tr>
      <w:tr>
        <w:tblPrEx>
          <w:shd w:val="clear" w:color="auto" w:fill="auto"/>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“三公经费”经费</w:t>
            </w: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用于各种工作接待</w:t>
            </w:r>
          </w:p>
        </w:tc>
      </w:tr>
      <w:tr>
        <w:tblPrEx>
          <w:shd w:val="clear" w:color="auto" w:fill="auto"/>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年度部门整体支出预算</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r>
      <w:tr>
        <w:tblPrEx>
          <w:shd w:val="clear" w:color="auto" w:fill="auto"/>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95.54</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95.54</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shd w:val="clear" w:color="auto" w:fill="auto"/>
          <w:tblCellMar>
            <w:top w:w="0" w:type="dxa"/>
            <w:left w:w="0" w:type="dxa"/>
            <w:bottom w:w="0" w:type="dxa"/>
            <w:right w:w="0" w:type="dxa"/>
          </w:tblCellMar>
        </w:tblPrEx>
        <w:trPr>
          <w:trHeight w:val="131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768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统战部保障机关人员的基本工资、津贴补贴、住房公积金和养老保险等人员经费的支出。还要完成全县党外人士的培养、考察，选拔和推荐；组织党外代表人士、非公有制经济代表人士参加考察调研活动；开展好民族宗教法律法规宣传贯彻；指导党外知识分子和新的社会阶层人士两个联谊会开展活动；联系走访慰问台属、侨眷。</w:t>
            </w:r>
          </w:p>
        </w:tc>
      </w:tr>
      <w:tr>
        <w:tblPrEx>
          <w:shd w:val="clear" w:color="auto" w:fill="auto"/>
          <w:tblCellMar>
            <w:top w:w="0" w:type="dxa"/>
            <w:left w:w="0" w:type="dxa"/>
            <w:bottom w:w="0" w:type="dxa"/>
            <w:right w:w="0" w:type="dxa"/>
          </w:tblCellMar>
        </w:tblPrEx>
        <w:trPr>
          <w:trHeight w:val="664"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指标值（包含数字及文字描述）</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保障单位日常运转及人员支出</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＝5人</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调研活动</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≥3次</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走访慰问台属、侨眷</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≥3人</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联谊活动</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≥2次</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资金投入期限</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成本支出控制率</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664"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协调各部门关系，给党推荐人才</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定性优良中低差</w:t>
            </w:r>
          </w:p>
        </w:tc>
      </w:tr>
      <w:tr>
        <w:tblPrEx>
          <w:tblCellMar>
            <w:top w:w="0" w:type="dxa"/>
            <w:left w:w="0" w:type="dxa"/>
            <w:bottom w:w="0" w:type="dxa"/>
            <w:right w:w="0" w:type="dxa"/>
          </w:tblCellMar>
        </w:tblPrEx>
        <w:trPr>
          <w:trHeight w:val="673"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r>
    </w:tbl>
    <w:p>
      <w:pPr>
        <w:numPr>
          <w:ilvl w:val="0"/>
          <w:numId w:val="0"/>
        </w:numPr>
        <w:spacing w:line="600" w:lineRule="exact"/>
        <w:rPr>
          <w:rFonts w:hint="eastAsia" w:ascii="仿宋" w:hAnsi="仿宋" w:eastAsia="仿宋" w:cs="Times New Roman"/>
          <w:sz w:val="32"/>
          <w:szCs w:val="32"/>
          <w:lang w:val="en-US" w:eastAsia="zh-CN"/>
        </w:rPr>
      </w:pPr>
    </w:p>
    <w:tbl>
      <w:tblPr>
        <w:tblStyle w:val="6"/>
        <w:tblW w:w="8160" w:type="dxa"/>
        <w:tblInd w:w="0" w:type="dxa"/>
        <w:shd w:val="clear" w:color="auto" w:fill="auto"/>
        <w:tblLayout w:type="autofit"/>
        <w:tblCellMar>
          <w:top w:w="0" w:type="dxa"/>
          <w:left w:w="0" w:type="dxa"/>
          <w:bottom w:w="0" w:type="dxa"/>
          <w:right w:w="0" w:type="dxa"/>
        </w:tblCellMar>
      </w:tblPr>
      <w:tblGrid>
        <w:gridCol w:w="1290"/>
        <w:gridCol w:w="1335"/>
        <w:gridCol w:w="1620"/>
        <w:gridCol w:w="1455"/>
        <w:gridCol w:w="1230"/>
        <w:gridCol w:w="1230"/>
      </w:tblGrid>
      <w:tr>
        <w:tblPrEx>
          <w:shd w:val="clear" w:color="auto" w:fill="auto"/>
          <w:tblCellMar>
            <w:top w:w="0" w:type="dxa"/>
            <w:left w:w="0" w:type="dxa"/>
            <w:bottom w:w="0" w:type="dxa"/>
            <w:right w:w="0" w:type="dxa"/>
          </w:tblCellMar>
        </w:tblPrEx>
        <w:trPr>
          <w:trHeight w:val="780" w:hRule="atLeast"/>
        </w:trPr>
        <w:tc>
          <w:tcPr>
            <w:tcW w:w="12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3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44"/>
                <w:szCs w:val="44"/>
                <w:u w:val="none"/>
                <w:lang w:val="en-US"/>
              </w:rPr>
            </w:pPr>
            <w:r>
              <w:rPr>
                <w:rFonts w:hint="eastAsia" w:ascii="宋体" w:hAnsi="宋体" w:eastAsia="宋体" w:cs="宋体"/>
                <w:i w:val="0"/>
                <w:color w:val="000000"/>
                <w:kern w:val="0"/>
                <w:sz w:val="28"/>
                <w:szCs w:val="28"/>
                <w:u w:val="none"/>
                <w:lang w:val="en-US" w:eastAsia="zh-CN" w:bidi="ar"/>
              </w:rPr>
              <w:t>十五、政府采购预算表（公开表8）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8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CellMar>
            <w:top w:w="0" w:type="dxa"/>
            <w:left w:w="0" w:type="dxa"/>
            <w:bottom w:w="0" w:type="dxa"/>
            <w:right w:w="0" w:type="dxa"/>
          </w:tblCellMar>
        </w:tblPrEx>
        <w:trPr>
          <w:trHeight w:val="820" w:hRule="atLeast"/>
        </w:trPr>
        <w:tc>
          <w:tcPr>
            <w:tcW w:w="0" w:type="auto"/>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0" w:type="auto"/>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p>
        </w:tc>
        <w:tc>
          <w:tcPr>
            <w:tcW w:w="0" w:type="auto"/>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采购方式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采购目录</w:t>
            </w:r>
          </w:p>
        </w:tc>
        <w:tc>
          <w:tcPr>
            <w:tcW w:w="0" w:type="auto"/>
            <w:vMerge w:val="restart"/>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统战部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分散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r>
      <w:tr>
        <w:tblPrEx>
          <w:tblCellMar>
            <w:top w:w="0" w:type="dxa"/>
            <w:left w:w="0" w:type="dxa"/>
            <w:bottom w:w="0" w:type="dxa"/>
            <w:right w:w="0" w:type="dxa"/>
          </w:tblCellMar>
        </w:tblPrEx>
        <w:trPr>
          <w:trHeight w:val="90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统战部</w:t>
            </w:r>
          </w:p>
        </w:tc>
        <w:tc>
          <w:tcPr>
            <w:tcW w:w="1335"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16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分散</w:t>
            </w:r>
          </w:p>
        </w:tc>
        <w:tc>
          <w:tcPr>
            <w:tcW w:w="145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电脑</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中共峨边彝族自治县委统战部</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FF0000"/>
          <w:sz w:val="32"/>
          <w:szCs w:val="32"/>
          <w:lang w:eastAsia="zh-CN"/>
        </w:rPr>
        <w:t>统战部</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FF0000"/>
          <w:sz w:val="32"/>
          <w:szCs w:val="32"/>
          <w:lang w:eastAsia="zh-CN"/>
        </w:rPr>
        <w:t>统战部</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8.6</w:t>
      </w:r>
      <w:r>
        <w:rPr>
          <w:rFonts w:hint="eastAsia" w:ascii="仿宋" w:hAnsi="仿宋" w:eastAsia="仿宋" w:cs="宋体"/>
          <w:kern w:val="0"/>
          <w:sz w:val="32"/>
          <w:szCs w:val="32"/>
        </w:rPr>
        <w:t>万元，主要是由于</w:t>
      </w:r>
      <w:r>
        <w:rPr>
          <w:rFonts w:hint="eastAsia" w:ascii="仿宋" w:hAnsi="仿宋" w:eastAsia="仿宋" w:cs="宋体"/>
          <w:color w:val="FF0000"/>
          <w:kern w:val="0"/>
          <w:sz w:val="32"/>
          <w:szCs w:val="32"/>
        </w:rPr>
        <w:t>人员经费预算增加</w:t>
      </w:r>
      <w:r>
        <w:rPr>
          <w:rFonts w:hint="eastAsia" w:ascii="仿宋" w:hAnsi="仿宋" w:eastAsia="仿宋" w:cs="宋体"/>
          <w:kern w:val="0"/>
          <w:sz w:val="32"/>
          <w:szCs w:val="32"/>
        </w:rPr>
        <w:t>。</w:t>
      </w:r>
    </w:p>
    <w:p>
      <w:pPr>
        <w:numPr>
          <w:ilvl w:val="0"/>
          <w:numId w:val="0"/>
        </w:numPr>
        <w:spacing w:line="60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numPr>
          <w:ilvl w:val="0"/>
          <w:numId w:val="0"/>
        </w:numPr>
        <w:spacing w:line="600" w:lineRule="exact"/>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统战部</w:t>
      </w:r>
      <w:r>
        <w:rPr>
          <w:rFonts w:hint="eastAsia" w:ascii="仿宋" w:hAnsi="仿宋" w:eastAsia="仿宋" w:cs="宋体"/>
          <w:kern w:val="0"/>
          <w:sz w:val="32"/>
          <w:szCs w:val="32"/>
        </w:rPr>
        <w:t xml:space="preserve"> 2022 年收入预算</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 xml:space="preserve">万元，其中：上年结转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 xml:space="preserve">%；政府性基金预算拨款收入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万元，占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w:t>
      </w:r>
    </w:p>
    <w:p>
      <w:pPr>
        <w:numPr>
          <w:ilvl w:val="0"/>
          <w:numId w:val="0"/>
        </w:numPr>
        <w:spacing w:line="60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ilvl w:val="0"/>
          <w:numId w:val="0"/>
        </w:numPr>
        <w:spacing w:line="60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lang w:eastAsia="zh-CN"/>
        </w:rPr>
        <w:t>统战部</w:t>
      </w:r>
      <w:r>
        <w:rPr>
          <w:rFonts w:hint="eastAsia" w:ascii="仿宋" w:hAnsi="仿宋" w:eastAsia="仿宋" w:cs="宋体"/>
          <w:kern w:val="0"/>
          <w:sz w:val="32"/>
          <w:szCs w:val="32"/>
        </w:rPr>
        <w:t xml:space="preserve"> 2022 年支出预算</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万元，其中：基本支出</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 xml:space="preserve">，占 </w:t>
      </w:r>
      <w:r>
        <w:rPr>
          <w:rFonts w:hint="eastAsia" w:ascii="仿宋" w:hAnsi="仿宋" w:eastAsia="仿宋" w:cs="宋体"/>
          <w:color w:val="FF0000"/>
          <w:kern w:val="0"/>
          <w:sz w:val="32"/>
          <w:szCs w:val="32"/>
          <w:lang w:val="en-US" w:eastAsia="zh-CN"/>
        </w:rPr>
        <w:t>100</w:t>
      </w:r>
      <w:r>
        <w:rPr>
          <w:rFonts w:hint="eastAsia" w:ascii="仿宋" w:hAnsi="仿宋" w:eastAsia="仿宋" w:cs="宋体"/>
          <w:kern w:val="0"/>
          <w:sz w:val="32"/>
          <w:szCs w:val="32"/>
        </w:rPr>
        <w:t>%；项目支出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w:t>
      </w:r>
    </w:p>
    <w:p>
      <w:pPr>
        <w:widowControl/>
        <w:shd w:val="clear" w:color="auto" w:fill="FFFFFF"/>
        <w:spacing w:line="440" w:lineRule="atLeast"/>
        <w:ind w:firstLine="321" w:firstLineChars="1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ilvl w:val="0"/>
          <w:numId w:val="0"/>
        </w:numPr>
        <w:spacing w:line="600" w:lineRule="exact"/>
        <w:ind w:firstLine="320" w:firstLineChars="100"/>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统战部</w:t>
      </w:r>
      <w:r>
        <w:rPr>
          <w:rFonts w:hint="eastAsia" w:ascii="仿宋" w:hAnsi="仿宋" w:eastAsia="仿宋" w:cs="宋体"/>
          <w:kern w:val="0"/>
          <w:sz w:val="32"/>
          <w:szCs w:val="32"/>
        </w:rPr>
        <w:t xml:space="preserve"> 2022 年财政拨款收支预算总数</w:t>
      </w:r>
      <w:r>
        <w:rPr>
          <w:rFonts w:hint="eastAsia" w:ascii="仿宋" w:hAnsi="仿宋" w:eastAsia="仿宋" w:cs="宋体"/>
          <w:kern w:val="0"/>
          <w:sz w:val="32"/>
          <w:szCs w:val="32"/>
          <w:lang w:val="en-US" w:eastAsia="zh-CN"/>
        </w:rPr>
        <w:t>95.54</w:t>
      </w:r>
      <w:r>
        <w:rPr>
          <w:rFonts w:hint="eastAsia" w:ascii="仿宋" w:hAnsi="仿宋" w:eastAsia="仿宋" w:cs="宋体"/>
          <w:kern w:val="0"/>
          <w:sz w:val="32"/>
          <w:szCs w:val="32"/>
        </w:rPr>
        <w:t xml:space="preserve">万元,比 2021 年财政拨款收支预算总数 </w:t>
      </w:r>
      <w:r>
        <w:rPr>
          <w:rFonts w:hint="eastAsia" w:ascii="仿宋" w:hAnsi="仿宋" w:eastAsia="仿宋" w:cs="宋体"/>
          <w:color w:val="FF0000"/>
          <w:kern w:val="0"/>
          <w:sz w:val="32"/>
          <w:szCs w:val="32"/>
          <w:lang w:val="en-US" w:eastAsia="zh-CN"/>
        </w:rPr>
        <w:t>86.94</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rPr>
        <w:t xml:space="preserve"> </w:t>
      </w:r>
      <w:r>
        <w:rPr>
          <w:rFonts w:hint="eastAsia" w:ascii="仿宋" w:hAnsi="仿宋" w:eastAsia="仿宋" w:cs="宋体"/>
          <w:color w:val="FF0000"/>
          <w:kern w:val="0"/>
          <w:sz w:val="32"/>
          <w:szCs w:val="32"/>
          <w:lang w:val="en-US" w:eastAsia="zh-CN"/>
        </w:rPr>
        <w:t>8.6</w:t>
      </w:r>
      <w:r>
        <w:rPr>
          <w:rFonts w:hint="eastAsia" w:ascii="仿宋" w:hAnsi="仿宋" w:eastAsia="仿宋" w:cs="宋体"/>
          <w:kern w:val="0"/>
          <w:sz w:val="32"/>
          <w:szCs w:val="32"/>
        </w:rPr>
        <w:t>万元，主要原因一是</w:t>
      </w:r>
      <w:r>
        <w:rPr>
          <w:rFonts w:hint="eastAsia" w:ascii="仿宋" w:hAnsi="仿宋" w:eastAsia="仿宋" w:cs="宋体"/>
          <w:color w:val="FF0000"/>
          <w:kern w:val="0"/>
          <w:sz w:val="32"/>
          <w:szCs w:val="32"/>
          <w:lang w:val="en-US" w:eastAsia="zh-CN"/>
        </w:rPr>
        <w:t>人员经费增加</w:t>
      </w:r>
      <w:r>
        <w:rPr>
          <w:rFonts w:hint="eastAsia" w:ascii="仿宋" w:hAnsi="仿宋" w:eastAsia="仿宋" w:cs="宋体"/>
          <w:kern w:val="0"/>
          <w:sz w:val="32"/>
          <w:szCs w:val="32"/>
          <w:lang w:val="en-US" w:eastAsia="zh-CN"/>
        </w:rPr>
        <w:t>。</w:t>
      </w:r>
      <w:r>
        <w:rPr>
          <w:rFonts w:hint="eastAsia" w:ascii="仿宋" w:hAnsi="仿宋" w:eastAsia="仿宋" w:cs="宋体"/>
          <w:kern w:val="0"/>
          <w:sz w:val="32"/>
          <w:szCs w:val="32"/>
        </w:rPr>
        <w:t xml:space="preserve">收入包括：本年一般公共预算拨款收入 </w:t>
      </w:r>
      <w:r>
        <w:rPr>
          <w:rFonts w:hint="eastAsia" w:ascii="仿宋" w:hAnsi="仿宋" w:eastAsia="仿宋" w:cs="宋体"/>
          <w:color w:val="FF0000"/>
          <w:kern w:val="0"/>
          <w:sz w:val="32"/>
          <w:szCs w:val="32"/>
          <w:lang w:val="en-US" w:eastAsia="zh-CN"/>
        </w:rPr>
        <w:t>95.54</w:t>
      </w:r>
      <w:r>
        <w:rPr>
          <w:rFonts w:hint="eastAsia" w:ascii="仿宋" w:hAnsi="仿宋" w:eastAsia="仿宋" w:cs="宋体"/>
          <w:kern w:val="0"/>
          <w:sz w:val="32"/>
          <w:szCs w:val="32"/>
        </w:rPr>
        <w:t xml:space="preserve">万元、本年政府性基金预算拨款收入 </w:t>
      </w:r>
      <w:r>
        <w:rPr>
          <w:rFonts w:hint="eastAsia" w:ascii="仿宋" w:hAnsi="仿宋" w:eastAsia="仿宋" w:cs="宋体"/>
          <w:color w:val="FF0000"/>
          <w:kern w:val="0"/>
          <w:sz w:val="32"/>
          <w:szCs w:val="32"/>
          <w:lang w:val="en-US" w:eastAsia="zh-CN"/>
        </w:rPr>
        <w:t>0</w:t>
      </w:r>
      <w:r>
        <w:rPr>
          <w:rFonts w:hint="eastAsia" w:ascii="仿宋" w:hAnsi="仿宋" w:eastAsia="仿宋" w:cs="宋体"/>
          <w:kern w:val="0"/>
          <w:sz w:val="32"/>
          <w:szCs w:val="32"/>
        </w:rPr>
        <w:t xml:space="preserve">万元；支出包括：一般公共服务支出 </w:t>
      </w:r>
      <w:r>
        <w:rPr>
          <w:rFonts w:hint="eastAsia" w:ascii="仿宋" w:hAnsi="仿宋" w:eastAsia="仿宋" w:cs="宋体"/>
          <w:color w:val="FF0000"/>
          <w:kern w:val="0"/>
          <w:sz w:val="32"/>
          <w:szCs w:val="32"/>
          <w:lang w:val="en-US" w:eastAsia="zh-CN"/>
        </w:rPr>
        <w:t>74.84</w:t>
      </w:r>
      <w:r>
        <w:rPr>
          <w:rFonts w:hint="eastAsia" w:ascii="仿宋" w:hAnsi="仿宋" w:eastAsia="仿宋" w:cs="宋体"/>
          <w:kern w:val="0"/>
          <w:sz w:val="32"/>
          <w:szCs w:val="32"/>
        </w:rPr>
        <w:t>万元、社会保障和就业支出</w:t>
      </w:r>
      <w:r>
        <w:rPr>
          <w:rFonts w:hint="eastAsia" w:ascii="仿宋" w:hAnsi="仿宋" w:eastAsia="仿宋" w:cs="宋体"/>
          <w:color w:val="FF0000"/>
          <w:kern w:val="0"/>
          <w:sz w:val="32"/>
          <w:szCs w:val="32"/>
          <w:lang w:val="en-US" w:eastAsia="zh-CN"/>
        </w:rPr>
        <w:t>11.08</w:t>
      </w:r>
      <w:r>
        <w:rPr>
          <w:rFonts w:hint="eastAsia" w:ascii="仿宋" w:hAnsi="仿宋" w:eastAsia="仿宋" w:cs="宋体"/>
          <w:kern w:val="0"/>
          <w:sz w:val="32"/>
          <w:szCs w:val="32"/>
        </w:rPr>
        <w:t xml:space="preserve">万元、卫生健康支出 </w:t>
      </w:r>
      <w:r>
        <w:rPr>
          <w:rFonts w:hint="eastAsia" w:ascii="仿宋" w:hAnsi="仿宋" w:eastAsia="仿宋" w:cs="宋体"/>
          <w:color w:val="FF0000"/>
          <w:kern w:val="0"/>
          <w:sz w:val="32"/>
          <w:szCs w:val="32"/>
          <w:lang w:val="en-US" w:eastAsia="zh-CN"/>
        </w:rPr>
        <w:t>2.64</w:t>
      </w:r>
      <w:r>
        <w:rPr>
          <w:rFonts w:hint="eastAsia" w:ascii="仿宋" w:hAnsi="仿宋" w:eastAsia="仿宋" w:cs="宋体"/>
          <w:kern w:val="0"/>
          <w:sz w:val="32"/>
          <w:szCs w:val="32"/>
        </w:rPr>
        <w:t>万元，住</w:t>
      </w:r>
      <w:r>
        <w:rPr>
          <w:rFonts w:hint="eastAsia" w:ascii="仿宋" w:hAnsi="仿宋" w:eastAsia="仿宋" w:cs="宋体"/>
          <w:kern w:val="0"/>
          <w:sz w:val="32"/>
          <w:szCs w:val="32"/>
          <w:lang w:eastAsia="zh-CN"/>
        </w:rPr>
        <w:t>房</w:t>
      </w:r>
      <w:r>
        <w:rPr>
          <w:rFonts w:hint="eastAsia" w:ascii="仿宋" w:hAnsi="仿宋" w:eastAsia="仿宋" w:cs="宋体"/>
          <w:kern w:val="0"/>
          <w:sz w:val="32"/>
          <w:szCs w:val="32"/>
        </w:rPr>
        <w:t xml:space="preserve">保障支出 </w:t>
      </w:r>
      <w:r>
        <w:rPr>
          <w:rFonts w:hint="eastAsia" w:ascii="仿宋" w:hAnsi="仿宋" w:eastAsia="仿宋" w:cs="宋体"/>
          <w:color w:val="FF0000"/>
          <w:kern w:val="0"/>
          <w:sz w:val="32"/>
          <w:szCs w:val="32"/>
          <w:lang w:val="en-US" w:eastAsia="zh-CN"/>
        </w:rPr>
        <w:t>6.98</w:t>
      </w:r>
      <w:r>
        <w:rPr>
          <w:rFonts w:hint="eastAsia" w:ascii="仿宋" w:hAnsi="仿宋" w:eastAsia="仿宋" w:cs="宋体"/>
          <w:kern w:val="0"/>
          <w:sz w:val="32"/>
          <w:szCs w:val="32"/>
        </w:rPr>
        <w:t>万元。</w:t>
      </w:r>
    </w:p>
    <w:p>
      <w:pPr>
        <w:numPr>
          <w:ilvl w:val="0"/>
          <w:numId w:val="0"/>
        </w:numPr>
        <w:spacing w:line="600" w:lineRule="exact"/>
        <w:ind w:leftChars="0" w:firstLine="321" w:firstLineChars="100"/>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lang w:eastAsia="zh-CN"/>
        </w:rPr>
        <w:t>三、</w:t>
      </w: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FF0000"/>
          <w:kern w:val="0"/>
          <w:sz w:val="32"/>
          <w:szCs w:val="32"/>
          <w:lang w:val="en-US" w:eastAsia="zh-CN"/>
        </w:rPr>
        <w:t>95.54</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8.6</w:t>
      </w:r>
      <w:r>
        <w:rPr>
          <w:rFonts w:hint="eastAsia" w:ascii="仿宋" w:hAnsi="仿宋" w:eastAsia="仿宋" w:cs="宋体"/>
          <w:color w:val="000000"/>
          <w:kern w:val="0"/>
          <w:sz w:val="32"/>
          <w:szCs w:val="32"/>
        </w:rPr>
        <w:t>万元。主要一是</w:t>
      </w:r>
      <w:r>
        <w:rPr>
          <w:rFonts w:hint="eastAsia" w:ascii="仿宋" w:hAnsi="仿宋" w:eastAsia="仿宋" w:cs="宋体"/>
          <w:color w:val="FF0000"/>
          <w:kern w:val="0"/>
          <w:sz w:val="32"/>
          <w:szCs w:val="32"/>
          <w:lang w:eastAsia="zh-CN"/>
        </w:rPr>
        <w:t>人员增加；二是人员经费增加</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（二）一般公共预算当年拨款结构情况</w:t>
      </w:r>
      <w:r>
        <w:rPr>
          <w:rFonts w:hint="eastAsia" w:ascii="仿宋" w:hAnsi="仿宋" w:eastAsia="仿宋" w:cs="宋体"/>
          <w:color w:val="FF0000"/>
          <w:kern w:val="0"/>
          <w:sz w:val="32"/>
          <w:szCs w:val="32"/>
        </w:rPr>
        <w:t>（阐述到类）</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一般公共服务支出</w:t>
      </w:r>
      <w:r>
        <w:rPr>
          <w:rFonts w:hint="eastAsia" w:ascii="仿宋" w:hAnsi="仿宋" w:eastAsia="仿宋" w:cs="宋体"/>
          <w:color w:val="FF0000"/>
          <w:kern w:val="0"/>
          <w:sz w:val="32"/>
          <w:szCs w:val="32"/>
          <w:lang w:val="en-US" w:eastAsia="zh-CN"/>
        </w:rPr>
        <w:t>74.84</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78.33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000000"/>
          <w:kern w:val="0"/>
          <w:sz w:val="32"/>
          <w:szCs w:val="32"/>
          <w:lang w:val="en-US" w:eastAsia="zh-CN"/>
        </w:rPr>
        <w:t>11.08</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11.6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支出</w:t>
      </w:r>
      <w:r>
        <w:rPr>
          <w:rFonts w:hint="eastAsia" w:ascii="仿宋" w:hAnsi="仿宋" w:eastAsia="仿宋" w:cs="宋体"/>
          <w:color w:val="000000"/>
          <w:kern w:val="0"/>
          <w:sz w:val="32"/>
          <w:szCs w:val="32"/>
          <w:lang w:val="en-US" w:eastAsia="zh-CN"/>
        </w:rPr>
        <w:t>2.64</w:t>
      </w:r>
      <w:r>
        <w:rPr>
          <w:rFonts w:hint="eastAsia" w:ascii="仿宋" w:hAnsi="仿宋" w:eastAsia="仿宋" w:cs="宋体"/>
          <w:color w:val="000000"/>
          <w:kern w:val="0"/>
          <w:sz w:val="32"/>
          <w:szCs w:val="32"/>
        </w:rPr>
        <w:t>万元，占</w:t>
      </w:r>
      <w:r>
        <w:rPr>
          <w:rFonts w:hint="eastAsia" w:ascii="仿宋" w:hAnsi="仿宋" w:eastAsia="仿宋" w:cs="宋体"/>
          <w:color w:val="FF0000"/>
          <w:kern w:val="0"/>
          <w:sz w:val="32"/>
          <w:szCs w:val="32"/>
          <w:lang w:val="en-US" w:eastAsia="zh-CN"/>
        </w:rPr>
        <w:t>2.76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000000"/>
          <w:kern w:val="0"/>
          <w:sz w:val="32"/>
          <w:szCs w:val="32"/>
          <w:lang w:val="en-US" w:eastAsia="zh-CN"/>
        </w:rPr>
        <w:t>6.98</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7.31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（三）一般公共预算当年拨款具体使用情况（</w:t>
      </w:r>
      <w:r>
        <w:rPr>
          <w:rFonts w:hint="eastAsia" w:ascii="仿宋" w:hAnsi="仿宋" w:eastAsia="仿宋" w:cs="宋体"/>
          <w:color w:val="FF0000"/>
          <w:kern w:val="0"/>
          <w:sz w:val="32"/>
          <w:szCs w:val="32"/>
        </w:rPr>
        <w:t>详细阐述到类、款、项</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lang w:eastAsia="zh-CN"/>
        </w:rPr>
        <w:t>统战事务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74.84</w:t>
      </w:r>
      <w:r>
        <w:rPr>
          <w:rFonts w:hint="eastAsia" w:ascii="仿宋" w:hAnsi="仿宋" w:eastAsia="仿宋" w:cs="宋体"/>
          <w:color w:val="000000"/>
          <w:kern w:val="0"/>
          <w:sz w:val="32"/>
          <w:szCs w:val="32"/>
        </w:rPr>
        <w:t>万元，主要用于：机关及参公管理事业单位正常运转的基本支出，包括基本工资、津贴补贴</w:t>
      </w:r>
      <w:r>
        <w:rPr>
          <w:rFonts w:hint="eastAsia" w:ascii="仿宋" w:hAnsi="仿宋" w:eastAsia="仿宋" w:cs="宋体"/>
          <w:color w:val="000000"/>
          <w:kern w:val="0"/>
          <w:sz w:val="32"/>
          <w:szCs w:val="32"/>
          <w:lang w:eastAsia="zh-CN"/>
        </w:rPr>
        <w:t>、福利、交通补贴、伙食补助</w:t>
      </w:r>
      <w:r>
        <w:rPr>
          <w:rFonts w:hint="eastAsia" w:ascii="仿宋" w:hAnsi="仿宋" w:eastAsia="仿宋" w:cs="宋体"/>
          <w:color w:val="000000"/>
          <w:kern w:val="0"/>
          <w:sz w:val="32"/>
          <w:szCs w:val="32"/>
        </w:rPr>
        <w:t>等人员经费以及办公费、印刷费等日常公用经费。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highlight w:val="yellow"/>
        </w:rPr>
        <w:t>）</w:t>
      </w:r>
      <w:r>
        <w:rPr>
          <w:rFonts w:hint="eastAsia" w:ascii="仿宋" w:hAnsi="仿宋" w:eastAsia="仿宋" w:cs="宋体"/>
          <w:color w:val="000000"/>
          <w:kern w:val="0"/>
          <w:sz w:val="32"/>
          <w:szCs w:val="32"/>
          <w:highlight w:val="yellow"/>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机关事业单位基本养老保险缴费支出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7.04</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highlight w:val="yellow"/>
          <w:lang w:eastAsia="zh-CN"/>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3.52</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w:t>
      </w:r>
      <w:r>
        <w:rPr>
          <w:rFonts w:hint="eastAsia" w:ascii="仿宋" w:hAnsi="仿宋" w:eastAsia="仿宋" w:cs="宋体"/>
          <w:color w:val="FF0000"/>
          <w:kern w:val="0"/>
          <w:sz w:val="32"/>
          <w:szCs w:val="32"/>
          <w:lang w:eastAsia="zh-CN"/>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2.64</w:t>
      </w:r>
      <w:r>
        <w:rPr>
          <w:rFonts w:hint="eastAsia" w:ascii="仿宋" w:hAnsi="仿宋" w:eastAsia="仿宋" w:cs="宋体"/>
          <w:color w:val="000000"/>
          <w:kern w:val="0"/>
          <w:sz w:val="32"/>
          <w:szCs w:val="32"/>
        </w:rPr>
        <w:t>万元，主要用于：机关单位基本医疗保险缴费支出。</w:t>
      </w:r>
    </w:p>
    <w:p>
      <w:pPr>
        <w:numPr>
          <w:ilvl w:val="0"/>
          <w:numId w:val="0"/>
        </w:numPr>
        <w:spacing w:line="600" w:lineRule="exact"/>
        <w:ind w:left="320" w:leftChars="0"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0.44</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eastAsia="zh-CN"/>
        </w:rPr>
        <w:t>机关职工工伤保险支出。</w:t>
      </w:r>
    </w:p>
    <w:p>
      <w:pPr>
        <w:numPr>
          <w:ilvl w:val="0"/>
          <w:numId w:val="0"/>
        </w:numPr>
        <w:spacing w:line="600" w:lineRule="exact"/>
        <w:ind w:left="320" w:leftChars="0" w:firstLine="640" w:firstLineChars="200"/>
        <w:rPr>
          <w:rFonts w:hint="eastAsia"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0.07</w:t>
      </w:r>
      <w:r>
        <w:rPr>
          <w:rFonts w:hint="eastAsia" w:ascii="仿宋" w:hAnsi="仿宋" w:eastAsia="仿宋" w:cs="宋体"/>
          <w:color w:val="000000"/>
          <w:kern w:val="0"/>
          <w:sz w:val="32"/>
          <w:szCs w:val="32"/>
        </w:rPr>
        <w:t>万元，主要用于：</w:t>
      </w:r>
      <w:r>
        <w:rPr>
          <w:rFonts w:hint="eastAsia" w:ascii="仿宋" w:hAnsi="仿宋" w:eastAsia="仿宋" w:cs="宋体"/>
          <w:color w:val="000000"/>
          <w:kern w:val="0"/>
          <w:sz w:val="32"/>
          <w:szCs w:val="32"/>
          <w:lang w:eastAsia="zh-CN"/>
        </w:rPr>
        <w:t>机关职工失业保险支出。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w:t>
      </w:r>
      <w:r>
        <w:rPr>
          <w:rFonts w:hint="eastAsia" w:ascii="仿宋" w:hAnsi="仿宋" w:eastAsia="仿宋" w:cs="宋体"/>
          <w:color w:val="000000"/>
          <w:kern w:val="0"/>
          <w:sz w:val="32"/>
          <w:szCs w:val="32"/>
          <w:lang w:eastAsia="zh-CN"/>
        </w:rPr>
        <w:t>支出</w:t>
      </w:r>
      <w:r>
        <w:rPr>
          <w:rFonts w:hint="eastAsia" w:ascii="仿宋" w:hAnsi="仿宋" w:eastAsia="仿宋" w:cs="宋体"/>
          <w:color w:val="000000"/>
          <w:kern w:val="0"/>
          <w:sz w:val="32"/>
          <w:szCs w:val="32"/>
        </w:rPr>
        <w:t>（类）</w:t>
      </w:r>
      <w:r>
        <w:rPr>
          <w:rFonts w:hint="eastAsia" w:ascii="仿宋" w:hAnsi="仿宋" w:eastAsia="仿宋" w:cs="宋体"/>
          <w:color w:val="FF0000"/>
          <w:kern w:val="0"/>
          <w:sz w:val="32"/>
          <w:szCs w:val="32"/>
          <w:lang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lang w:eastAsia="zh-CN"/>
        </w:rPr>
        <w:t>住房公积金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lang w:val="en-US" w:eastAsia="zh-CN"/>
        </w:rPr>
        <w:t>6.98</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pPr>
        <w:rPr>
          <w:rFonts w:hint="eastAsia" w:ascii="仿宋" w:hAnsi="仿宋" w:eastAsia="仿宋" w:cs="宋体"/>
          <w:b/>
          <w:color w:val="000000"/>
          <w:kern w:val="0"/>
          <w:sz w:val="32"/>
          <w:szCs w:val="32"/>
        </w:rPr>
      </w:pPr>
      <w:r>
        <w:rPr>
          <w:rFonts w:ascii="仿宋" w:hAnsi="宋体" w:eastAsia="仿宋" w:cs="宋体"/>
          <w:color w:val="FF0000"/>
          <w:kern w:val="0"/>
          <w:sz w:val="32"/>
          <w:szCs w:val="32"/>
        </w:rPr>
        <w:t> </w:t>
      </w:r>
      <w:r>
        <w:rPr>
          <w:rFonts w:hint="eastAsia" w:ascii="仿宋" w:hAnsi="宋体" w:eastAsia="仿宋" w:cs="宋体"/>
          <w:color w:val="FF0000"/>
          <w:kern w:val="0"/>
          <w:sz w:val="32"/>
          <w:szCs w:val="32"/>
          <w:lang w:val="en-US" w:eastAsia="zh-CN"/>
        </w:rPr>
        <w:t xml:space="preserve">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FF0000"/>
          <w:kern w:val="0"/>
          <w:sz w:val="32"/>
          <w:szCs w:val="32"/>
          <w:lang w:val="en-US" w:eastAsia="zh-CN"/>
        </w:rPr>
        <w:t>95.54</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人员经费</w:t>
      </w:r>
      <w:r>
        <w:rPr>
          <w:rFonts w:hint="eastAsia" w:ascii="仿宋" w:hAnsi="仿宋" w:eastAsia="仿宋" w:cs="宋体"/>
          <w:color w:val="FF0000"/>
          <w:kern w:val="0"/>
          <w:sz w:val="32"/>
          <w:szCs w:val="32"/>
          <w:lang w:val="en-US" w:eastAsia="zh-CN"/>
        </w:rPr>
        <w:t>68.62</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基本工资、津贴补贴、奖金、社会保险缴费、机关事业单位基本养老保险缴费、职业年金缴费、其他工资福利支出、住房公积金。</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hint="eastAsia" w:ascii="仿宋" w:hAnsi="仿宋" w:eastAsia="仿宋" w:cs="宋体"/>
          <w:color w:val="FF0000"/>
          <w:kern w:val="0"/>
          <w:sz w:val="32"/>
          <w:szCs w:val="32"/>
          <w:lang w:val="en-US" w:eastAsia="zh-CN"/>
        </w:rPr>
        <w:t>26.92</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办公费、印刷费、邮电费、差旅费、维修（护）费、工会经费、福利费、其他交通费、其他商品和服务支出。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六、政府性基金预算支出规模及变化情况说明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统战部</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rPr>
        <w:t>七、国有资本经营预算支出规模及变化情况说明</w:t>
      </w:r>
    </w:p>
    <w:p>
      <w:pPr>
        <w:ind w:firstLine="640" w:firstLineChars="200"/>
        <w:rPr>
          <w:rFonts w:hint="eastAsia" w:ascii="仿宋" w:hAnsi="仿宋" w:eastAsia="仿宋" w:cs="宋体"/>
          <w:color w:val="FF0000"/>
          <w:kern w:val="0"/>
          <w:sz w:val="32"/>
          <w:szCs w:val="32"/>
          <w:lang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国有资本经营预算支出</w:t>
      </w:r>
      <w:r>
        <w:rPr>
          <w:rFonts w:hint="eastAsia" w:ascii="仿宋" w:hAnsi="仿宋" w:eastAsia="仿宋" w:cs="宋体"/>
          <w:color w:val="FF0000"/>
          <w:kern w:val="0"/>
          <w:sz w:val="32"/>
          <w:szCs w:val="32"/>
          <w:lang w:val="en-US" w:eastAsia="zh-CN"/>
        </w:rPr>
        <w:t>0</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八、社会保险基金预算支出规模及变化情况说明</w:t>
      </w:r>
    </w:p>
    <w:p>
      <w:pPr>
        <w:ind w:firstLine="640" w:firstLineChars="200"/>
        <w:rPr>
          <w:rFonts w:hint="eastAsia" w:ascii="仿宋" w:hAnsi="仿宋" w:eastAsia="仿宋" w:cs="宋体"/>
          <w:color w:val="FF0000"/>
          <w:kern w:val="0"/>
          <w:sz w:val="32"/>
          <w:szCs w:val="32"/>
          <w:lang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社会保险基金预算支出</w:t>
      </w:r>
      <w:r>
        <w:rPr>
          <w:rFonts w:hint="eastAsia" w:ascii="仿宋" w:hAnsi="仿宋" w:eastAsia="仿宋" w:cs="宋体"/>
          <w:color w:val="FF0000"/>
          <w:kern w:val="0"/>
          <w:sz w:val="32"/>
          <w:szCs w:val="32"/>
          <w:lang w:val="en-US" w:eastAsia="zh-CN"/>
        </w:rPr>
        <w:t>0</w:t>
      </w:r>
    </w:p>
    <w:p>
      <w:pPr>
        <w:ind w:firstLine="643" w:firstLineChars="200"/>
        <w:rPr>
          <w:rFonts w:ascii="仿宋" w:hAnsi="仿宋" w:eastAsia="仿宋"/>
          <w:sz w:val="32"/>
          <w:szCs w:val="32"/>
        </w:rPr>
      </w:pPr>
      <w:r>
        <w:rPr>
          <w:rFonts w:hint="eastAsia" w:ascii="仿宋" w:hAnsi="仿宋" w:eastAsia="仿宋" w:cs="宋体"/>
          <w:b/>
          <w:color w:val="000000"/>
          <w:kern w:val="0"/>
          <w:sz w:val="32"/>
          <w:szCs w:val="32"/>
        </w:rPr>
        <w:t>九、“三公”经费预算安排情况说明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FF0000"/>
          <w:kern w:val="0"/>
          <w:sz w:val="32"/>
          <w:szCs w:val="32"/>
          <w:lang w:val="en-US" w:eastAsia="zh-CN"/>
        </w:rPr>
        <w:t>2.5</w:t>
      </w:r>
      <w:r>
        <w:rPr>
          <w:rFonts w:hint="eastAsia" w:ascii="仿宋" w:hAnsi="仿宋" w:eastAsia="仿宋" w:cs="宋体"/>
          <w:color w:val="000000"/>
          <w:kern w:val="0"/>
          <w:sz w:val="32"/>
          <w:szCs w:val="32"/>
        </w:rPr>
        <w:t>万元，较上年“三公”经费预算数（减少）</w:t>
      </w:r>
      <w:r>
        <w:rPr>
          <w:rFonts w:hint="eastAsia" w:ascii="仿宋" w:hAnsi="仿宋" w:eastAsia="仿宋" w:cs="宋体"/>
          <w:color w:val="FF0000"/>
          <w:kern w:val="0"/>
          <w:sz w:val="32"/>
          <w:szCs w:val="32"/>
          <w:lang w:val="en-US" w:eastAsia="zh-CN"/>
        </w:rPr>
        <w:t>0.2</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FF0000"/>
          <w:kern w:val="0"/>
          <w:sz w:val="32"/>
          <w:szCs w:val="32"/>
          <w:lang w:val="en-US" w:eastAsia="zh-CN"/>
        </w:rPr>
        <w:t>2.5</w:t>
      </w:r>
      <w:r>
        <w:rPr>
          <w:rFonts w:hint="eastAsia" w:ascii="仿宋" w:hAnsi="仿宋" w:eastAsia="仿宋" w:cs="宋体"/>
          <w:color w:val="000000"/>
          <w:kern w:val="0"/>
          <w:sz w:val="32"/>
          <w:szCs w:val="32"/>
        </w:rPr>
        <w:t>万元。因公出国（境）经费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FF0000"/>
          <w:kern w:val="0"/>
          <w:sz w:val="32"/>
          <w:szCs w:val="32"/>
          <w:lang w:val="en-US" w:eastAsia="zh-CN"/>
        </w:rPr>
        <w:t>2.5</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FF0000"/>
          <w:kern w:val="0"/>
          <w:sz w:val="32"/>
          <w:szCs w:val="32"/>
          <w:lang w:val="en-US" w:eastAsia="zh-CN"/>
        </w:rPr>
        <w:t>0.2</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 w:hAnsi="仿宋" w:eastAsia="仿宋" w:cs="宋体"/>
          <w:color w:val="FF0000"/>
          <w:kern w:val="0"/>
          <w:sz w:val="32"/>
          <w:szCs w:val="32"/>
          <w:lang w:eastAsia="zh-CN"/>
        </w:rPr>
        <w:t>党外代表人士、民族宗教</w:t>
      </w:r>
      <w:r>
        <w:rPr>
          <w:rFonts w:hint="eastAsia" w:ascii="仿宋" w:hAnsi="仿宋" w:eastAsia="仿宋" w:cs="宋体"/>
          <w:color w:val="000000"/>
          <w:kern w:val="0"/>
          <w:sz w:val="32"/>
          <w:szCs w:val="32"/>
        </w:rPr>
        <w:t>调研指导工作和</w:t>
      </w:r>
      <w:r>
        <w:rPr>
          <w:rFonts w:hint="eastAsia" w:ascii="仿宋" w:hAnsi="仿宋" w:eastAsia="仿宋" w:cs="宋体"/>
          <w:color w:val="FF0000"/>
          <w:kern w:val="0"/>
          <w:sz w:val="32"/>
          <w:szCs w:val="32"/>
          <w:lang w:eastAsia="zh-CN"/>
        </w:rPr>
        <w:t>上级统战部门、台胞、台商</w:t>
      </w:r>
      <w:r>
        <w:rPr>
          <w:rFonts w:hint="eastAsia" w:ascii="仿宋" w:hAnsi="仿宋" w:eastAsia="仿宋" w:cs="宋体"/>
          <w:color w:val="000000"/>
          <w:kern w:val="0"/>
          <w:sz w:val="32"/>
          <w:szCs w:val="32"/>
        </w:rPr>
        <w:t>来我单位交流学习等</w:t>
      </w:r>
      <w:r>
        <w:rPr>
          <w:rFonts w:hint="eastAsia" w:ascii="仿宋" w:hAnsi="仿宋" w:eastAsia="仿宋" w:cs="宋体"/>
          <w:color w:val="000000"/>
          <w:kern w:val="0"/>
          <w:sz w:val="32"/>
          <w:szCs w:val="32"/>
          <w:lang w:eastAsia="zh-CN"/>
        </w:rPr>
        <w:t>的接待</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公务用车购置及运行维护费较上年预算减少</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万元，下降</w:t>
      </w:r>
      <w:r>
        <w:rPr>
          <w:rFonts w:hint="eastAsia" w:ascii="仿宋" w:hAnsi="仿宋" w:eastAsia="仿宋" w:cs="宋体"/>
          <w:color w:val="FF0000"/>
          <w:kern w:val="0"/>
          <w:sz w:val="32"/>
          <w:szCs w:val="32"/>
          <w:lang w:val="en-US" w:eastAsia="zh-CN"/>
        </w:rPr>
        <w:t>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FF0000"/>
          <w:kern w:val="0"/>
          <w:sz w:val="32"/>
          <w:szCs w:val="32"/>
          <w:lang w:val="en-US" w:eastAsia="zh-CN"/>
        </w:rPr>
        <w:t>0</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FF0000"/>
          <w:sz w:val="32"/>
          <w:szCs w:val="32"/>
          <w:lang w:eastAsia="zh-CN"/>
        </w:rPr>
        <w:t>统战部</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FF0000"/>
          <w:kern w:val="0"/>
          <w:sz w:val="32"/>
          <w:szCs w:val="32"/>
          <w:lang w:val="en-US" w:eastAsia="zh-CN"/>
        </w:rPr>
        <w:t>26.92</w:t>
      </w:r>
      <w:r>
        <w:rPr>
          <w:rFonts w:hint="eastAsia" w:ascii="仿宋" w:hAnsi="仿宋" w:eastAsia="仿宋" w:cs="宋体"/>
          <w:color w:val="000000"/>
          <w:sz w:val="32"/>
          <w:szCs w:val="32"/>
          <w:shd w:val="clear" w:color="auto" w:fill="FFFFFF"/>
        </w:rPr>
        <w:t>万元。</w:t>
      </w:r>
    </w:p>
    <w:p>
      <w:pPr>
        <w:widowControl/>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安排政府采购预算</w:t>
      </w:r>
      <w:r>
        <w:rPr>
          <w:rFonts w:hint="eastAsia" w:ascii="仿宋" w:hAnsi="仿宋" w:eastAsia="仿宋" w:cs="宋体"/>
          <w:color w:val="FF0000"/>
          <w:kern w:val="0"/>
          <w:sz w:val="32"/>
          <w:szCs w:val="32"/>
          <w:lang w:val="en-US" w:eastAsia="zh-CN"/>
        </w:rPr>
        <w:t>2.1</w:t>
      </w:r>
      <w:r>
        <w:rPr>
          <w:rFonts w:hint="eastAsia" w:ascii="仿宋" w:hAnsi="仿宋" w:eastAsia="仿宋" w:cs="宋体"/>
          <w:color w:val="000000"/>
          <w:kern w:val="0"/>
          <w:sz w:val="32"/>
          <w:szCs w:val="32"/>
        </w:rPr>
        <w:t>万元，较上年预算</w:t>
      </w:r>
      <w:r>
        <w:rPr>
          <w:rFonts w:hint="eastAsia" w:ascii="仿宋" w:hAnsi="仿宋" w:eastAsia="仿宋" w:cs="宋体"/>
          <w:color w:val="FF0000"/>
          <w:kern w:val="0"/>
          <w:sz w:val="32"/>
          <w:szCs w:val="32"/>
        </w:rPr>
        <w:t>减少</w:t>
      </w:r>
      <w:r>
        <w:rPr>
          <w:rFonts w:hint="eastAsia" w:ascii="仿宋" w:hAnsi="仿宋" w:eastAsia="仿宋" w:cs="宋体"/>
          <w:color w:val="FF0000"/>
          <w:kern w:val="0"/>
          <w:sz w:val="32"/>
          <w:szCs w:val="32"/>
          <w:lang w:val="en-US" w:eastAsia="zh-CN"/>
        </w:rPr>
        <w:t>2.5</w:t>
      </w:r>
      <w:r>
        <w:rPr>
          <w:rFonts w:hint="eastAsia" w:ascii="仿宋" w:hAnsi="仿宋" w:eastAsia="仿宋" w:cs="宋体"/>
          <w:color w:val="000000"/>
          <w:kern w:val="0"/>
          <w:sz w:val="32"/>
          <w:szCs w:val="32"/>
        </w:rPr>
        <w:t>万元，主要用于</w:t>
      </w:r>
      <w:r>
        <w:rPr>
          <w:rFonts w:hint="eastAsia" w:ascii="仿宋" w:hAnsi="仿宋" w:eastAsia="仿宋" w:cs="宋体"/>
          <w:color w:val="FF0000"/>
          <w:kern w:val="0"/>
          <w:sz w:val="32"/>
          <w:szCs w:val="32"/>
          <w:lang w:eastAsia="zh-CN"/>
        </w:rPr>
        <w:t>购置电脑和打印机</w:t>
      </w:r>
      <w:r>
        <w:rPr>
          <w:rFonts w:hint="eastAsia" w:ascii="仿宋" w:hAnsi="仿宋" w:eastAsia="仿宋" w:cs="宋体"/>
          <w:color w:val="000000"/>
          <w:kern w:val="0"/>
          <w:sz w:val="32"/>
          <w:szCs w:val="32"/>
        </w:rPr>
        <w:t>等。</w:t>
      </w:r>
      <w:r>
        <w:rPr>
          <w:rFonts w:ascii="仿宋" w:hAnsi="宋体" w:eastAsia="仿宋" w:cs="宋体"/>
          <w:color w:val="000000"/>
          <w:kern w:val="0"/>
          <w:sz w:val="32"/>
          <w:szCs w:val="32"/>
        </w:rPr>
        <w:t> </w:t>
      </w:r>
    </w:p>
    <w:p>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eastAsia="zh-CN"/>
        </w:rPr>
        <w:t>统战部</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FF0000"/>
          <w:kern w:val="0"/>
          <w:sz w:val="32"/>
          <w:szCs w:val="32"/>
          <w:lang w:val="en-US" w:eastAsia="zh-CN"/>
        </w:rPr>
        <w:t>95.54</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FF0000"/>
          <w:kern w:val="0"/>
          <w:sz w:val="32"/>
          <w:szCs w:val="32"/>
        </w:rPr>
        <w:t>万</w:t>
      </w:r>
      <w:r>
        <w:rPr>
          <w:rFonts w:hint="eastAsia" w:ascii="仿宋" w:hAnsi="仿宋" w:eastAsia="仿宋" w:cs="宋体"/>
          <w:color w:val="000000"/>
          <w:kern w:val="0"/>
          <w:sz w:val="32"/>
          <w:szCs w:val="32"/>
        </w:rPr>
        <w:t>元。</w:t>
      </w:r>
      <w:r>
        <w:rPr>
          <w:rFonts w:ascii="仿宋" w:hAnsi="宋体" w:eastAsia="仿宋" w:cs="宋体"/>
          <w:color w:val="000000"/>
          <w:kern w:val="0"/>
          <w:sz w:val="32"/>
          <w:szCs w:val="32"/>
        </w:rPr>
        <w:t> </w:t>
      </w:r>
    </w:p>
    <w:p>
      <w:pPr>
        <w:widowControl/>
        <w:shd w:val="clear" w:color="auto" w:fill="FFFFFF"/>
        <w:ind w:firstLine="320" w:firstLineChars="1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pPr>
        <w:pStyle w:val="8"/>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FF0000"/>
          <w:kern w:val="0"/>
          <w:lang w:val="en-US" w:eastAsia="zh-CN"/>
        </w:rPr>
        <w:t>8.4</w:t>
      </w:r>
      <w:r>
        <w:rPr>
          <w:rFonts w:hint="eastAsia" w:ascii="仿宋" w:hAnsi="仿宋" w:eastAsia="仿宋" w:cs="宋体"/>
          <w:color w:val="000000"/>
          <w:kern w:val="0"/>
        </w:rPr>
        <w:t>万元，其中：共有车辆</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台（套）。</w:t>
      </w:r>
    </w:p>
    <w:p>
      <w:pPr>
        <w:pStyle w:val="8"/>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FF0000"/>
          <w:kern w:val="0"/>
          <w:lang w:val="en-US" w:eastAsia="zh-CN"/>
        </w:rPr>
        <w:t>0</w:t>
      </w:r>
      <w:r>
        <w:rPr>
          <w:rFonts w:hint="eastAsia" w:ascii="仿宋" w:hAnsi="仿宋" w:eastAsia="仿宋" w:cs="宋体"/>
          <w:color w:val="000000"/>
          <w:kern w:val="0"/>
        </w:rPr>
        <w:t>万元。（或者2021年部门预算</w:t>
      </w:r>
      <w:r>
        <w:rPr>
          <w:rFonts w:hint="eastAsia" w:ascii="仿宋" w:hAnsi="仿宋" w:eastAsia="仿宋" w:cs="宋体"/>
          <w:color w:val="FF0000"/>
          <w:kern w:val="0"/>
        </w:rPr>
        <w:t>未</w:t>
      </w:r>
      <w:r>
        <w:rPr>
          <w:rFonts w:hint="eastAsia" w:ascii="仿宋" w:hAnsi="仿宋" w:eastAsia="仿宋" w:cs="宋体"/>
          <w:color w:val="000000"/>
          <w:kern w:val="0"/>
        </w:rPr>
        <w:t>安排购置车辆及单位价值200万元以上大型设备。）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ilvl w:val="0"/>
          <w:numId w:val="0"/>
        </w:numPr>
        <w:shd w:val="clear" w:color="auto" w:fill="FFFFFF"/>
        <w:jc w:val="left"/>
        <w:rPr>
          <w:rFonts w:hint="default"/>
          <w:b/>
          <w:bCs/>
          <w:sz w:val="52"/>
          <w:szCs w:val="52"/>
          <w:lang w:val="en-US" w:eastAsia="zh-CN"/>
        </w:rPr>
      </w:pPr>
    </w:p>
    <w:p>
      <w:pPr>
        <w:widowControl/>
        <w:numPr>
          <w:ilvl w:val="0"/>
          <w:numId w:val="4"/>
        </w:numPr>
        <w:shd w:val="clear" w:color="auto" w:fill="FFFFFF"/>
        <w:ind w:left="960" w:leftChars="0"/>
        <w:jc w:val="left"/>
        <w:rPr>
          <w:rFonts w:hint="eastAsia"/>
          <w:b/>
          <w:bCs/>
          <w:sz w:val="52"/>
          <w:szCs w:val="52"/>
          <w:lang w:val="en-US" w:eastAsia="zh-CN"/>
        </w:rPr>
      </w:pPr>
      <w:r>
        <w:rPr>
          <w:rFonts w:hint="eastAsia"/>
          <w:b/>
          <w:bCs/>
          <w:sz w:val="52"/>
          <w:szCs w:val="52"/>
          <w:lang w:val="en-US" w:eastAsia="zh-CN"/>
        </w:rPr>
        <w:t>中共峨边彝族自治县委统战部</w:t>
      </w:r>
      <w:r>
        <w:rPr>
          <w:rFonts w:hint="default"/>
          <w:b/>
          <w:bCs/>
          <w:sz w:val="52"/>
          <w:szCs w:val="52"/>
          <w:lang w:val="en-US" w:eastAsia="zh-CN"/>
        </w:rPr>
        <w:t>2022 年部门预算</w:t>
      </w:r>
      <w:r>
        <w:rPr>
          <w:rFonts w:hint="eastAsia"/>
          <w:b/>
          <w:bCs/>
          <w:sz w:val="52"/>
          <w:szCs w:val="52"/>
          <w:lang w:val="en-US" w:eastAsia="zh-CN"/>
        </w:rPr>
        <w:t>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5"/>
        </w:numPr>
        <w:shd w:val="clear" w:color="auto" w:fill="FFFFFF"/>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.社会保障和就业（类）行政</w:t>
      </w:r>
      <w:r>
        <w:rPr>
          <w:rFonts w:hint="eastAsia" w:ascii="仿宋" w:hAnsi="仿宋" w:eastAsia="仿宋" w:cs="宋体"/>
          <w:color w:val="000000"/>
          <w:kern w:val="0"/>
          <w:sz w:val="32"/>
          <w:szCs w:val="32"/>
          <w:lang w:eastAsia="zh-CN"/>
        </w:rPr>
        <w:t>事业单位养老支出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.社会保障和就业（类）行政</w:t>
      </w:r>
      <w:r>
        <w:rPr>
          <w:rFonts w:hint="eastAsia" w:ascii="仿宋" w:hAnsi="仿宋" w:eastAsia="仿宋" w:cs="宋体"/>
          <w:color w:val="000000"/>
          <w:kern w:val="0"/>
          <w:sz w:val="32"/>
          <w:szCs w:val="32"/>
          <w:lang w:eastAsia="zh-CN"/>
        </w:rPr>
        <w:t>事业单位养老支出</w:t>
      </w:r>
      <w:r>
        <w:rPr>
          <w:rFonts w:hint="eastAsia" w:ascii="仿宋" w:hAnsi="仿宋" w:eastAsia="仿宋" w:cs="宋体"/>
          <w:color w:val="000000"/>
          <w:kern w:val="0"/>
          <w:sz w:val="32"/>
          <w:szCs w:val="32"/>
        </w:rPr>
        <w:t>（款）机关事业单位职业年金缴费支出（项）：指部门实施养老保险制度由单位缴纳的职业年金的支出。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eastAsia="zh-CN"/>
        </w:rPr>
        <w:t>其他社会保障和就业支出</w:t>
      </w:r>
      <w:r>
        <w:rPr>
          <w:rFonts w:hint="eastAsia" w:ascii="仿宋" w:hAnsi="仿宋" w:eastAsia="仿宋" w:cs="宋体"/>
          <w:color w:val="000000"/>
          <w:kern w:val="0"/>
          <w:sz w:val="32"/>
          <w:szCs w:val="32"/>
        </w:rPr>
        <w:t>（款）其他</w:t>
      </w:r>
      <w:r>
        <w:rPr>
          <w:rFonts w:hint="eastAsia" w:ascii="仿宋" w:hAnsi="仿宋" w:eastAsia="仿宋" w:cs="宋体"/>
          <w:color w:val="000000"/>
          <w:kern w:val="0"/>
          <w:sz w:val="32"/>
          <w:szCs w:val="32"/>
          <w:lang w:eastAsia="zh-CN"/>
        </w:rPr>
        <w:t>社会保障和就业支出</w:t>
      </w:r>
      <w:r>
        <w:rPr>
          <w:rFonts w:hint="eastAsia" w:ascii="仿宋" w:hAnsi="仿宋" w:eastAsia="仿宋" w:cs="宋体"/>
          <w:color w:val="000000"/>
          <w:kern w:val="0"/>
          <w:sz w:val="32"/>
          <w:szCs w:val="32"/>
        </w:rPr>
        <w:t>（项）：指除上述项目</w:t>
      </w:r>
      <w:r>
        <w:rPr>
          <w:rFonts w:hint="eastAsia" w:ascii="仿宋" w:hAnsi="仿宋" w:eastAsia="仿宋" w:cs="宋体"/>
          <w:color w:val="000000"/>
          <w:kern w:val="0"/>
          <w:sz w:val="32"/>
          <w:szCs w:val="32"/>
          <w:lang w:eastAsia="zh-CN"/>
        </w:rPr>
        <w:t>以</w:t>
      </w:r>
      <w:r>
        <w:rPr>
          <w:rFonts w:hint="eastAsia" w:ascii="仿宋" w:hAnsi="仿宋" w:eastAsia="仿宋" w:cs="宋体"/>
          <w:color w:val="000000"/>
          <w:kern w:val="0"/>
          <w:sz w:val="32"/>
          <w:szCs w:val="32"/>
        </w:rPr>
        <w:t>外</w:t>
      </w:r>
      <w:r>
        <w:rPr>
          <w:rFonts w:hint="eastAsia" w:ascii="仿宋" w:hAnsi="仿宋" w:eastAsia="仿宋" w:cs="宋体"/>
          <w:color w:val="000000"/>
          <w:kern w:val="0"/>
          <w:sz w:val="32"/>
          <w:szCs w:val="32"/>
          <w:lang w:eastAsia="zh-CN"/>
        </w:rPr>
        <w:t>用于其他社会保障和就业方面支出。</w:t>
      </w:r>
      <w:r>
        <w:rPr>
          <w:rFonts w:hint="eastAsia" w:ascii="仿宋" w:hAnsi="仿宋" w:eastAsia="仿宋" w:cs="宋体"/>
          <w:color w:val="000000"/>
          <w:kern w:val="0"/>
          <w:sz w:val="32"/>
          <w:szCs w:val="32"/>
        </w:rPr>
        <w:t>　　</w:t>
      </w:r>
    </w:p>
    <w:p>
      <w:pPr>
        <w:widowControl/>
        <w:numPr>
          <w:ilvl w:val="0"/>
          <w:numId w:val="0"/>
        </w:numPr>
        <w:shd w:val="clear" w:color="auto" w:fill="FFFFFF"/>
        <w:ind w:firstLine="640" w:firstLineChars="20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卫生健康支出</w:t>
      </w:r>
      <w:r>
        <w:rPr>
          <w:rFonts w:hint="eastAsia" w:ascii="仿宋" w:hAnsi="仿宋" w:eastAsia="仿宋" w:cs="宋体"/>
          <w:color w:val="000000"/>
          <w:kern w:val="0"/>
          <w:sz w:val="32"/>
          <w:szCs w:val="32"/>
        </w:rPr>
        <w:t>（类）行政事业单位</w:t>
      </w:r>
      <w:r>
        <w:rPr>
          <w:rFonts w:hint="eastAsia" w:ascii="仿宋" w:hAnsi="仿宋" w:eastAsia="仿宋" w:cs="宋体"/>
          <w:color w:val="000000"/>
          <w:kern w:val="0"/>
          <w:sz w:val="32"/>
          <w:szCs w:val="32"/>
          <w:lang w:eastAsia="zh-CN"/>
        </w:rPr>
        <w:t>医疗</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eastAsia="zh-CN"/>
        </w:rPr>
        <w:t>行政单位医疗</w:t>
      </w:r>
      <w:r>
        <w:rPr>
          <w:rFonts w:hint="eastAsia" w:ascii="仿宋" w:hAnsi="仿宋" w:eastAsia="仿宋" w:cs="宋体"/>
          <w:color w:val="000000"/>
          <w:kern w:val="0"/>
          <w:sz w:val="32"/>
          <w:szCs w:val="32"/>
        </w:rPr>
        <w:t>（项）：指</w:t>
      </w:r>
      <w:r>
        <w:rPr>
          <w:rFonts w:hint="eastAsia" w:ascii="仿宋" w:hAnsi="仿宋" w:eastAsia="仿宋" w:cs="宋体"/>
          <w:color w:val="000000"/>
          <w:kern w:val="0"/>
          <w:sz w:val="32"/>
          <w:szCs w:val="32"/>
          <w:lang w:eastAsia="zh-CN"/>
        </w:rPr>
        <w:t>行政</w:t>
      </w:r>
      <w:r>
        <w:rPr>
          <w:rFonts w:hint="eastAsia" w:ascii="仿宋" w:hAnsi="仿宋" w:eastAsia="仿宋" w:cs="宋体"/>
          <w:color w:val="000000"/>
          <w:kern w:val="0"/>
          <w:sz w:val="32"/>
          <w:szCs w:val="32"/>
        </w:rPr>
        <w:t>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.基本支出：指为保证机构正常运转，完成日常工作任</w:t>
      </w:r>
      <w:bookmarkStart w:id="0" w:name="_GoBack"/>
      <w:bookmarkEnd w:id="0"/>
      <w:r>
        <w:rPr>
          <w:rFonts w:hint="eastAsia" w:ascii="仿宋" w:hAnsi="仿宋" w:eastAsia="仿宋" w:cs="宋体"/>
          <w:color w:val="000000"/>
          <w:kern w:val="0"/>
          <w:sz w:val="32"/>
          <w:szCs w:val="32"/>
        </w:rPr>
        <w:t>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213" w:right="1236" w:bottom="1213" w:left="1236"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简婷" w:date="2022-04-22T09:56:47Z" w:initials="简">
    <w:p w14:paraId="49E1410E">
      <w:pPr>
        <w:pStyle w:val="3"/>
        <w:rPr>
          <w:rFonts w:hint="eastAsia" w:eastAsiaTheme="minorEastAsia"/>
          <w:lang w:eastAsia="zh-CN"/>
        </w:rPr>
      </w:pPr>
      <w:r>
        <w:rPr>
          <w:rFonts w:hint="eastAsia"/>
          <w:lang w:eastAsia="zh-CN"/>
        </w:rPr>
        <w:t>附表插入格式不对，请调整（复制</w:t>
      </w:r>
      <w:r>
        <w:rPr>
          <w:rFonts w:hint="eastAsia"/>
          <w:lang w:val="en-US" w:eastAsia="zh-CN"/>
        </w:rPr>
        <w:t>-选择性粘贴-元文件-文字环绕进行调整</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E141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1DC3D8A5"/>
    <w:multiLevelType w:val="singleLevel"/>
    <w:tmpl w:val="1DC3D8A5"/>
    <w:lvl w:ilvl="0" w:tentative="0">
      <w:start w:val="1"/>
      <w:numFmt w:val="chineseCounting"/>
      <w:suff w:val="nothing"/>
      <w:lvlText w:val="%1、"/>
      <w:lvlJc w:val="left"/>
      <w:rPr>
        <w:rFonts w:hint="eastAsia"/>
      </w:rPr>
    </w:lvl>
  </w:abstractNum>
  <w:abstractNum w:abstractNumId="2">
    <w:nsid w:val="2CC7D209"/>
    <w:multiLevelType w:val="singleLevel"/>
    <w:tmpl w:val="2CC7D209"/>
    <w:lvl w:ilvl="0" w:tentative="0">
      <w:start w:val="1"/>
      <w:numFmt w:val="decimal"/>
      <w:lvlText w:val="%1."/>
      <w:lvlJc w:val="left"/>
      <w:pPr>
        <w:tabs>
          <w:tab w:val="left" w:pos="312"/>
        </w:tabs>
      </w:pPr>
    </w:lvl>
  </w:abstractNum>
  <w:abstractNum w:abstractNumId="3">
    <w:nsid w:val="341553A9"/>
    <w:multiLevelType w:val="singleLevel"/>
    <w:tmpl w:val="341553A9"/>
    <w:lvl w:ilvl="0" w:tentative="0">
      <w:start w:val="4"/>
      <w:numFmt w:val="chineseCounting"/>
      <w:suff w:val="space"/>
      <w:lvlText w:val="第%1部分"/>
      <w:lvlJc w:val="left"/>
      <w:rPr>
        <w:rFonts w:hint="eastAsia"/>
      </w:rPr>
    </w:lvl>
  </w:abstractNum>
  <w:abstractNum w:abstractNumId="4">
    <w:nsid w:val="6747F233"/>
    <w:multiLevelType w:val="singleLevel"/>
    <w:tmpl w:val="6747F233"/>
    <w:lvl w:ilvl="0" w:tentative="0">
      <w:start w:val="13"/>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简婷">
    <w15:presenceInfo w15:providerId="None" w15:userId="简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77C0"/>
    <w:rsid w:val="02AD31C8"/>
    <w:rsid w:val="03DC7714"/>
    <w:rsid w:val="05F574C0"/>
    <w:rsid w:val="0D787EE3"/>
    <w:rsid w:val="10BF78C4"/>
    <w:rsid w:val="11902D8C"/>
    <w:rsid w:val="11D62ADE"/>
    <w:rsid w:val="17D141F9"/>
    <w:rsid w:val="194846D1"/>
    <w:rsid w:val="1B506B68"/>
    <w:rsid w:val="1FC2772C"/>
    <w:rsid w:val="20F75710"/>
    <w:rsid w:val="218A46E9"/>
    <w:rsid w:val="2E75471A"/>
    <w:rsid w:val="2EC061B9"/>
    <w:rsid w:val="325714CC"/>
    <w:rsid w:val="3BE96992"/>
    <w:rsid w:val="3DC322FD"/>
    <w:rsid w:val="3E1C65FB"/>
    <w:rsid w:val="3EE51035"/>
    <w:rsid w:val="3F77773B"/>
    <w:rsid w:val="40275488"/>
    <w:rsid w:val="415F3F07"/>
    <w:rsid w:val="4458036C"/>
    <w:rsid w:val="4FD6577E"/>
    <w:rsid w:val="59954292"/>
    <w:rsid w:val="663E2774"/>
    <w:rsid w:val="683477C0"/>
    <w:rsid w:val="759E6F69"/>
    <w:rsid w:val="764C14E7"/>
    <w:rsid w:val="769D4432"/>
    <w:rsid w:val="76EC7118"/>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9">
    <w:name w:val="font41"/>
    <w:basedOn w:val="7"/>
    <w:qFormat/>
    <w:uiPriority w:val="0"/>
    <w:rPr>
      <w:rFonts w:hint="eastAsia" w:ascii="宋体" w:hAnsi="宋体" w:eastAsia="宋体" w:cs="宋体"/>
      <w:color w:val="000000"/>
      <w:sz w:val="22"/>
      <w:szCs w:val="22"/>
      <w:u w:val="none"/>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eastAsia" w:ascii="宋体" w:hAnsi="宋体" w:eastAsia="宋体" w:cs="宋体"/>
      <w:color w:val="000000"/>
      <w:sz w:val="22"/>
      <w:szCs w:val="22"/>
      <w:u w:val="none"/>
    </w:rPr>
  </w:style>
  <w:style w:type="character" w:customStyle="1" w:styleId="12">
    <w:name w:val="font31"/>
    <w:basedOn w:val="7"/>
    <w:qFormat/>
    <w:uiPriority w:val="0"/>
    <w:rPr>
      <w:rFonts w:hint="eastAsia" w:ascii="宋体" w:hAnsi="宋体" w:eastAsia="宋体" w:cs="宋体"/>
      <w:color w:val="000000"/>
      <w:sz w:val="22"/>
      <w:szCs w:val="22"/>
      <w:u w:val="none"/>
    </w:rPr>
  </w:style>
  <w:style w:type="character" w:customStyle="1" w:styleId="13">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5783</Words>
  <Characters>6646</Characters>
  <Lines>0</Lines>
  <Paragraphs>0</Paragraphs>
  <TotalTime>156</TotalTime>
  <ScaleCrop>false</ScaleCrop>
  <LinksUpToDate>false</LinksUpToDate>
  <CharactersWithSpaces>6948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幸福回味</cp:lastModifiedBy>
  <cp:lastPrinted>2022-04-25T09:14:25Z</cp:lastPrinted>
  <dcterms:modified xsi:type="dcterms:W3CDTF">2022-04-25T09:16:28Z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923474524B304EFD8D07BFCAA65B7432</vt:lpwstr>
  </property>
</Properties>
</file>