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06F49">
      <w:pPr>
        <w:spacing w:line="600" w:lineRule="exact"/>
        <w:jc w:val="center"/>
        <w:outlineLvl w:val="9"/>
        <w:rPr>
          <w:rFonts w:ascii="方正小标宋简体" w:hAnsi="宋体" w:eastAsia="方正小标宋简体"/>
          <w:color w:val="auto"/>
          <w:sz w:val="72"/>
          <w:szCs w:val="72"/>
          <w:highlight w:val="none"/>
        </w:rPr>
      </w:pPr>
      <w:bookmarkStart w:id="0" w:name="_Toc15377425"/>
      <w:bookmarkStart w:id="1" w:name="_Toc15377193"/>
      <w:bookmarkStart w:id="2" w:name="_Toc15396597"/>
      <w:bookmarkStart w:id="3" w:name="_Toc15378441"/>
      <w:bookmarkStart w:id="4" w:name="_Toc15396475"/>
      <w:bookmarkStart w:id="5" w:name="_Toc15306267"/>
    </w:p>
    <w:p w14:paraId="76E52763">
      <w:pPr>
        <w:spacing w:line="600" w:lineRule="exact"/>
        <w:jc w:val="center"/>
        <w:outlineLvl w:val="9"/>
        <w:rPr>
          <w:rFonts w:ascii="方正小标宋简体" w:hAnsi="宋体" w:eastAsia="方正小标宋简体"/>
          <w:color w:val="auto"/>
          <w:sz w:val="72"/>
          <w:szCs w:val="72"/>
          <w:highlight w:val="none"/>
        </w:rPr>
      </w:pPr>
    </w:p>
    <w:p w14:paraId="42E4C2DD">
      <w:pPr>
        <w:spacing w:line="600" w:lineRule="exact"/>
        <w:jc w:val="center"/>
        <w:outlineLvl w:val="9"/>
        <w:rPr>
          <w:rFonts w:ascii="方正小标宋简体" w:hAnsi="宋体" w:eastAsia="方正小标宋简体"/>
          <w:color w:val="auto"/>
          <w:sz w:val="72"/>
          <w:szCs w:val="72"/>
          <w:highlight w:val="none"/>
        </w:rPr>
      </w:pPr>
    </w:p>
    <w:bookmarkEnd w:id="0"/>
    <w:bookmarkEnd w:id="1"/>
    <w:bookmarkEnd w:id="2"/>
    <w:bookmarkEnd w:id="3"/>
    <w:bookmarkEnd w:id="4"/>
    <w:p w14:paraId="1A8AF8FB">
      <w:pPr>
        <w:keepNext w:val="0"/>
        <w:keepLines w:val="0"/>
        <w:pageBreakBefore w:val="0"/>
        <w:widowControl w:val="0"/>
        <w:kinsoku/>
        <w:wordWrap/>
        <w:overflowPunct/>
        <w:topLinePunct w:val="0"/>
        <w:autoSpaceDE/>
        <w:autoSpaceDN/>
        <w:bidi w:val="0"/>
        <w:adjustRightInd w:val="0"/>
        <w:snapToGrid w:val="0"/>
        <w:spacing w:line="1000" w:lineRule="exact"/>
        <w:jc w:val="center"/>
        <w:textAlignment w:val="auto"/>
        <w:outlineLvl w:val="0"/>
        <w:rPr>
          <w:rFonts w:hint="eastAsia" w:ascii="方正小标宋简体" w:hAnsi="方正小标宋简体" w:eastAsia="方正小标宋简体" w:cs="方正小标宋简体"/>
          <w:color w:val="auto"/>
          <w:sz w:val="72"/>
          <w:szCs w:val="72"/>
          <w:highlight w:val="none"/>
        </w:rPr>
      </w:pPr>
    </w:p>
    <w:p w14:paraId="4AB356C5">
      <w:pPr>
        <w:pStyle w:val="2"/>
        <w:rPr>
          <w:rFonts w:hint="eastAsia" w:ascii="方正小标宋简体" w:hAnsi="方正小标宋简体" w:eastAsia="方正小标宋简体" w:cs="方正小标宋简体"/>
          <w:color w:val="auto"/>
          <w:sz w:val="72"/>
          <w:szCs w:val="72"/>
          <w:highlight w:val="none"/>
        </w:rPr>
      </w:pPr>
    </w:p>
    <w:p w14:paraId="1D5240B0">
      <w:pPr>
        <w:pStyle w:val="3"/>
        <w:ind w:left="0" w:leftChars="0" w:firstLine="0" w:firstLineChars="0"/>
        <w:rPr>
          <w:rFonts w:hint="eastAsia" w:ascii="方正小标宋简体" w:hAnsi="方正小标宋简体" w:eastAsia="方正小标宋简体" w:cs="方正小标宋简体"/>
          <w:color w:val="auto"/>
          <w:sz w:val="72"/>
          <w:szCs w:val="72"/>
          <w:highlight w:val="none"/>
        </w:rPr>
      </w:pPr>
    </w:p>
    <w:bookmarkEnd w:id="5"/>
    <w:p w14:paraId="2FC3A7F4">
      <w:pPr>
        <w:keepNext w:val="0"/>
        <w:keepLines w:val="0"/>
        <w:pageBreakBefore w:val="0"/>
        <w:widowControl w:val="0"/>
        <w:kinsoku/>
        <w:wordWrap/>
        <w:overflowPunct/>
        <w:topLinePunct w:val="0"/>
        <w:autoSpaceDE/>
        <w:autoSpaceDN/>
        <w:bidi w:val="0"/>
        <w:adjustRightInd w:val="0"/>
        <w:snapToGrid w:val="0"/>
        <w:spacing w:line="1000" w:lineRule="exact"/>
        <w:jc w:val="center"/>
        <w:textAlignment w:val="auto"/>
        <w:outlineLvl w:val="0"/>
        <w:rPr>
          <w:rFonts w:hint="eastAsia" w:ascii="方正小标宋简体" w:hAnsi="方正小标宋简体" w:eastAsia="方正小标宋简体" w:cs="方正小标宋简体"/>
          <w:color w:val="auto"/>
          <w:sz w:val="52"/>
          <w:szCs w:val="52"/>
          <w:highlight w:val="none"/>
        </w:rPr>
      </w:pPr>
      <w:bookmarkStart w:id="6" w:name="_Toc15378442"/>
      <w:bookmarkStart w:id="7" w:name="_Toc15396598"/>
      <w:bookmarkStart w:id="8" w:name="_Toc15377426"/>
      <w:bookmarkStart w:id="9" w:name="_Toc15306268"/>
      <w:bookmarkStart w:id="10" w:name="_Toc15396476"/>
      <w:bookmarkStart w:id="11" w:name="_Toc15377194"/>
      <w:bookmarkStart w:id="12" w:name="_Toc32424"/>
      <w:r>
        <w:rPr>
          <w:rFonts w:hint="eastAsia" w:ascii="方正小标宋简体" w:hAnsi="方正小标宋简体" w:eastAsia="方正小标宋简体" w:cs="方正小标宋简体"/>
          <w:color w:val="auto"/>
          <w:sz w:val="52"/>
          <w:szCs w:val="52"/>
          <w:highlight w:val="none"/>
          <w:lang w:eastAsia="zh-CN"/>
        </w:rPr>
        <w:t>峨边彝族自治县退役军人事务局</w:t>
      </w:r>
      <w:bookmarkStart w:id="13" w:name="_Toc11386"/>
      <w:r>
        <w:rPr>
          <w:rFonts w:hint="eastAsia" w:ascii="方正小标宋简体" w:hAnsi="方正小标宋简体" w:eastAsia="方正小标宋简体" w:cs="方正小标宋简体"/>
          <w:color w:val="auto"/>
          <w:sz w:val="52"/>
          <w:szCs w:val="52"/>
          <w:highlight w:val="none"/>
        </w:rPr>
        <w:t>20</w:t>
      </w:r>
      <w:r>
        <w:rPr>
          <w:rFonts w:hint="eastAsia" w:ascii="方正小标宋简体" w:hAnsi="方正小标宋简体" w:eastAsia="方正小标宋简体" w:cs="方正小标宋简体"/>
          <w:color w:val="auto"/>
          <w:sz w:val="52"/>
          <w:szCs w:val="52"/>
          <w:highlight w:val="none"/>
          <w:lang w:val="en-US" w:eastAsia="zh-CN"/>
        </w:rPr>
        <w:t>24</w:t>
      </w:r>
      <w:r>
        <w:rPr>
          <w:rFonts w:hint="eastAsia" w:ascii="方正小标宋简体" w:hAnsi="方正小标宋简体" w:eastAsia="方正小标宋简体" w:cs="方正小标宋简体"/>
          <w:color w:val="auto"/>
          <w:sz w:val="52"/>
          <w:szCs w:val="52"/>
          <w:highlight w:val="none"/>
        </w:rPr>
        <w:t>年度</w:t>
      </w:r>
      <w:bookmarkEnd w:id="13"/>
      <w:r>
        <w:rPr>
          <w:rFonts w:hint="eastAsia" w:ascii="方正小标宋简体" w:hAnsi="方正小标宋简体" w:eastAsia="方正小标宋简体" w:cs="方正小标宋简体"/>
          <w:color w:val="auto"/>
          <w:sz w:val="52"/>
          <w:szCs w:val="52"/>
          <w:highlight w:val="none"/>
          <w:lang w:eastAsia="zh-CN"/>
        </w:rPr>
        <w:t>单位</w:t>
      </w:r>
      <w:r>
        <w:rPr>
          <w:rFonts w:hint="eastAsia" w:ascii="方正小标宋简体" w:hAnsi="方正小标宋简体" w:eastAsia="方正小标宋简体" w:cs="方正小标宋简体"/>
          <w:color w:val="auto"/>
          <w:sz w:val="52"/>
          <w:szCs w:val="52"/>
          <w:highlight w:val="none"/>
        </w:rPr>
        <w:t>决算</w:t>
      </w:r>
      <w:bookmarkEnd w:id="6"/>
      <w:bookmarkEnd w:id="7"/>
      <w:bookmarkEnd w:id="8"/>
      <w:bookmarkEnd w:id="9"/>
      <w:bookmarkEnd w:id="10"/>
      <w:bookmarkEnd w:id="11"/>
      <w:bookmarkEnd w:id="12"/>
    </w:p>
    <w:p w14:paraId="6D3EE928">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561EA764">
      <w:pPr>
        <w:widowControl/>
        <w:jc w:val="center"/>
        <w:rPr>
          <w:rFonts w:ascii="黑体" w:hAnsi="黑体" w:eastAsia="黑体" w:cstheme="minorBidi"/>
          <w:color w:val="auto"/>
          <w:sz w:val="28"/>
          <w:szCs w:val="28"/>
          <w:highlight w:val="none"/>
        </w:rPr>
      </w:pPr>
    </w:p>
    <w:p w14:paraId="1387BA67">
      <w:pPr>
        <w:pStyle w:val="14"/>
        <w:rPr>
          <w:color w:val="auto"/>
          <w:highlight w:val="none"/>
        </w:rPr>
      </w:pPr>
      <w:r>
        <w:rPr>
          <w:rFonts w:hint="eastAsia"/>
          <w:color w:val="auto"/>
          <w:highlight w:val="none"/>
        </w:rPr>
        <w:t>公开时间：20</w:t>
      </w:r>
      <w:r>
        <w:rPr>
          <w:rFonts w:hint="eastAsia"/>
          <w:color w:val="auto"/>
          <w:highlight w:val="none"/>
          <w:lang w:val="en-US" w:eastAsia="zh-CN"/>
        </w:rPr>
        <w:t>25</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 xml:space="preserve"> 1 </w:t>
      </w:r>
      <w:r>
        <w:rPr>
          <w:rFonts w:hint="eastAsia"/>
          <w:color w:val="auto"/>
          <w:highlight w:val="none"/>
        </w:rPr>
        <w:t>日</w:t>
      </w:r>
    </w:p>
    <w:p w14:paraId="6D64C6E6">
      <w:pPr>
        <w:rPr>
          <w:color w:val="auto"/>
          <w:highlight w:val="none"/>
        </w:rPr>
      </w:pPr>
    </w:p>
    <w:sdt>
      <w:sdtPr>
        <w:rPr>
          <w:rFonts w:ascii="宋体" w:hAnsi="宋体" w:eastAsia="宋体" w:cs="Times New Roman"/>
          <w:kern w:val="2"/>
          <w:sz w:val="21"/>
          <w:szCs w:val="24"/>
          <w:lang w:val="en-US" w:eastAsia="zh-CN" w:bidi="ar-SA"/>
        </w:rPr>
        <w:id w:val="147476679"/>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4D38AFAA">
          <w:pPr>
            <w:spacing w:before="0" w:beforeLines="0" w:after="0" w:afterLines="0" w:line="240" w:lineRule="auto"/>
            <w:ind w:left="0" w:leftChars="0" w:right="0" w:rightChars="0" w:firstLine="0" w:firstLineChars="0"/>
            <w:jc w:val="center"/>
          </w:pPr>
          <w:bookmarkStart w:id="14" w:name="_Toc15396599"/>
          <w:bookmarkStart w:id="15" w:name="_Toc15377196"/>
        </w:p>
        <w:p w14:paraId="272C118F">
          <w:pPr>
            <w:pStyle w:val="37"/>
            <w:tabs>
              <w:tab w:val="right" w:leader="dot" w:pos="8306"/>
            </w:tabs>
            <w:rPr>
              <w:b/>
            </w:rPr>
          </w:pPr>
          <w:r>
            <w:fldChar w:fldCharType="begin"/>
          </w:r>
          <w:r>
            <w:instrText xml:space="preserve">TOC \o "1-2" \h \u </w:instrText>
          </w:r>
          <w:r>
            <w:fldChar w:fldCharType="separate"/>
          </w:r>
        </w:p>
        <w:p w14:paraId="256ED093">
          <w:pPr>
            <w:pStyle w:val="37"/>
            <w:tabs>
              <w:tab w:val="right" w:leader="dot" w:pos="8306"/>
            </w:tabs>
            <w:rPr>
              <w:b/>
            </w:rPr>
          </w:pPr>
          <w:r>
            <w:rPr>
              <w:b/>
            </w:rPr>
            <w:fldChar w:fldCharType="begin"/>
          </w:r>
          <w:r>
            <w:rPr>
              <w:b/>
            </w:rPr>
            <w:instrText xml:space="preserve"> HYPERLINK \l _Toc872 </w:instrText>
          </w:r>
          <w:r>
            <w:rPr>
              <w:b/>
            </w:rPr>
            <w:fldChar w:fldCharType="separate"/>
          </w:r>
          <w:r>
            <w:rPr>
              <w:rFonts w:hint="eastAsia"/>
              <w:b/>
            </w:rPr>
            <w:t xml:space="preserve">第一部分 </w:t>
          </w:r>
          <w:r>
            <w:rPr>
              <w:rFonts w:hint="eastAsia"/>
              <w:b/>
              <w:lang w:eastAsia="zh-CN"/>
            </w:rPr>
            <w:t>单位</w:t>
          </w:r>
          <w:r>
            <w:rPr>
              <w:rFonts w:hint="eastAsia"/>
              <w:b/>
            </w:rPr>
            <w:t>概况</w:t>
          </w:r>
          <w:r>
            <w:rPr>
              <w:b/>
            </w:rPr>
            <w:tab/>
          </w:r>
          <w:r>
            <w:rPr>
              <w:b/>
            </w:rPr>
            <w:fldChar w:fldCharType="begin"/>
          </w:r>
          <w:r>
            <w:rPr>
              <w:b/>
            </w:rPr>
            <w:instrText xml:space="preserve"> PAGEREF _Toc872 \h </w:instrText>
          </w:r>
          <w:r>
            <w:rPr>
              <w:b/>
            </w:rPr>
            <w:fldChar w:fldCharType="separate"/>
          </w:r>
          <w:r>
            <w:rPr>
              <w:b/>
            </w:rPr>
            <w:t>3</w:t>
          </w:r>
          <w:r>
            <w:rPr>
              <w:b/>
            </w:rPr>
            <w:fldChar w:fldCharType="end"/>
          </w:r>
          <w:r>
            <w:rPr>
              <w:b/>
            </w:rPr>
            <w:fldChar w:fldCharType="end"/>
          </w:r>
        </w:p>
        <w:p w14:paraId="2C977988">
          <w:pPr>
            <w:pStyle w:val="38"/>
            <w:tabs>
              <w:tab w:val="right" w:leader="dot" w:pos="8306"/>
            </w:tabs>
          </w:pPr>
          <w:r>
            <w:fldChar w:fldCharType="begin"/>
          </w:r>
          <w:r>
            <w:instrText xml:space="preserve"> HYPERLINK \l _Toc15098 </w:instrText>
          </w:r>
          <w:r>
            <w:fldChar w:fldCharType="separate"/>
          </w:r>
          <w:r>
            <w:rPr>
              <w:rFonts w:hint="eastAsia"/>
            </w:rPr>
            <w:t>一、</w:t>
          </w:r>
          <w:r>
            <w:rPr>
              <w:rFonts w:hint="eastAsia"/>
              <w:lang w:val="en-US" w:eastAsia="zh-CN"/>
            </w:rPr>
            <w:t>单位职责</w:t>
          </w:r>
          <w:r>
            <w:tab/>
          </w:r>
          <w:r>
            <w:fldChar w:fldCharType="begin"/>
          </w:r>
          <w:r>
            <w:instrText xml:space="preserve"> PAGEREF _Toc15098 \h </w:instrText>
          </w:r>
          <w:r>
            <w:fldChar w:fldCharType="separate"/>
          </w:r>
          <w:r>
            <w:t>3</w:t>
          </w:r>
          <w:r>
            <w:fldChar w:fldCharType="end"/>
          </w:r>
          <w:r>
            <w:fldChar w:fldCharType="end"/>
          </w:r>
        </w:p>
        <w:p w14:paraId="5D963B41">
          <w:pPr>
            <w:pStyle w:val="38"/>
            <w:tabs>
              <w:tab w:val="right" w:leader="dot" w:pos="8306"/>
            </w:tabs>
          </w:pPr>
          <w:r>
            <w:fldChar w:fldCharType="begin"/>
          </w:r>
          <w:r>
            <w:instrText xml:space="preserve"> HYPERLINK \l _Toc6186 </w:instrText>
          </w:r>
          <w:r>
            <w:fldChar w:fldCharType="separate"/>
          </w:r>
          <w:r>
            <w:rPr>
              <w:rFonts w:hint="eastAsia"/>
            </w:rPr>
            <w:t>二、机构设置</w:t>
          </w:r>
          <w:r>
            <w:tab/>
          </w:r>
          <w:r>
            <w:fldChar w:fldCharType="begin"/>
          </w:r>
          <w:r>
            <w:instrText xml:space="preserve"> PAGEREF _Toc6186 \h </w:instrText>
          </w:r>
          <w:r>
            <w:fldChar w:fldCharType="separate"/>
          </w:r>
          <w:r>
            <w:t>7</w:t>
          </w:r>
          <w:r>
            <w:fldChar w:fldCharType="end"/>
          </w:r>
          <w:r>
            <w:fldChar w:fldCharType="end"/>
          </w:r>
        </w:p>
        <w:p w14:paraId="0A39F1B4">
          <w:pPr>
            <w:pStyle w:val="37"/>
            <w:tabs>
              <w:tab w:val="right" w:leader="dot" w:pos="8306"/>
            </w:tabs>
            <w:rPr>
              <w:b/>
            </w:rPr>
          </w:pPr>
          <w:r>
            <w:rPr>
              <w:b/>
            </w:rPr>
            <w:fldChar w:fldCharType="begin"/>
          </w:r>
          <w:r>
            <w:rPr>
              <w:b/>
            </w:rPr>
            <w:instrText xml:space="preserve"> HYPERLINK \l _Toc26404 </w:instrText>
          </w:r>
          <w:r>
            <w:rPr>
              <w:b/>
            </w:rPr>
            <w:fldChar w:fldCharType="separate"/>
          </w:r>
          <w:r>
            <w:rPr>
              <w:rFonts w:hint="eastAsia"/>
              <w:b/>
            </w:rPr>
            <w:t xml:space="preserve">第二部分 </w:t>
          </w:r>
          <w:r>
            <w:rPr>
              <w:rFonts w:hint="eastAsia"/>
              <w:b/>
              <w:lang w:val="en-US" w:eastAsia="zh-CN"/>
            </w:rPr>
            <w:t>2023年度单位</w:t>
          </w:r>
          <w:r>
            <w:rPr>
              <w:rFonts w:hint="eastAsia"/>
              <w:b/>
            </w:rPr>
            <w:t>决算情况说明</w:t>
          </w:r>
          <w:r>
            <w:rPr>
              <w:b/>
            </w:rPr>
            <w:tab/>
          </w:r>
          <w:r>
            <w:rPr>
              <w:b/>
            </w:rPr>
            <w:fldChar w:fldCharType="begin"/>
          </w:r>
          <w:r>
            <w:rPr>
              <w:b/>
            </w:rPr>
            <w:instrText xml:space="preserve"> PAGEREF _Toc26404 \h </w:instrText>
          </w:r>
          <w:r>
            <w:rPr>
              <w:b/>
            </w:rPr>
            <w:fldChar w:fldCharType="separate"/>
          </w:r>
          <w:r>
            <w:rPr>
              <w:b/>
            </w:rPr>
            <w:t>8</w:t>
          </w:r>
          <w:r>
            <w:rPr>
              <w:b/>
            </w:rPr>
            <w:fldChar w:fldCharType="end"/>
          </w:r>
          <w:r>
            <w:rPr>
              <w:b/>
            </w:rPr>
            <w:fldChar w:fldCharType="end"/>
          </w:r>
        </w:p>
        <w:p w14:paraId="3BD3B531">
          <w:pPr>
            <w:pStyle w:val="38"/>
            <w:tabs>
              <w:tab w:val="right" w:leader="dot" w:pos="8306"/>
            </w:tabs>
          </w:pPr>
          <w:r>
            <w:fldChar w:fldCharType="begin"/>
          </w:r>
          <w:r>
            <w:instrText xml:space="preserve"> HYPERLINK \l _Toc3135 </w:instrText>
          </w:r>
          <w:r>
            <w:fldChar w:fldCharType="separate"/>
          </w:r>
          <w:r>
            <w:rPr>
              <w:rFonts w:hint="default"/>
            </w:rPr>
            <w:t xml:space="preserve">一、 </w:t>
          </w:r>
          <w:r>
            <w:rPr>
              <w:rFonts w:hint="eastAsia"/>
            </w:rPr>
            <w:t>收入支出决算总体情况说明</w:t>
          </w:r>
          <w:r>
            <w:tab/>
          </w:r>
          <w:r>
            <w:fldChar w:fldCharType="begin"/>
          </w:r>
          <w:r>
            <w:instrText xml:space="preserve"> PAGEREF _Toc3135 \h </w:instrText>
          </w:r>
          <w:r>
            <w:fldChar w:fldCharType="separate"/>
          </w:r>
          <w:r>
            <w:t>8</w:t>
          </w:r>
          <w:r>
            <w:fldChar w:fldCharType="end"/>
          </w:r>
          <w:r>
            <w:fldChar w:fldCharType="end"/>
          </w:r>
        </w:p>
        <w:p w14:paraId="2C506C4F">
          <w:pPr>
            <w:pStyle w:val="38"/>
            <w:tabs>
              <w:tab w:val="right" w:leader="dot" w:pos="8306"/>
            </w:tabs>
          </w:pPr>
          <w:r>
            <w:fldChar w:fldCharType="begin"/>
          </w:r>
          <w:r>
            <w:instrText xml:space="preserve"> HYPERLINK \l _Toc19144 </w:instrText>
          </w:r>
          <w:r>
            <w:fldChar w:fldCharType="separate"/>
          </w:r>
          <w:r>
            <w:rPr>
              <w:rFonts w:hint="default"/>
            </w:rPr>
            <w:t xml:space="preserve">二、 </w:t>
          </w:r>
          <w:r>
            <w:rPr>
              <w:rFonts w:hint="eastAsia"/>
            </w:rPr>
            <w:t>收入决算情况说明</w:t>
          </w:r>
          <w:r>
            <w:tab/>
          </w:r>
          <w:r>
            <w:fldChar w:fldCharType="begin"/>
          </w:r>
          <w:r>
            <w:instrText xml:space="preserve"> PAGEREF _Toc19144 \h </w:instrText>
          </w:r>
          <w:r>
            <w:fldChar w:fldCharType="separate"/>
          </w:r>
          <w:r>
            <w:t>8</w:t>
          </w:r>
          <w:r>
            <w:fldChar w:fldCharType="end"/>
          </w:r>
          <w:r>
            <w:fldChar w:fldCharType="end"/>
          </w:r>
        </w:p>
        <w:p w14:paraId="1A2BC586">
          <w:pPr>
            <w:pStyle w:val="38"/>
            <w:tabs>
              <w:tab w:val="right" w:leader="dot" w:pos="8306"/>
            </w:tabs>
          </w:pPr>
          <w:r>
            <w:fldChar w:fldCharType="begin"/>
          </w:r>
          <w:r>
            <w:instrText xml:space="preserve"> HYPERLINK \l _Toc4123 </w:instrText>
          </w:r>
          <w:r>
            <w:fldChar w:fldCharType="separate"/>
          </w:r>
          <w:r>
            <w:rPr>
              <w:rFonts w:hint="default"/>
            </w:rPr>
            <w:t xml:space="preserve">三、 </w:t>
          </w:r>
          <w:r>
            <w:rPr>
              <w:rFonts w:hint="eastAsia"/>
            </w:rPr>
            <w:t>支出决算情况说明</w:t>
          </w:r>
          <w:r>
            <w:tab/>
          </w:r>
          <w:r>
            <w:fldChar w:fldCharType="begin"/>
          </w:r>
          <w:r>
            <w:instrText xml:space="preserve"> PAGEREF _Toc4123 \h </w:instrText>
          </w:r>
          <w:r>
            <w:fldChar w:fldCharType="separate"/>
          </w:r>
          <w:r>
            <w:t>9</w:t>
          </w:r>
          <w:r>
            <w:fldChar w:fldCharType="end"/>
          </w:r>
          <w:r>
            <w:fldChar w:fldCharType="end"/>
          </w:r>
        </w:p>
        <w:p w14:paraId="755313D1">
          <w:pPr>
            <w:pStyle w:val="38"/>
            <w:tabs>
              <w:tab w:val="right" w:leader="dot" w:pos="8306"/>
            </w:tabs>
          </w:pPr>
          <w:r>
            <w:fldChar w:fldCharType="begin"/>
          </w:r>
          <w:r>
            <w:instrText xml:space="preserve"> HYPERLINK \l _Toc15329 </w:instrText>
          </w:r>
          <w:r>
            <w:fldChar w:fldCharType="separate"/>
          </w:r>
          <w:r>
            <w:rPr>
              <w:rFonts w:hint="eastAsia"/>
            </w:rPr>
            <w:t>四、财政拨款收入支出决算总体情况说明</w:t>
          </w:r>
          <w:r>
            <w:tab/>
          </w:r>
          <w:r>
            <w:rPr>
              <w:rFonts w:hint="eastAsia"/>
              <w:lang w:val="en-US" w:eastAsia="zh-CN"/>
            </w:rPr>
            <w:t>9</w:t>
          </w:r>
          <w:r>
            <w:fldChar w:fldCharType="end"/>
          </w:r>
        </w:p>
        <w:p w14:paraId="0D60BED6">
          <w:pPr>
            <w:pStyle w:val="38"/>
            <w:tabs>
              <w:tab w:val="right" w:leader="dot" w:pos="8306"/>
            </w:tabs>
          </w:pPr>
          <w:r>
            <w:fldChar w:fldCharType="begin"/>
          </w:r>
          <w:r>
            <w:instrText xml:space="preserve"> HYPERLINK \l _Toc7881 </w:instrText>
          </w:r>
          <w:r>
            <w:fldChar w:fldCharType="separate"/>
          </w:r>
          <w:r>
            <w:rPr>
              <w:rFonts w:hint="eastAsia"/>
            </w:rPr>
            <w:t>五、一般公共预算财政拨款支出决算情况说明</w:t>
          </w:r>
          <w:r>
            <w:tab/>
          </w:r>
          <w:r>
            <w:rPr>
              <w:rFonts w:hint="eastAsia"/>
              <w:lang w:val="en-US" w:eastAsia="zh-CN"/>
            </w:rPr>
            <w:t>9</w:t>
          </w:r>
          <w:r>
            <w:fldChar w:fldCharType="end"/>
          </w:r>
        </w:p>
        <w:p w14:paraId="1F621BDF">
          <w:pPr>
            <w:pStyle w:val="38"/>
            <w:tabs>
              <w:tab w:val="right" w:leader="dot" w:pos="8306"/>
            </w:tabs>
            <w:rPr>
              <w:rFonts w:hint="eastAsia" w:eastAsiaTheme="minorEastAsia"/>
              <w:lang w:val="en-US" w:eastAsia="zh-CN"/>
            </w:rPr>
          </w:pPr>
          <w:r>
            <w:fldChar w:fldCharType="begin"/>
          </w:r>
          <w:r>
            <w:instrText xml:space="preserve"> HYPERLINK \l _Toc18120 </w:instrText>
          </w:r>
          <w:r>
            <w:fldChar w:fldCharType="separate"/>
          </w:r>
          <w:r>
            <w:rPr>
              <w:rFonts w:hint="eastAsia"/>
            </w:rPr>
            <w:t>六、一般公共预算财政拨款基本支出决算情况说明</w:t>
          </w:r>
          <w:r>
            <w:tab/>
          </w:r>
          <w:r>
            <w:rPr>
              <w:rFonts w:hint="eastAsia"/>
              <w:lang w:val="en-US" w:eastAsia="zh-CN"/>
            </w:rPr>
            <w:t>1</w:t>
          </w:r>
          <w:r>
            <w:fldChar w:fldCharType="end"/>
          </w:r>
          <w:r>
            <w:rPr>
              <w:rFonts w:hint="eastAsia"/>
              <w:lang w:val="en-US" w:eastAsia="zh-CN"/>
            </w:rPr>
            <w:t>2</w:t>
          </w:r>
        </w:p>
        <w:p w14:paraId="47B774B7">
          <w:pPr>
            <w:pStyle w:val="38"/>
            <w:tabs>
              <w:tab w:val="right" w:leader="dot" w:pos="8306"/>
            </w:tabs>
            <w:rPr>
              <w:rFonts w:hint="eastAsia" w:eastAsiaTheme="minorEastAsia"/>
              <w:lang w:val="en-US" w:eastAsia="zh-CN"/>
            </w:rPr>
          </w:pPr>
          <w:r>
            <w:fldChar w:fldCharType="begin"/>
          </w:r>
          <w:r>
            <w:instrText xml:space="preserve"> HYPERLINK \l _Toc22868 </w:instrText>
          </w:r>
          <w:r>
            <w:fldChar w:fldCharType="separate"/>
          </w:r>
          <w:r>
            <w:rPr>
              <w:rFonts w:hint="eastAsia"/>
            </w:rPr>
            <w:t>七、</w:t>
          </w:r>
          <w:r>
            <w:rPr>
              <w:rFonts w:hint="eastAsia"/>
              <w:lang w:eastAsia="zh-CN"/>
            </w:rPr>
            <w:t>财政拨款</w:t>
          </w:r>
          <w:r>
            <w:rPr>
              <w:rFonts w:hint="eastAsia"/>
            </w:rPr>
            <w:t>“三公”经费支出决算情况说明</w:t>
          </w:r>
          <w:r>
            <w:tab/>
          </w:r>
          <w:r>
            <w:rPr>
              <w:rFonts w:hint="eastAsia"/>
              <w:lang w:val="en-US" w:eastAsia="zh-CN"/>
            </w:rPr>
            <w:t>1</w:t>
          </w:r>
          <w:r>
            <w:fldChar w:fldCharType="end"/>
          </w:r>
          <w:r>
            <w:rPr>
              <w:rFonts w:hint="eastAsia"/>
              <w:lang w:val="en-US" w:eastAsia="zh-CN"/>
            </w:rPr>
            <w:t>3</w:t>
          </w:r>
        </w:p>
        <w:p w14:paraId="66DFEE08">
          <w:pPr>
            <w:pStyle w:val="38"/>
            <w:tabs>
              <w:tab w:val="right" w:leader="dot" w:pos="8306"/>
            </w:tabs>
            <w:rPr>
              <w:rFonts w:hint="eastAsia" w:eastAsiaTheme="minorEastAsia"/>
              <w:lang w:val="en-US" w:eastAsia="zh-CN"/>
            </w:rPr>
          </w:pPr>
          <w:r>
            <w:fldChar w:fldCharType="begin"/>
          </w:r>
          <w:r>
            <w:instrText xml:space="preserve"> HYPERLINK \l _Toc19459 </w:instrText>
          </w:r>
          <w:r>
            <w:fldChar w:fldCharType="separate"/>
          </w:r>
          <w:r>
            <w:rPr>
              <w:rFonts w:hint="eastAsia"/>
            </w:rPr>
            <w:t>八、政府性基金预算支出决算情况说明</w:t>
          </w:r>
          <w:r>
            <w:tab/>
          </w:r>
          <w:r>
            <w:rPr>
              <w:rFonts w:hint="eastAsia"/>
              <w:lang w:val="en-US" w:eastAsia="zh-CN"/>
            </w:rPr>
            <w:t>1</w:t>
          </w:r>
          <w:r>
            <w:fldChar w:fldCharType="end"/>
          </w:r>
          <w:r>
            <w:rPr>
              <w:rFonts w:hint="eastAsia"/>
              <w:lang w:val="en-US" w:eastAsia="zh-CN"/>
            </w:rPr>
            <w:t>4</w:t>
          </w:r>
        </w:p>
        <w:p w14:paraId="28023460">
          <w:pPr>
            <w:pStyle w:val="38"/>
            <w:tabs>
              <w:tab w:val="right" w:leader="dot" w:pos="8306"/>
            </w:tabs>
            <w:rPr>
              <w:rFonts w:hint="eastAsia" w:eastAsiaTheme="minorEastAsia"/>
              <w:lang w:val="en-US" w:eastAsia="zh-CN"/>
            </w:rPr>
          </w:pPr>
          <w:r>
            <w:fldChar w:fldCharType="begin"/>
          </w:r>
          <w:r>
            <w:instrText xml:space="preserve"> HYPERLINK \l _Toc22318 </w:instrText>
          </w:r>
          <w:r>
            <w:fldChar w:fldCharType="separate"/>
          </w:r>
          <w:r>
            <w:rPr>
              <w:rFonts w:hint="eastAsia"/>
            </w:rPr>
            <w:t>九、 国有资本经营预算支出决算情况说明</w:t>
          </w:r>
          <w:r>
            <w:tab/>
          </w:r>
          <w:r>
            <w:rPr>
              <w:rFonts w:hint="eastAsia"/>
              <w:lang w:val="en-US" w:eastAsia="zh-CN"/>
            </w:rPr>
            <w:t>1</w:t>
          </w:r>
          <w:r>
            <w:fldChar w:fldCharType="end"/>
          </w:r>
          <w:r>
            <w:rPr>
              <w:rFonts w:hint="eastAsia"/>
              <w:lang w:val="en-US" w:eastAsia="zh-CN"/>
            </w:rPr>
            <w:t>4</w:t>
          </w:r>
        </w:p>
        <w:p w14:paraId="3000608A">
          <w:pPr>
            <w:pStyle w:val="38"/>
            <w:tabs>
              <w:tab w:val="right" w:leader="dot" w:pos="8306"/>
            </w:tabs>
          </w:pPr>
          <w:r>
            <w:fldChar w:fldCharType="begin"/>
          </w:r>
          <w:r>
            <w:instrText xml:space="preserve"> HYPERLINK \l _Toc9590 </w:instrText>
          </w:r>
          <w:r>
            <w:fldChar w:fldCharType="separate"/>
          </w:r>
          <w:r>
            <w:rPr>
              <w:rFonts w:hint="eastAsia"/>
            </w:rPr>
            <w:t>十、 其他重要事项的情况说明</w:t>
          </w:r>
          <w:r>
            <w:tab/>
          </w:r>
          <w:r>
            <w:fldChar w:fldCharType="begin"/>
          </w:r>
          <w:r>
            <w:instrText xml:space="preserve"> PAGEREF _Toc9590 \h </w:instrText>
          </w:r>
          <w:r>
            <w:fldChar w:fldCharType="separate"/>
          </w:r>
          <w:r>
            <w:t>15</w:t>
          </w:r>
          <w:r>
            <w:fldChar w:fldCharType="end"/>
          </w:r>
          <w:r>
            <w:fldChar w:fldCharType="end"/>
          </w:r>
        </w:p>
        <w:p w14:paraId="763A6105">
          <w:pPr>
            <w:pStyle w:val="37"/>
            <w:tabs>
              <w:tab w:val="right" w:leader="dot" w:pos="8306"/>
            </w:tabs>
            <w:rPr>
              <w:b/>
            </w:rPr>
          </w:pPr>
          <w:r>
            <w:rPr>
              <w:b/>
            </w:rPr>
            <w:fldChar w:fldCharType="begin"/>
          </w:r>
          <w:r>
            <w:rPr>
              <w:b/>
            </w:rPr>
            <w:instrText xml:space="preserve"> HYPERLINK \l _Toc24307 </w:instrText>
          </w:r>
          <w:r>
            <w:rPr>
              <w:b/>
            </w:rPr>
            <w:fldChar w:fldCharType="separate"/>
          </w:r>
          <w:r>
            <w:rPr>
              <w:rFonts w:hint="eastAsia"/>
              <w:b/>
            </w:rPr>
            <w:t>第三部分 名词解释</w:t>
          </w:r>
          <w:r>
            <w:rPr>
              <w:b/>
            </w:rPr>
            <w:tab/>
          </w:r>
          <w:r>
            <w:rPr>
              <w:b/>
            </w:rPr>
            <w:fldChar w:fldCharType="begin"/>
          </w:r>
          <w:r>
            <w:rPr>
              <w:b/>
            </w:rPr>
            <w:instrText xml:space="preserve"> PAGEREF _Toc24307 \h </w:instrText>
          </w:r>
          <w:r>
            <w:rPr>
              <w:b/>
            </w:rPr>
            <w:fldChar w:fldCharType="separate"/>
          </w:r>
          <w:r>
            <w:rPr>
              <w:b/>
            </w:rPr>
            <w:t>16</w:t>
          </w:r>
          <w:r>
            <w:rPr>
              <w:b/>
            </w:rPr>
            <w:fldChar w:fldCharType="end"/>
          </w:r>
          <w:r>
            <w:rPr>
              <w:b/>
            </w:rPr>
            <w:fldChar w:fldCharType="end"/>
          </w:r>
        </w:p>
        <w:p w14:paraId="4FD6498B">
          <w:pPr>
            <w:pStyle w:val="37"/>
            <w:tabs>
              <w:tab w:val="right" w:leader="dot" w:pos="8306"/>
            </w:tabs>
            <w:rPr>
              <w:rFonts w:hint="eastAsia" w:eastAsiaTheme="minorEastAsia"/>
              <w:b/>
              <w:lang w:val="en-US" w:eastAsia="zh-CN"/>
            </w:rPr>
          </w:pPr>
          <w:r>
            <w:rPr>
              <w:b/>
            </w:rPr>
            <w:fldChar w:fldCharType="begin"/>
          </w:r>
          <w:r>
            <w:rPr>
              <w:b/>
            </w:rPr>
            <w:instrText xml:space="preserve"> HYPERLINK \l _Toc10862 </w:instrText>
          </w:r>
          <w:r>
            <w:rPr>
              <w:b/>
            </w:rPr>
            <w:fldChar w:fldCharType="separate"/>
          </w:r>
          <w:r>
            <w:rPr>
              <w:rFonts w:hint="eastAsia"/>
              <w:b/>
            </w:rPr>
            <w:t>第四部分 附件</w:t>
          </w:r>
          <w:r>
            <w:rPr>
              <w:b/>
            </w:rPr>
            <w:tab/>
          </w:r>
          <w:r>
            <w:rPr>
              <w:rFonts w:hint="eastAsia"/>
              <w:b/>
              <w:lang w:val="en-US" w:eastAsia="zh-CN"/>
            </w:rPr>
            <w:t>2</w:t>
          </w:r>
          <w:r>
            <w:rPr>
              <w:b/>
            </w:rPr>
            <w:fldChar w:fldCharType="end"/>
          </w:r>
          <w:r>
            <w:rPr>
              <w:rFonts w:hint="eastAsia"/>
              <w:b/>
              <w:lang w:val="en-US" w:eastAsia="zh-CN"/>
            </w:rPr>
            <w:t>2</w:t>
          </w:r>
        </w:p>
        <w:p w14:paraId="6E65BD06">
          <w:pPr>
            <w:pStyle w:val="37"/>
            <w:tabs>
              <w:tab w:val="right" w:leader="dot" w:pos="8306"/>
            </w:tabs>
            <w:rPr>
              <w:rFonts w:hint="eastAsia" w:eastAsiaTheme="minorEastAsia"/>
              <w:b/>
              <w:lang w:val="en-US" w:eastAsia="zh-CN"/>
            </w:rPr>
          </w:pPr>
          <w:r>
            <w:rPr>
              <w:b/>
            </w:rPr>
            <w:fldChar w:fldCharType="begin"/>
          </w:r>
          <w:r>
            <w:rPr>
              <w:b/>
            </w:rPr>
            <w:instrText xml:space="preserve"> HYPERLINK \l _Toc11522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r>
            <w:rPr>
              <w:rFonts w:hint="eastAsia"/>
              <w:b/>
              <w:lang w:val="en-US" w:eastAsia="zh-CN"/>
            </w:rPr>
            <w:t>2</w:t>
          </w:r>
          <w:r>
            <w:rPr>
              <w:b/>
            </w:rPr>
            <w:fldChar w:fldCharType="end"/>
          </w:r>
          <w:r>
            <w:rPr>
              <w:rFonts w:hint="eastAsia"/>
              <w:b/>
              <w:lang w:val="en-US" w:eastAsia="zh-CN"/>
            </w:rPr>
            <w:t>7</w:t>
          </w:r>
        </w:p>
        <w:p w14:paraId="73B1C79A">
          <w:pPr>
            <w:pStyle w:val="38"/>
            <w:tabs>
              <w:tab w:val="right" w:leader="dot" w:pos="8306"/>
            </w:tabs>
            <w:rPr>
              <w:rFonts w:hint="eastAsia" w:eastAsiaTheme="minorEastAsia"/>
              <w:lang w:val="en-US" w:eastAsia="zh-CN"/>
            </w:rPr>
          </w:pPr>
          <w:r>
            <w:fldChar w:fldCharType="begin"/>
          </w:r>
          <w:r>
            <w:instrText xml:space="preserve"> HYPERLINK \l _Toc25468 </w:instrText>
          </w:r>
          <w:r>
            <w:fldChar w:fldCharType="separate"/>
          </w:r>
          <w:r>
            <w:rPr>
              <w:rFonts w:hint="eastAsia"/>
            </w:rPr>
            <w:t>一、收入支出决算总表</w:t>
          </w:r>
          <w:r>
            <w:tab/>
          </w:r>
          <w:r>
            <w:rPr>
              <w:rFonts w:hint="eastAsia"/>
              <w:lang w:val="en-US" w:eastAsia="zh-CN"/>
            </w:rPr>
            <w:t>2</w:t>
          </w:r>
          <w:r>
            <w:fldChar w:fldCharType="end"/>
          </w:r>
          <w:r>
            <w:rPr>
              <w:rFonts w:hint="eastAsia"/>
              <w:lang w:val="en-US" w:eastAsia="zh-CN"/>
            </w:rPr>
            <w:t>7</w:t>
          </w:r>
        </w:p>
        <w:p w14:paraId="75F9D9C7">
          <w:pPr>
            <w:pStyle w:val="38"/>
            <w:tabs>
              <w:tab w:val="right" w:leader="dot" w:pos="8306"/>
            </w:tabs>
            <w:rPr>
              <w:rFonts w:hint="eastAsia" w:eastAsiaTheme="minorEastAsia"/>
              <w:lang w:val="en-US" w:eastAsia="zh-CN"/>
            </w:rPr>
          </w:pPr>
          <w:r>
            <w:fldChar w:fldCharType="begin"/>
          </w:r>
          <w:r>
            <w:instrText xml:space="preserve"> HYPERLINK \l _Toc29582 </w:instrText>
          </w:r>
          <w:r>
            <w:fldChar w:fldCharType="separate"/>
          </w:r>
          <w:r>
            <w:rPr>
              <w:rFonts w:hint="eastAsia"/>
            </w:rPr>
            <w:t>二、收入决算表</w:t>
          </w:r>
          <w:r>
            <w:tab/>
          </w:r>
          <w:r>
            <w:rPr>
              <w:rFonts w:hint="eastAsia"/>
              <w:lang w:val="en-US" w:eastAsia="zh-CN"/>
            </w:rPr>
            <w:t>2</w:t>
          </w:r>
          <w:r>
            <w:fldChar w:fldCharType="end"/>
          </w:r>
          <w:r>
            <w:rPr>
              <w:rFonts w:hint="eastAsia"/>
              <w:lang w:val="en-US" w:eastAsia="zh-CN"/>
            </w:rPr>
            <w:t>7</w:t>
          </w:r>
        </w:p>
        <w:p w14:paraId="3E7E26F0">
          <w:pPr>
            <w:pStyle w:val="38"/>
            <w:tabs>
              <w:tab w:val="right" w:leader="dot" w:pos="8306"/>
            </w:tabs>
            <w:rPr>
              <w:rFonts w:hint="eastAsia" w:eastAsiaTheme="minorEastAsia"/>
              <w:lang w:val="en-US" w:eastAsia="zh-CN"/>
            </w:rPr>
          </w:pPr>
          <w:r>
            <w:fldChar w:fldCharType="begin"/>
          </w:r>
          <w:r>
            <w:instrText xml:space="preserve"> HYPERLINK \l _Toc6412 </w:instrText>
          </w:r>
          <w:r>
            <w:fldChar w:fldCharType="separate"/>
          </w:r>
          <w:r>
            <w:rPr>
              <w:rFonts w:hint="eastAsia"/>
            </w:rPr>
            <w:t>三、支出决算表</w:t>
          </w:r>
          <w:r>
            <w:tab/>
          </w:r>
          <w:r>
            <w:rPr>
              <w:rFonts w:hint="eastAsia"/>
              <w:lang w:val="en-US" w:eastAsia="zh-CN"/>
            </w:rPr>
            <w:t>2</w:t>
          </w:r>
          <w:r>
            <w:fldChar w:fldCharType="end"/>
          </w:r>
          <w:r>
            <w:rPr>
              <w:rFonts w:hint="eastAsia"/>
              <w:lang w:val="en-US" w:eastAsia="zh-CN"/>
            </w:rPr>
            <w:t>7</w:t>
          </w:r>
        </w:p>
        <w:p w14:paraId="79B7CEFA">
          <w:pPr>
            <w:pStyle w:val="38"/>
            <w:tabs>
              <w:tab w:val="right" w:leader="dot" w:pos="8306"/>
            </w:tabs>
            <w:rPr>
              <w:rFonts w:hint="eastAsia" w:eastAsiaTheme="minorEastAsia"/>
              <w:lang w:val="en-US" w:eastAsia="zh-CN"/>
            </w:rPr>
          </w:pPr>
          <w:r>
            <w:fldChar w:fldCharType="begin"/>
          </w:r>
          <w:r>
            <w:instrText xml:space="preserve"> HYPERLINK \l _Toc5858 </w:instrText>
          </w:r>
          <w:r>
            <w:fldChar w:fldCharType="separate"/>
          </w:r>
          <w:r>
            <w:rPr>
              <w:rFonts w:hint="eastAsia"/>
            </w:rPr>
            <w:t>四、财政拨款收入支出决算总表</w:t>
          </w:r>
          <w:r>
            <w:tab/>
          </w:r>
          <w:r>
            <w:rPr>
              <w:rFonts w:hint="eastAsia"/>
              <w:lang w:val="en-US" w:eastAsia="zh-CN"/>
            </w:rPr>
            <w:t>2</w:t>
          </w:r>
          <w:r>
            <w:fldChar w:fldCharType="end"/>
          </w:r>
          <w:r>
            <w:rPr>
              <w:rFonts w:hint="eastAsia"/>
              <w:lang w:val="en-US" w:eastAsia="zh-CN"/>
            </w:rPr>
            <w:t>7</w:t>
          </w:r>
        </w:p>
        <w:p w14:paraId="17C75040">
          <w:pPr>
            <w:pStyle w:val="38"/>
            <w:tabs>
              <w:tab w:val="right" w:leader="dot" w:pos="8306"/>
            </w:tabs>
            <w:rPr>
              <w:rFonts w:hint="eastAsia" w:eastAsiaTheme="minorEastAsia"/>
              <w:lang w:val="en-US" w:eastAsia="zh-CN"/>
            </w:rPr>
          </w:pPr>
          <w:r>
            <w:fldChar w:fldCharType="begin"/>
          </w:r>
          <w:r>
            <w:instrText xml:space="preserve"> HYPERLINK \l _Toc17438 </w:instrText>
          </w:r>
          <w:r>
            <w:fldChar w:fldCharType="separate"/>
          </w:r>
          <w:r>
            <w:rPr>
              <w:rFonts w:hint="eastAsia"/>
            </w:rPr>
            <w:t>五、财政拨款支出决算明细表</w:t>
          </w:r>
          <w:r>
            <w:tab/>
          </w:r>
          <w:r>
            <w:rPr>
              <w:rFonts w:hint="eastAsia"/>
              <w:lang w:val="en-US" w:eastAsia="zh-CN"/>
            </w:rPr>
            <w:t>2</w:t>
          </w:r>
          <w:r>
            <w:fldChar w:fldCharType="end"/>
          </w:r>
          <w:r>
            <w:rPr>
              <w:rFonts w:hint="eastAsia"/>
              <w:lang w:val="en-US" w:eastAsia="zh-CN"/>
            </w:rPr>
            <w:t>7</w:t>
          </w:r>
        </w:p>
        <w:p w14:paraId="71BB2B19">
          <w:pPr>
            <w:pStyle w:val="38"/>
            <w:tabs>
              <w:tab w:val="right" w:leader="dot" w:pos="8306"/>
            </w:tabs>
            <w:rPr>
              <w:rFonts w:hint="eastAsia" w:eastAsiaTheme="minorEastAsia"/>
              <w:lang w:val="en-US" w:eastAsia="zh-CN"/>
            </w:rPr>
          </w:pPr>
          <w:r>
            <w:fldChar w:fldCharType="begin"/>
          </w:r>
          <w:r>
            <w:instrText xml:space="preserve"> HYPERLINK \l _Toc13090 </w:instrText>
          </w:r>
          <w:r>
            <w:fldChar w:fldCharType="separate"/>
          </w:r>
          <w:r>
            <w:rPr>
              <w:rFonts w:hint="eastAsia"/>
            </w:rPr>
            <w:t>六、一般公共预算财政拨款支出决算表</w:t>
          </w:r>
          <w:r>
            <w:tab/>
          </w:r>
          <w:r>
            <w:rPr>
              <w:rFonts w:hint="eastAsia"/>
              <w:lang w:val="en-US" w:eastAsia="zh-CN"/>
            </w:rPr>
            <w:t>2</w:t>
          </w:r>
          <w:r>
            <w:fldChar w:fldCharType="end"/>
          </w:r>
          <w:r>
            <w:rPr>
              <w:rFonts w:hint="eastAsia"/>
              <w:lang w:val="en-US" w:eastAsia="zh-CN"/>
            </w:rPr>
            <w:t>7</w:t>
          </w:r>
        </w:p>
        <w:p w14:paraId="57DB97F7">
          <w:pPr>
            <w:pStyle w:val="38"/>
            <w:tabs>
              <w:tab w:val="right" w:leader="dot" w:pos="8306"/>
            </w:tabs>
            <w:rPr>
              <w:rFonts w:hint="eastAsia" w:eastAsiaTheme="minorEastAsia"/>
              <w:lang w:val="en-US" w:eastAsia="zh-CN"/>
            </w:rPr>
          </w:pPr>
          <w:r>
            <w:fldChar w:fldCharType="begin"/>
          </w:r>
          <w:r>
            <w:instrText xml:space="preserve"> HYPERLINK \l _Toc291 </w:instrText>
          </w:r>
          <w:r>
            <w:fldChar w:fldCharType="separate"/>
          </w:r>
          <w:r>
            <w:rPr>
              <w:rFonts w:hint="eastAsia"/>
            </w:rPr>
            <w:t>七、一般公共预算财政拨款支出决算明细表</w:t>
          </w:r>
          <w:r>
            <w:tab/>
          </w:r>
          <w:r>
            <w:rPr>
              <w:rFonts w:hint="eastAsia"/>
              <w:lang w:val="en-US" w:eastAsia="zh-CN"/>
            </w:rPr>
            <w:t>2</w:t>
          </w:r>
          <w:r>
            <w:fldChar w:fldCharType="end"/>
          </w:r>
          <w:r>
            <w:rPr>
              <w:rFonts w:hint="eastAsia"/>
              <w:lang w:val="en-US" w:eastAsia="zh-CN"/>
            </w:rPr>
            <w:t>7</w:t>
          </w:r>
        </w:p>
        <w:p w14:paraId="4209142D">
          <w:pPr>
            <w:pStyle w:val="38"/>
            <w:tabs>
              <w:tab w:val="right" w:leader="dot" w:pos="8306"/>
            </w:tabs>
            <w:rPr>
              <w:rFonts w:hint="eastAsia" w:eastAsiaTheme="minorEastAsia"/>
              <w:lang w:val="en-US" w:eastAsia="zh-CN"/>
            </w:rPr>
          </w:pPr>
          <w:r>
            <w:fldChar w:fldCharType="begin"/>
          </w:r>
          <w:r>
            <w:instrText xml:space="preserve"> HYPERLINK \l _Toc2150 </w:instrText>
          </w:r>
          <w:r>
            <w:fldChar w:fldCharType="separate"/>
          </w:r>
          <w:r>
            <w:rPr>
              <w:rFonts w:hint="eastAsia"/>
            </w:rPr>
            <w:t>八、一般公共预算财政拨款基本支出决算表</w:t>
          </w:r>
          <w:r>
            <w:tab/>
          </w:r>
          <w:r>
            <w:rPr>
              <w:rFonts w:hint="eastAsia"/>
              <w:lang w:val="en-US" w:eastAsia="zh-CN"/>
            </w:rPr>
            <w:t>2</w:t>
          </w:r>
          <w:r>
            <w:fldChar w:fldCharType="end"/>
          </w:r>
          <w:r>
            <w:rPr>
              <w:rFonts w:hint="eastAsia"/>
              <w:lang w:val="en-US" w:eastAsia="zh-CN"/>
            </w:rPr>
            <w:t>7</w:t>
          </w:r>
        </w:p>
        <w:p w14:paraId="29EA24F4">
          <w:pPr>
            <w:pStyle w:val="38"/>
            <w:tabs>
              <w:tab w:val="right" w:leader="dot" w:pos="8306"/>
            </w:tabs>
            <w:rPr>
              <w:rFonts w:hint="eastAsia" w:eastAsiaTheme="minorEastAsia"/>
              <w:lang w:val="en-US" w:eastAsia="zh-CN"/>
            </w:rPr>
          </w:pPr>
          <w:r>
            <w:fldChar w:fldCharType="begin"/>
          </w:r>
          <w:r>
            <w:instrText xml:space="preserve"> HYPERLINK \l _Toc6008 </w:instrText>
          </w:r>
          <w:r>
            <w:fldChar w:fldCharType="separate"/>
          </w:r>
          <w:r>
            <w:rPr>
              <w:rFonts w:hint="eastAsia"/>
            </w:rPr>
            <w:t>九、一般公共预算财政拨款项目支出决算表</w:t>
          </w:r>
          <w:r>
            <w:tab/>
          </w:r>
          <w:r>
            <w:rPr>
              <w:rFonts w:hint="eastAsia"/>
              <w:lang w:val="en-US" w:eastAsia="zh-CN"/>
            </w:rPr>
            <w:t>2</w:t>
          </w:r>
          <w:r>
            <w:fldChar w:fldCharType="end"/>
          </w:r>
          <w:r>
            <w:rPr>
              <w:rFonts w:hint="eastAsia"/>
              <w:lang w:val="en-US" w:eastAsia="zh-CN"/>
            </w:rPr>
            <w:t>7</w:t>
          </w:r>
        </w:p>
        <w:p w14:paraId="576E48D1">
          <w:pPr>
            <w:pStyle w:val="38"/>
            <w:tabs>
              <w:tab w:val="right" w:leader="dot" w:pos="8306"/>
            </w:tabs>
            <w:rPr>
              <w:rFonts w:hint="eastAsia" w:eastAsiaTheme="minorEastAsia"/>
              <w:lang w:val="en-US" w:eastAsia="zh-CN"/>
            </w:rPr>
          </w:pPr>
          <w:r>
            <w:fldChar w:fldCharType="begin"/>
          </w:r>
          <w:r>
            <w:instrText xml:space="preserve"> HYPERLINK \l _Toc11089 </w:instrText>
          </w:r>
          <w:r>
            <w:fldChar w:fldCharType="separate"/>
          </w:r>
          <w:r>
            <w:rPr>
              <w:rFonts w:hint="eastAsia"/>
            </w:rPr>
            <w:t>十、政府性基金预算财政拨款收入支出决算表</w:t>
          </w:r>
          <w:r>
            <w:tab/>
          </w:r>
          <w:r>
            <w:rPr>
              <w:rFonts w:hint="eastAsia"/>
              <w:lang w:val="en-US" w:eastAsia="zh-CN"/>
            </w:rPr>
            <w:t>2</w:t>
          </w:r>
          <w:r>
            <w:fldChar w:fldCharType="end"/>
          </w:r>
          <w:r>
            <w:rPr>
              <w:rFonts w:hint="eastAsia"/>
              <w:lang w:val="en-US" w:eastAsia="zh-CN"/>
            </w:rPr>
            <w:t>7</w:t>
          </w:r>
        </w:p>
        <w:p w14:paraId="16E7D264">
          <w:pPr>
            <w:pStyle w:val="38"/>
            <w:tabs>
              <w:tab w:val="right" w:leader="dot" w:pos="8306"/>
            </w:tabs>
            <w:rPr>
              <w:rFonts w:hint="eastAsia" w:eastAsiaTheme="minorEastAsia"/>
              <w:lang w:val="en-US" w:eastAsia="zh-CN"/>
            </w:rPr>
          </w:pPr>
          <w:r>
            <w:fldChar w:fldCharType="begin"/>
          </w:r>
          <w:r>
            <w:instrText xml:space="preserve"> HYPERLINK \l _Toc2878 </w:instrText>
          </w:r>
          <w:r>
            <w:fldChar w:fldCharType="separate"/>
          </w:r>
          <w:r>
            <w:rPr>
              <w:rFonts w:hint="eastAsia"/>
            </w:rPr>
            <w:t>十</w:t>
          </w:r>
          <w:r>
            <w:rPr>
              <w:rFonts w:hint="eastAsia"/>
              <w:lang w:eastAsia="zh-CN"/>
            </w:rPr>
            <w:t>一</w:t>
          </w:r>
          <w:r>
            <w:rPr>
              <w:rFonts w:hint="eastAsia"/>
            </w:rPr>
            <w:t>、国有资本经营预算</w:t>
          </w:r>
          <w:r>
            <w:rPr>
              <w:rFonts w:hint="eastAsia"/>
              <w:lang w:eastAsia="zh-CN"/>
            </w:rPr>
            <w:t>财政拨款收入</w:t>
          </w:r>
          <w:r>
            <w:rPr>
              <w:rFonts w:hint="eastAsia"/>
            </w:rPr>
            <w:t>支出决算表</w:t>
          </w:r>
          <w:r>
            <w:tab/>
          </w:r>
          <w:r>
            <w:rPr>
              <w:rFonts w:hint="eastAsia"/>
              <w:lang w:val="en-US" w:eastAsia="zh-CN"/>
            </w:rPr>
            <w:t>2</w:t>
          </w:r>
          <w:r>
            <w:fldChar w:fldCharType="end"/>
          </w:r>
          <w:r>
            <w:rPr>
              <w:rFonts w:hint="eastAsia"/>
              <w:lang w:val="en-US" w:eastAsia="zh-CN"/>
            </w:rPr>
            <w:t>7</w:t>
          </w:r>
        </w:p>
        <w:p w14:paraId="25637646">
          <w:pPr>
            <w:pStyle w:val="38"/>
            <w:tabs>
              <w:tab w:val="right" w:leader="dot" w:pos="8306"/>
            </w:tabs>
            <w:rPr>
              <w:rFonts w:hint="eastAsia" w:eastAsiaTheme="minorEastAsia"/>
              <w:lang w:val="en-US" w:eastAsia="zh-CN"/>
            </w:rPr>
          </w:pPr>
          <w:r>
            <w:fldChar w:fldCharType="begin"/>
          </w:r>
          <w:r>
            <w:instrText xml:space="preserve"> HYPERLINK \l _Toc21516 </w:instrText>
          </w:r>
          <w:r>
            <w:fldChar w:fldCharType="separate"/>
          </w:r>
          <w:r>
            <w:rPr>
              <w:rFonts w:hint="eastAsia"/>
            </w:rPr>
            <w:t>十</w:t>
          </w:r>
          <w:r>
            <w:rPr>
              <w:rFonts w:hint="eastAsia"/>
              <w:lang w:eastAsia="zh-CN"/>
            </w:rPr>
            <w:t>二</w:t>
          </w:r>
          <w:r>
            <w:rPr>
              <w:rFonts w:hint="eastAsia"/>
            </w:rPr>
            <w:t>、</w:t>
          </w:r>
          <w:r>
            <w:rPr>
              <w:rFonts w:hint="eastAsia"/>
              <w:lang w:eastAsia="zh-CN"/>
            </w:rPr>
            <w:t>国有资本经营预算财政拨款支出决算表</w:t>
          </w:r>
          <w:r>
            <w:tab/>
          </w:r>
          <w:r>
            <w:rPr>
              <w:rFonts w:hint="eastAsia"/>
              <w:lang w:val="en-US" w:eastAsia="zh-CN"/>
            </w:rPr>
            <w:t>2</w:t>
          </w:r>
          <w:r>
            <w:fldChar w:fldCharType="end"/>
          </w:r>
          <w:r>
            <w:rPr>
              <w:rFonts w:hint="eastAsia"/>
              <w:lang w:val="en-US" w:eastAsia="zh-CN"/>
            </w:rPr>
            <w:t>7</w:t>
          </w:r>
        </w:p>
        <w:p w14:paraId="055306D3">
          <w:pPr>
            <w:pStyle w:val="38"/>
            <w:tabs>
              <w:tab w:val="right" w:leader="dot" w:pos="8306"/>
            </w:tabs>
            <w:rPr>
              <w:rFonts w:hint="eastAsia" w:eastAsiaTheme="minorEastAsia"/>
              <w:lang w:val="en-US" w:eastAsia="zh-CN"/>
            </w:rPr>
          </w:pPr>
          <w:r>
            <w:fldChar w:fldCharType="begin"/>
          </w:r>
          <w:r>
            <w:instrText xml:space="preserve"> HYPERLINK \l _Toc28876 </w:instrText>
          </w:r>
          <w:r>
            <w:fldChar w:fldCharType="separate"/>
          </w:r>
          <w:r>
            <w:rPr>
              <w:rFonts w:hint="eastAsia"/>
              <w:lang w:eastAsia="zh-CN"/>
            </w:rPr>
            <w:t>十三、</w:t>
          </w:r>
          <w:r>
            <w:rPr>
              <w:rFonts w:hint="eastAsia"/>
            </w:rPr>
            <w:t>财政拨款“三公”经费支出决算表</w:t>
          </w:r>
          <w:r>
            <w:tab/>
          </w:r>
          <w:r>
            <w:rPr>
              <w:rFonts w:hint="eastAsia"/>
              <w:lang w:val="en-US" w:eastAsia="zh-CN"/>
            </w:rPr>
            <w:t>2</w:t>
          </w:r>
          <w:r>
            <w:fldChar w:fldCharType="end"/>
          </w:r>
          <w:r>
            <w:rPr>
              <w:rFonts w:hint="eastAsia"/>
              <w:lang w:val="en-US" w:eastAsia="zh-CN"/>
            </w:rPr>
            <w:t>7</w:t>
          </w:r>
        </w:p>
        <w:p w14:paraId="5C3EC390">
          <w:r>
            <w:rPr>
              <w:b/>
            </w:rPr>
            <w:fldChar w:fldCharType="end"/>
          </w:r>
        </w:p>
      </w:sdtContent>
    </w:sdt>
    <w:p w14:paraId="46F7078B">
      <w:pPr>
        <w:widowControl/>
        <w:tabs>
          <w:tab w:val="right" w:pos="8306"/>
        </w:tabs>
        <w:spacing w:line="440" w:lineRule="exact"/>
        <w:jc w:val="left"/>
        <w:rPr>
          <w:rFonts w:hint="eastAsia" w:ascii="仿宋" w:hAnsi="仿宋" w:eastAsia="仿宋"/>
          <w:bCs/>
          <w:color w:val="auto"/>
          <w:kern w:val="44"/>
          <w:sz w:val="24"/>
          <w:highlight w:val="none"/>
          <w:lang w:eastAsia="zh-CN"/>
        </w:rPr>
      </w:pPr>
      <w:r>
        <w:rPr>
          <w:rFonts w:hint="eastAsia" w:ascii="仿宋" w:hAnsi="仿宋" w:eastAsia="仿宋"/>
          <w:b/>
          <w:color w:val="auto"/>
          <w:sz w:val="24"/>
          <w:highlight w:val="none"/>
          <w:lang w:eastAsia="zh-CN"/>
        </w:rPr>
        <w:tab/>
      </w:r>
    </w:p>
    <w:p w14:paraId="615DDE3C">
      <w:pPr>
        <w:pStyle w:val="5"/>
        <w:bidi w:val="0"/>
        <w:jc w:val="center"/>
        <w:rPr>
          <w:rFonts w:hint="eastAsia" w:ascii="方正小标宋简体" w:hAnsi="方正小标宋简体" w:eastAsia="方正小标宋简体" w:cs="方正小标宋简体"/>
          <w:b w:val="0"/>
          <w:bCs w:val="0"/>
          <w:color w:val="auto"/>
          <w:sz w:val="44"/>
          <w:szCs w:val="44"/>
          <w:highlight w:val="none"/>
        </w:rPr>
      </w:pPr>
      <w:bookmarkStart w:id="16" w:name="_Toc872"/>
      <w:r>
        <w:rPr>
          <w:rFonts w:hint="eastAsia" w:ascii="方正小标宋简体" w:hAnsi="方正小标宋简体" w:eastAsia="方正小标宋简体" w:cs="方正小标宋简体"/>
          <w:b w:val="0"/>
          <w:bCs w:val="0"/>
          <w:sz w:val="44"/>
          <w:szCs w:val="44"/>
        </w:rPr>
        <w:t xml:space="preserve">第一部分 </w:t>
      </w:r>
      <w:r>
        <w:rPr>
          <w:rFonts w:hint="eastAsia" w:ascii="方正小标宋简体" w:hAnsi="方正小标宋简体" w:eastAsia="方正小标宋简体" w:cs="方正小标宋简体"/>
          <w:b w:val="0"/>
          <w:bCs w:val="0"/>
          <w:sz w:val="44"/>
          <w:szCs w:val="44"/>
          <w:lang w:eastAsia="zh-CN"/>
        </w:rPr>
        <w:t>单位</w:t>
      </w:r>
      <w:r>
        <w:rPr>
          <w:rFonts w:hint="eastAsia" w:ascii="方正小标宋简体" w:hAnsi="方正小标宋简体" w:eastAsia="方正小标宋简体" w:cs="方正小标宋简体"/>
          <w:b w:val="0"/>
          <w:bCs w:val="0"/>
          <w:sz w:val="44"/>
          <w:szCs w:val="44"/>
        </w:rPr>
        <w:t>概况</w:t>
      </w:r>
      <w:bookmarkEnd w:id="14"/>
      <w:bookmarkEnd w:id="15"/>
      <w:bookmarkEnd w:id="16"/>
    </w:p>
    <w:p w14:paraId="1CBA83EC">
      <w:pPr>
        <w:pStyle w:val="6"/>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lang w:val="en-US" w:eastAsia="zh-CN"/>
        </w:rPr>
      </w:pPr>
      <w:bookmarkStart w:id="17" w:name="_Toc15396600"/>
      <w:bookmarkStart w:id="18" w:name="_Toc15098"/>
      <w:bookmarkStart w:id="19" w:name="_Toc15377197"/>
      <w:r>
        <w:rPr>
          <w:rFonts w:hint="eastAsia" w:ascii="黑体" w:hAnsi="黑体" w:eastAsia="黑体" w:cs="黑体"/>
          <w:b w:val="0"/>
          <w:bCs w:val="0"/>
        </w:rPr>
        <w:t>一、</w:t>
      </w:r>
      <w:bookmarkEnd w:id="17"/>
      <w:bookmarkEnd w:id="18"/>
      <w:bookmarkEnd w:id="19"/>
      <w:r>
        <w:rPr>
          <w:rFonts w:hint="eastAsia" w:ascii="黑体" w:hAnsi="黑体" w:eastAsia="黑体" w:cs="黑体"/>
          <w:b w:val="0"/>
          <w:bCs w:val="0"/>
          <w:lang w:val="en-US" w:eastAsia="zh-CN"/>
        </w:rPr>
        <w:t>单位职责</w:t>
      </w:r>
    </w:p>
    <w:p w14:paraId="6B609B75">
      <w:pPr>
        <w:pStyle w:val="9"/>
        <w:pageBreakBefore w:val="0"/>
        <w:widowControl w:val="0"/>
        <w:kinsoku/>
        <w:wordWrap/>
        <w:overflowPunct/>
        <w:topLinePunct w:val="0"/>
        <w:autoSpaceDE/>
        <w:autoSpaceDN/>
        <w:bidi w:val="0"/>
        <w:adjustRightInd w:val="0"/>
        <w:snapToGrid w:val="0"/>
        <w:spacing w:before="93" w:line="560" w:lineRule="exact"/>
        <w:ind w:firstLine="640" w:firstLineChars="200"/>
        <w:textAlignment w:val="auto"/>
        <w:outlineLvl w:val="2"/>
        <w:rPr>
          <w:rFonts w:hint="eastAsia" w:ascii="楷体_GB2312" w:hAnsi="楷体_GB2312" w:eastAsia="楷体_GB2312" w:cs="楷体_GB2312"/>
          <w:bCs/>
          <w:color w:val="auto"/>
          <w:sz w:val="32"/>
          <w:szCs w:val="32"/>
          <w:highlight w:val="none"/>
        </w:rPr>
      </w:pPr>
      <w:bookmarkStart w:id="20" w:name="_Toc15378445"/>
      <w:bookmarkStart w:id="21" w:name="_Toc15377198"/>
      <w:r>
        <w:rPr>
          <w:rFonts w:hint="eastAsia" w:ascii="楷体_GB2312" w:hAnsi="楷体_GB2312" w:eastAsia="楷体_GB2312" w:cs="楷体_GB2312"/>
          <w:bCs/>
          <w:color w:val="auto"/>
          <w:sz w:val="32"/>
          <w:szCs w:val="32"/>
          <w:highlight w:val="none"/>
        </w:rPr>
        <w:t>（一）主要职能。</w:t>
      </w:r>
      <w:bookmarkEnd w:id="20"/>
      <w:bookmarkEnd w:id="21"/>
      <w:bookmarkStart w:id="22" w:name="_Toc15378446"/>
      <w:bookmarkStart w:id="23" w:name="_Toc15377199"/>
    </w:p>
    <w:p w14:paraId="2451896B">
      <w:pPr>
        <w:pStyle w:val="9"/>
        <w:pageBreakBefore w:val="0"/>
        <w:widowControl w:val="0"/>
        <w:kinsoku/>
        <w:wordWrap/>
        <w:overflowPunct/>
        <w:topLinePunct w:val="0"/>
        <w:autoSpaceDE/>
        <w:autoSpaceDN/>
        <w:bidi w:val="0"/>
        <w:adjustRightInd w:val="0"/>
        <w:snapToGrid w:val="0"/>
        <w:spacing w:before="93" w:line="560" w:lineRule="exact"/>
        <w:ind w:firstLine="640" w:firstLineChars="200"/>
        <w:textAlignment w:val="auto"/>
        <w:outlineLvl w:val="2"/>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贯彻落实党中央、省委、市委关于退役军人工作的方针政策和县委的决策部署，坚持和加强党对退役军人工作的集中统一领导。做好退役军人思想政治建设、转业接收安置、就业创业帮扶、服务管理、教育培训、拥军优属、优待抚恤、褒扬激励等工作，维护好军人军属合法权益。建立健全退役军人管理保障机制，协调各方力量更好为军人军属服务，褒扬彰显退役军人为党、国家和人民牺牲奉献的精神风范和价值导向，让军人成为全社会尊崇的职业，更好地为增强部队战斗力和凝聚力做好组织保障。</w:t>
      </w:r>
    </w:p>
    <w:p w14:paraId="55263A91">
      <w:pPr>
        <w:pStyle w:val="9"/>
        <w:pageBreakBefore w:val="0"/>
        <w:kinsoku/>
        <w:wordWrap/>
        <w:overflowPunct/>
        <w:topLinePunct w:val="0"/>
        <w:autoSpaceDE/>
        <w:autoSpaceDN/>
        <w:bidi w:val="0"/>
        <w:adjustRightInd w:val="0"/>
        <w:snapToGrid w:val="0"/>
        <w:spacing w:before="93" w:line="560" w:lineRule="exact"/>
        <w:ind w:firstLine="672" w:firstLineChars="210"/>
        <w:textAlignment w:val="auto"/>
        <w:outlineLvl w:val="2"/>
        <w:rPr>
          <w:rFonts w:hint="eastAsia" w:ascii="楷体_GB2312" w:hAnsi="楷体_GB2312" w:eastAsia="楷体_GB2312" w:cs="楷体_GB2312"/>
          <w:bCs/>
          <w:color w:val="000000"/>
          <w:sz w:val="32"/>
          <w:szCs w:val="32"/>
          <w:highlight w:val="none"/>
        </w:rPr>
      </w:pPr>
      <w:r>
        <w:rPr>
          <w:rFonts w:hint="eastAsia" w:ascii="楷体_GB2312" w:hAnsi="楷体_GB2312" w:eastAsia="楷体_GB2312" w:cs="楷体_GB2312"/>
          <w:bCs/>
          <w:color w:val="000000"/>
          <w:sz w:val="32"/>
          <w:szCs w:val="32"/>
          <w:highlight w:val="none"/>
        </w:rPr>
        <w:t>（二）202</w:t>
      </w:r>
      <w:r>
        <w:rPr>
          <w:rFonts w:hint="eastAsia" w:ascii="楷体_GB2312" w:hAnsi="楷体_GB2312" w:eastAsia="楷体_GB2312" w:cs="楷体_GB2312"/>
          <w:bCs/>
          <w:color w:val="000000"/>
          <w:sz w:val="32"/>
          <w:szCs w:val="32"/>
          <w:highlight w:val="none"/>
          <w:lang w:val="en-US" w:eastAsia="zh-CN"/>
        </w:rPr>
        <w:t>4</w:t>
      </w:r>
      <w:r>
        <w:rPr>
          <w:rFonts w:hint="eastAsia" w:ascii="楷体_GB2312" w:hAnsi="楷体_GB2312" w:eastAsia="楷体_GB2312" w:cs="楷体_GB2312"/>
          <w:bCs/>
          <w:color w:val="000000"/>
          <w:sz w:val="32"/>
          <w:szCs w:val="32"/>
          <w:highlight w:val="none"/>
        </w:rPr>
        <w:t>年重点工作完成情况。</w:t>
      </w:r>
    </w:p>
    <w:p w14:paraId="2820395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olor w:val="auto"/>
          <w:kern w:val="2"/>
          <w:sz w:val="32"/>
          <w:szCs w:val="32"/>
          <w:highlight w:val="none"/>
          <w:lang w:val="en-US" w:eastAsia="zh-CN" w:bidi="ar-SA"/>
        </w:rPr>
      </w:pPr>
      <w:r>
        <w:rPr>
          <w:rFonts w:hint="eastAsia" w:ascii="仿宋_GB2312" w:hAnsi="仿宋" w:eastAsia="仿宋_GB2312"/>
          <w:color w:val="auto"/>
          <w:kern w:val="2"/>
          <w:sz w:val="32"/>
          <w:szCs w:val="32"/>
          <w:highlight w:val="none"/>
          <w:lang w:val="en-US" w:eastAsia="zh-CN" w:bidi="ar-SA"/>
        </w:rPr>
        <w:t>1.思想政治。一是坚持理论武装头脑。始终把“学思想”作为首要任务贯穿始终，及时传达学习党的二十届三中全会、习近平总书记对退役军人工作作出的重要指示精神、省委十二届五次六次全会、市委八届九次十次全会和县委九届八次全会精神，引导广大党员干部把思想和行动统一到县委决策部署上来，推动党中央大政方针和省委、市委、县委全会部署落地落实。二是深化党纪学习教育。组织《中国共产党纪律处分条例》专题学习研讨6场次、警示教育5场次，不断巩固党员干部知敬畏、存戒惧、守底线的思想自觉和行动自觉。三是加强国防教育。开展“童‘画’我心中的英雄”全民国防教育主题活动中我县2幅获优秀奖，庆祝建军97周年宣传教育活动，推动在全社会营造尊崇英雄、学习英雄、关爱英雄的浓厚氛围。四是弘扬传承烈士精神。开展“铸魂·2024·清明祭英烈”主题宣传教育活动、“红色九月”主题宣传活动，用英烈事迹引导广大群众厚植爱国情怀，在全社会营造崇尚英烈、缅怀英烈、捍卫英烈、关爱英烈的浓厚氛围。五是强化政策理论学习。积极开展政策理论学习，进一步提高干部职工思想政治素质和业务能力。在2024年全市退役军人事务法律法规知识竞赛中我局荣获团体二等奖。</w:t>
      </w:r>
    </w:p>
    <w:p w14:paraId="310B4CF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olor w:val="auto"/>
          <w:kern w:val="2"/>
          <w:sz w:val="32"/>
          <w:szCs w:val="32"/>
          <w:highlight w:val="none"/>
          <w:lang w:val="en-US" w:eastAsia="zh-CN" w:bidi="ar-SA"/>
        </w:rPr>
      </w:pPr>
      <w:r>
        <w:rPr>
          <w:rFonts w:hint="eastAsia" w:ascii="仿宋_GB2312" w:hAnsi="仿宋" w:eastAsia="仿宋_GB2312"/>
          <w:color w:val="auto"/>
          <w:kern w:val="2"/>
          <w:sz w:val="32"/>
          <w:szCs w:val="32"/>
          <w:highlight w:val="none"/>
          <w:lang w:val="en-US" w:eastAsia="zh-CN" w:bidi="ar-SA"/>
        </w:rPr>
        <w:t>2.权益维护。一是抓初信初访。全年接待来访18批次18人次，妥善办理完成省委第二巡视组交办信访事项2件次，满意率达100%。二是深化关爱帮扶。开展办好“退役军人最期盼的10件事”活动，常态走访慰问重点优抚对象，开展走访慰问966人次，关爱帮扶46人13.8万元，医疗救助21人3.86万元，落实伤残退役军人职工医疗保险金4.97万元，解决实际困难问题67个。三是抓优待证申领。纳入系统退役军人及其他优抚对象2615人，基础电子档案信息表收集、录入系统2356人次，优待证申领2356人次。</w:t>
      </w:r>
    </w:p>
    <w:p w14:paraId="229BC2F7">
      <w:pPr>
        <w:keepNext w:val="0"/>
        <w:keepLines w:val="0"/>
        <w:pageBreakBefore w:val="0"/>
        <w:suppressAutoHyphen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olor w:val="auto"/>
          <w:kern w:val="2"/>
          <w:sz w:val="32"/>
          <w:szCs w:val="32"/>
          <w:highlight w:val="none"/>
          <w:lang w:val="en-US" w:eastAsia="zh-CN" w:bidi="ar-SA"/>
        </w:rPr>
      </w:pPr>
      <w:r>
        <w:rPr>
          <w:rFonts w:hint="eastAsia" w:ascii="仿宋_GB2312" w:hAnsi="仿宋" w:eastAsia="仿宋_GB2312"/>
          <w:color w:val="auto"/>
          <w:kern w:val="2"/>
          <w:sz w:val="32"/>
          <w:szCs w:val="32"/>
          <w:highlight w:val="none"/>
          <w:lang w:val="en-US" w:eastAsia="zh-CN" w:bidi="ar-SA"/>
        </w:rPr>
        <w:t>3.移交安置。全县共接收自主就业退役士兵28人，发放一次性地方经济补助78.6万元；接收安置符合政府安排工作退役士兵1名。</w:t>
      </w:r>
    </w:p>
    <w:p w14:paraId="5D88B649">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仿宋_GB2312" w:hAnsi="仿宋" w:eastAsia="仿宋_GB2312"/>
          <w:color w:val="auto"/>
          <w:kern w:val="2"/>
          <w:sz w:val="32"/>
          <w:szCs w:val="32"/>
          <w:highlight w:val="none"/>
          <w:lang w:val="en-US" w:eastAsia="zh-CN" w:bidi="ar-SA"/>
        </w:rPr>
      </w:pPr>
      <w:r>
        <w:rPr>
          <w:rFonts w:hint="eastAsia" w:ascii="仿宋_GB2312" w:hAnsi="仿宋" w:eastAsia="仿宋_GB2312"/>
          <w:color w:val="auto"/>
          <w:kern w:val="2"/>
          <w:sz w:val="32"/>
          <w:szCs w:val="32"/>
          <w:highlight w:val="none"/>
          <w:lang w:val="en-US" w:eastAsia="zh-CN" w:bidi="ar-SA"/>
        </w:rPr>
        <w:t>4.就业创业。一是搭建就业平台。举办退役军人专场招聘会，省内外92家企业提供9589个岗位，助力就业5人。建立县境内企事业岗位需求信息交流机制，推荐1名退役军人到国企就业。二是提升能力。夯实教育培训，组织28名退役士兵参加线上线下社会适应性培训，培训合格率100%，稳定就业1人；积极举办退役士兵职业技能培训。三是政策鼓励。积极开展“送政策、送经验、送服务”活动，召开“三送”活动会议，围绕“企业税收政策”“企业贷款金融政策”，落实税费减免、创业贴息贷款等政策，为退役军人创业贴息贷款29万元。</w:t>
      </w:r>
    </w:p>
    <w:p w14:paraId="486EC39B">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仿宋_GB2312" w:hAnsi="仿宋" w:eastAsia="仿宋_GB2312"/>
          <w:color w:val="auto"/>
          <w:kern w:val="2"/>
          <w:sz w:val="32"/>
          <w:szCs w:val="32"/>
          <w:highlight w:val="none"/>
          <w:lang w:val="en-US" w:eastAsia="zh-CN" w:bidi="ar-SA"/>
        </w:rPr>
      </w:pPr>
      <w:r>
        <w:rPr>
          <w:rFonts w:hint="eastAsia" w:ascii="仿宋_GB2312" w:hAnsi="仿宋" w:eastAsia="仿宋_GB2312"/>
          <w:color w:val="auto"/>
          <w:kern w:val="2"/>
          <w:sz w:val="32"/>
          <w:szCs w:val="32"/>
          <w:highlight w:val="none"/>
          <w:lang w:val="en-US" w:eastAsia="zh-CN" w:bidi="ar-SA"/>
        </w:rPr>
        <w:t>5.军休（转）服务管理。精准发放军休干部离退休费、遗属生活补助等各项生活待遇共计149.78万元，企业军转干部解困补贴81.61万元。组织1名军休干部参加了全市第六届军队离退休干部趣味运动会。走访军休干部3人、电话访问78人次、政策宣讲78人次，解决困难问题3个，发放价值1500元慰问品。</w:t>
      </w:r>
    </w:p>
    <w:p w14:paraId="7894E373">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default" w:ascii="仿宋_GB2312" w:hAnsi="仿宋" w:eastAsia="仿宋_GB2312"/>
          <w:color w:val="auto"/>
          <w:kern w:val="2"/>
          <w:sz w:val="32"/>
          <w:szCs w:val="32"/>
          <w:highlight w:val="none"/>
          <w:lang w:val="en-US" w:eastAsia="zh-CN" w:bidi="ar-SA"/>
        </w:rPr>
      </w:pPr>
      <w:r>
        <w:rPr>
          <w:rFonts w:hint="eastAsia" w:ascii="仿宋_GB2312" w:hAnsi="仿宋" w:eastAsia="仿宋_GB2312"/>
          <w:color w:val="auto"/>
          <w:kern w:val="2"/>
          <w:sz w:val="32"/>
          <w:szCs w:val="32"/>
          <w:highlight w:val="none"/>
          <w:lang w:val="en-US" w:eastAsia="zh-CN" w:bidi="ar-SA"/>
        </w:rPr>
        <w:t>6.优待抚恤。按时足额发放优抚对象抚恤定补556人421.53万元，兑现义务兵家庭优待金59户58.27万元、大学生入伍奖励金24人53.88万元。</w:t>
      </w:r>
    </w:p>
    <w:p w14:paraId="79D50E0D">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b w:val="0"/>
          <w:bCs w:val="0"/>
          <w:color w:val="auto"/>
          <w:kern w:val="2"/>
          <w:sz w:val="32"/>
          <w:szCs w:val="32"/>
          <w:highlight w:val="none"/>
          <w:lang w:val="en-US" w:eastAsia="zh-CN" w:bidi="ar-SA"/>
        </w:rPr>
      </w:pPr>
      <w:r>
        <w:rPr>
          <w:rFonts w:hint="eastAsia" w:ascii="仿宋_GB2312" w:hAnsi="仿宋" w:eastAsia="仿宋_GB2312" w:cs="Times New Roman"/>
          <w:b w:val="0"/>
          <w:bCs w:val="0"/>
          <w:color w:val="auto"/>
          <w:kern w:val="2"/>
          <w:sz w:val="32"/>
          <w:szCs w:val="32"/>
          <w:highlight w:val="none"/>
          <w:lang w:val="en-US" w:eastAsia="zh-CN" w:bidi="ar-SA"/>
        </w:rPr>
        <w:t>7.双拥共建。一是拥军慰问。“八一”、春节期间，县“四大家”主要领导带队走访慰问驻峨部队、现役军人军属、退役军人及优抚对象等，发放慰问金95.88万元。二是拥军支前。落实资金37万余元，支持驻峨武警中队营区饮水、训练场地、执勤等设施设备建设。三是关心关爱。开展迎接秋季退役军人返乡系列活动，积极营造拥军优属浓厚社会氛围。争取“情暖老兵”项目资金5000元，帮助困难退役军人子女就学。</w:t>
      </w:r>
    </w:p>
    <w:p w14:paraId="36B99074">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olor w:val="auto"/>
          <w:kern w:val="2"/>
          <w:sz w:val="32"/>
          <w:szCs w:val="32"/>
          <w:highlight w:val="none"/>
          <w:lang w:val="en-US" w:eastAsia="zh-CN" w:bidi="ar-SA"/>
        </w:rPr>
      </w:pPr>
      <w:r>
        <w:rPr>
          <w:rFonts w:hint="eastAsia" w:ascii="仿宋_GB2312" w:hAnsi="仿宋" w:eastAsia="仿宋_GB2312"/>
          <w:color w:val="auto"/>
          <w:kern w:val="2"/>
          <w:sz w:val="32"/>
          <w:szCs w:val="32"/>
          <w:highlight w:val="none"/>
          <w:lang w:val="en-US" w:eastAsia="zh-CN" w:bidi="ar-SA"/>
        </w:rPr>
        <w:t>8.褒扬纪念。一是安全文明开展清明祭扫活动。组织社会各界参与清明烈士祭扫16场1500余人。二是安全有序开展“9·30”公祭日活动。县“四大家”领导及社会各界代表等210余人在县烈士陵园参加了烈士纪念日缅怀仪式。三是加强烈士纪念设施的管护。整改完善县烈士陵园英名墙及6座墓文，安装3吨水池一个，改造水管150米，修复开裂烈士墓6座。</w:t>
      </w:r>
    </w:p>
    <w:p w14:paraId="368032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 w:eastAsia="仿宋_GB2312"/>
          <w:color w:val="auto"/>
          <w:kern w:val="2"/>
          <w:sz w:val="32"/>
          <w:szCs w:val="32"/>
          <w:highlight w:val="none"/>
          <w:lang w:val="en-US" w:eastAsia="zh-CN" w:bidi="ar-SA"/>
        </w:rPr>
        <w:t>9.自身建设。一是抓好退役军人服务中心基础建设。大力推进退役军人人事档案室建设，对标国家、省、市关于退役军人人事档案室建设要求，确保年底前完成建设。实现我县退役军人人事档案科学规范管理。二是抓好基层服务站建设。深入推进乡镇、村、社区服务体系规范化建设，新场乡羊子岩村退役军人服务站荣获全省百强服务站，毛坪镇等分村争创2025年度全省优秀服务站，以点带面，全方位建立思想政治引领、就业创业扶持、走访慰问、权益维护等台账，落实专人动态管理，推动基层服务站良好运行。三是认真开展“节奏更快、效率更高、质量更优”主题实践活动。干部职工“三实两提”为标准，围绕“七个有之”“六为”，深入检视、剖析整改，聚焦“节奏更快”拼作风，聚焦“效率更高”拼发展，聚焦“质量更优”拼成绩。切实增强纪律规矩意识，担当作为，精准发力，奋勇争先，高质量全面完成各项工作任务。</w:t>
      </w:r>
    </w:p>
    <w:p w14:paraId="3CCB8C2F">
      <w:pPr>
        <w:pStyle w:val="6"/>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rPr>
      </w:pPr>
      <w:bookmarkStart w:id="24" w:name="_Toc6186"/>
      <w:r>
        <w:rPr>
          <w:rFonts w:hint="eastAsia" w:ascii="黑体" w:hAnsi="黑体" w:eastAsia="黑体" w:cs="黑体"/>
          <w:b w:val="0"/>
          <w:bCs w:val="0"/>
        </w:rPr>
        <w:t>二、机构设置</w:t>
      </w:r>
      <w:bookmarkEnd w:id="24"/>
    </w:p>
    <w:p w14:paraId="34A1387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退役军人事务局下属二级单位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个，其中行政单位0个，参照公务员法管理的事业单位0个，其他事业单位1个。</w:t>
      </w:r>
    </w:p>
    <w:p w14:paraId="43852899">
      <w:pPr>
        <w:pageBreakBefore w:val="0"/>
        <w:kinsoku/>
        <w:wordWrap/>
        <w:overflowPunct/>
        <w:topLinePunct w:val="0"/>
        <w:autoSpaceDE/>
        <w:autoSpaceDN/>
        <w:bidi w:val="0"/>
        <w:spacing w:line="560" w:lineRule="exact"/>
        <w:ind w:firstLine="800" w:firstLineChars="25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纳入县退役军人事务局20</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年度部门决算编制范围的二级预算单位</w:t>
      </w:r>
      <w:r>
        <w:rPr>
          <w:rFonts w:hint="eastAsia" w:ascii="仿宋_GB2312" w:hAnsi="仿宋_GB2312" w:eastAsia="仿宋_GB2312" w:cs="仿宋_GB2312"/>
          <w:color w:val="000000"/>
          <w:sz w:val="32"/>
          <w:szCs w:val="32"/>
          <w:lang w:val="en-US" w:eastAsia="zh-CN"/>
        </w:rPr>
        <w:t>0个。</w:t>
      </w:r>
    </w:p>
    <w:bookmarkEnd w:id="22"/>
    <w:bookmarkEnd w:id="23"/>
    <w:p w14:paraId="2B0EBF2E">
      <w:pPr>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br w:type="page"/>
      </w:r>
    </w:p>
    <w:p w14:paraId="5FDACBF1">
      <w:pPr>
        <w:pStyle w:val="5"/>
        <w:numPr>
          <w:ilvl w:val="0"/>
          <w:numId w:val="1"/>
        </w:numPr>
        <w:bidi w:val="0"/>
        <w:jc w:val="center"/>
        <w:rPr>
          <w:rFonts w:hint="eastAsia" w:ascii="方正小标宋简体" w:hAnsi="方正小标宋简体" w:eastAsia="方正小标宋简体" w:cs="方正小标宋简体"/>
        </w:rPr>
      </w:pPr>
      <w:bookmarkStart w:id="25" w:name="_Toc15396602"/>
      <w:bookmarkStart w:id="26" w:name="_Toc15377204"/>
      <w:bookmarkStart w:id="27" w:name="_Toc26404"/>
      <w:r>
        <w:rPr>
          <w:rFonts w:hint="eastAsia" w:ascii="方正小标宋简体" w:hAnsi="方正小标宋简体" w:eastAsia="方正小标宋简体" w:cs="方正小标宋简体"/>
          <w:lang w:val="en-US" w:eastAsia="zh-CN"/>
        </w:rPr>
        <w:t>2024年度</w:t>
      </w:r>
      <w:r>
        <w:rPr>
          <w:rFonts w:hint="eastAsia" w:ascii="方正小标宋简体" w:hAnsi="方正小标宋简体" w:eastAsia="方正小标宋简体" w:cs="方正小标宋简体"/>
          <w:lang w:eastAsia="zh-CN"/>
        </w:rPr>
        <w:t>单位</w:t>
      </w:r>
      <w:r>
        <w:rPr>
          <w:rFonts w:hint="eastAsia" w:ascii="方正小标宋简体" w:hAnsi="方正小标宋简体" w:eastAsia="方正小标宋简体" w:cs="方正小标宋简体"/>
        </w:rPr>
        <w:t>决算情况说明</w:t>
      </w:r>
      <w:bookmarkEnd w:id="25"/>
      <w:bookmarkEnd w:id="26"/>
      <w:bookmarkEnd w:id="27"/>
      <w:bookmarkStart w:id="28" w:name="_Toc15396603"/>
      <w:bookmarkStart w:id="29" w:name="_Toc15377205"/>
      <w:bookmarkStart w:id="30" w:name="_Toc3135"/>
    </w:p>
    <w:p w14:paraId="0AB550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p>
    <w:p w14:paraId="638D1A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一、收入支出决算总体情况说明</w:t>
      </w:r>
    </w:p>
    <w:bookmarkEnd w:id="28"/>
    <w:bookmarkEnd w:id="29"/>
    <w:bookmarkEnd w:id="30"/>
    <w:p w14:paraId="5B24984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000000"/>
          <w:kern w:val="2"/>
          <w:sz w:val="32"/>
          <w:szCs w:val="24"/>
          <w:lang w:val="zh-CN" w:eastAsia="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zh-CN"/>
        </w:rPr>
        <w:t>年度收、支总计</w:t>
      </w:r>
      <w:r>
        <w:rPr>
          <w:rFonts w:hint="eastAsia" w:ascii="仿宋_GB2312" w:hAnsi="仿宋_GB2312" w:eastAsia="仿宋_GB2312"/>
          <w:color w:val="000000"/>
          <w:kern w:val="2"/>
          <w:sz w:val="32"/>
          <w:szCs w:val="24"/>
          <w:lang w:val="en-US" w:eastAsia="zh-CN"/>
        </w:rPr>
        <w:t>1077.22</w:t>
      </w:r>
      <w:r>
        <w:rPr>
          <w:rFonts w:hint="eastAsia" w:ascii="仿宋_GB2312" w:hAnsi="仿宋_GB2312" w:eastAsia="仿宋_GB2312"/>
          <w:color w:val="000000"/>
          <w:kern w:val="2"/>
          <w:sz w:val="32"/>
          <w:szCs w:val="24"/>
          <w:lang w:val="zh-CN"/>
        </w:rPr>
        <w:t>万元。与202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年相比，收、支总计各减少</w:t>
      </w:r>
      <w:r>
        <w:rPr>
          <w:rFonts w:hint="eastAsia" w:ascii="仿宋_GB2312" w:hAnsi="仿宋_GB2312" w:eastAsia="仿宋_GB2312"/>
          <w:color w:val="000000"/>
          <w:kern w:val="2"/>
          <w:sz w:val="32"/>
          <w:szCs w:val="24"/>
          <w:lang w:val="en-US" w:eastAsia="zh-CN"/>
        </w:rPr>
        <w:t>346.86</w:t>
      </w:r>
      <w:r>
        <w:rPr>
          <w:rFonts w:hint="eastAsia" w:ascii="仿宋_GB2312" w:hAnsi="仿宋_GB2312" w:eastAsia="仿宋_GB2312"/>
          <w:color w:val="000000"/>
          <w:kern w:val="2"/>
          <w:sz w:val="32"/>
          <w:szCs w:val="24"/>
          <w:lang w:val="zh-CN"/>
        </w:rPr>
        <w:t>万元，下降</w:t>
      </w:r>
      <w:r>
        <w:rPr>
          <w:rFonts w:hint="eastAsia" w:ascii="仿宋_GB2312" w:hAnsi="仿宋_GB2312" w:eastAsia="仿宋_GB2312"/>
          <w:color w:val="000000"/>
          <w:kern w:val="2"/>
          <w:sz w:val="32"/>
          <w:szCs w:val="24"/>
          <w:lang w:val="en-US" w:eastAsia="zh-CN"/>
        </w:rPr>
        <w:t>24.36</w:t>
      </w:r>
      <w:r>
        <w:rPr>
          <w:rFonts w:hint="eastAsia" w:ascii="仿宋_GB2312" w:hAnsi="仿宋_GB2312" w:eastAsia="仿宋_GB2312"/>
          <w:color w:val="000000"/>
          <w:kern w:val="2"/>
          <w:sz w:val="32"/>
          <w:szCs w:val="24"/>
          <w:lang w:val="zh-CN"/>
        </w:rPr>
        <w:t>%。主要</w:t>
      </w:r>
      <w:bookmarkStart w:id="80" w:name="_GoBack"/>
      <w:bookmarkEnd w:id="80"/>
      <w:r>
        <w:rPr>
          <w:rFonts w:hint="eastAsia" w:ascii="仿宋_GB2312" w:hAnsi="仿宋_GB2312" w:eastAsia="仿宋_GB2312"/>
          <w:color w:val="000000"/>
          <w:kern w:val="2"/>
          <w:sz w:val="32"/>
          <w:szCs w:val="24"/>
          <w:lang w:val="zh-CN"/>
        </w:rPr>
        <w:t>原因是</w:t>
      </w:r>
      <w:r>
        <w:rPr>
          <w:rFonts w:hint="eastAsia" w:ascii="仿宋_GB2312" w:hAnsi="仿宋_GB2312" w:eastAsia="仿宋_GB2312" w:cs="Times New Roman"/>
          <w:color w:val="000000"/>
          <w:kern w:val="2"/>
          <w:sz w:val="32"/>
          <w:szCs w:val="24"/>
          <w:lang w:val="zh-CN" w:eastAsia="zh-CN"/>
        </w:rPr>
        <w:t>项目</w:t>
      </w:r>
      <w:r>
        <w:rPr>
          <w:rFonts w:hint="eastAsia" w:ascii="仿宋_GB2312" w:hAnsi="仿宋_GB2312" w:eastAsia="仿宋_GB2312" w:cs="Times New Roman"/>
          <w:color w:val="000000"/>
          <w:kern w:val="2"/>
          <w:sz w:val="32"/>
          <w:szCs w:val="24"/>
          <w:lang w:val="en-US" w:eastAsia="zh-CN"/>
        </w:rPr>
        <w:t>减少</w:t>
      </w:r>
      <w:r>
        <w:rPr>
          <w:rFonts w:hint="eastAsia" w:ascii="仿宋_GB2312" w:hAnsi="仿宋_GB2312" w:eastAsia="仿宋_GB2312" w:cs="Times New Roman"/>
          <w:color w:val="000000"/>
          <w:kern w:val="2"/>
          <w:sz w:val="32"/>
          <w:szCs w:val="24"/>
          <w:lang w:val="zh-CN" w:eastAsia="zh-CN"/>
        </w:rPr>
        <w:t>。</w:t>
      </w:r>
    </w:p>
    <w:p w14:paraId="25CF9C6F">
      <w:pPr>
        <w:spacing w:line="600" w:lineRule="exact"/>
        <w:ind w:firstLine="420" w:firstLineChars="200"/>
        <w:jc w:val="center"/>
        <w:rPr>
          <w:rFonts w:hint="eastAsia" w:ascii="仿宋" w:hAnsi="仿宋" w:eastAsia="仿宋"/>
          <w:color w:val="auto"/>
          <w:sz w:val="32"/>
          <w:szCs w:val="32"/>
          <w:highlight w:val="none"/>
        </w:rPr>
      </w:pPr>
      <w:r>
        <w:drawing>
          <wp:anchor distT="0" distB="0" distL="114300" distR="114300" simplePos="0" relativeHeight="251662336" behindDoc="1" locked="0" layoutInCell="1" allowOverlap="1">
            <wp:simplePos x="0" y="0"/>
            <wp:positionH relativeFrom="column">
              <wp:posOffset>231775</wp:posOffset>
            </wp:positionH>
            <wp:positionV relativeFrom="paragraph">
              <wp:posOffset>128270</wp:posOffset>
            </wp:positionV>
            <wp:extent cx="4702175" cy="1831340"/>
            <wp:effectExtent l="4445" t="4445" r="17780" b="12065"/>
            <wp:wrapNone/>
            <wp:docPr id="2"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024731B8">
      <w:pPr>
        <w:spacing w:line="600" w:lineRule="exact"/>
        <w:ind w:firstLine="640" w:firstLineChars="200"/>
        <w:jc w:val="center"/>
        <w:rPr>
          <w:rFonts w:hint="eastAsia" w:ascii="仿宋" w:hAnsi="仿宋" w:eastAsia="仿宋"/>
          <w:color w:val="auto"/>
          <w:sz w:val="32"/>
          <w:szCs w:val="32"/>
          <w:highlight w:val="none"/>
        </w:rPr>
      </w:pPr>
    </w:p>
    <w:p w14:paraId="46AE2469">
      <w:pPr>
        <w:spacing w:line="600" w:lineRule="exact"/>
        <w:ind w:firstLine="640" w:firstLineChars="200"/>
        <w:jc w:val="center"/>
        <w:rPr>
          <w:rFonts w:hint="eastAsia" w:ascii="仿宋" w:hAnsi="仿宋" w:eastAsia="仿宋"/>
          <w:color w:val="auto"/>
          <w:sz w:val="32"/>
          <w:szCs w:val="32"/>
          <w:highlight w:val="none"/>
        </w:rPr>
      </w:pPr>
    </w:p>
    <w:p w14:paraId="4CB45D6F">
      <w:pPr>
        <w:spacing w:line="600" w:lineRule="exact"/>
        <w:ind w:firstLine="640" w:firstLineChars="200"/>
        <w:jc w:val="center"/>
        <w:rPr>
          <w:rFonts w:hint="eastAsia" w:ascii="仿宋" w:hAnsi="仿宋" w:eastAsia="仿宋"/>
          <w:color w:val="auto"/>
          <w:sz w:val="32"/>
          <w:szCs w:val="32"/>
          <w:highlight w:val="none"/>
        </w:rPr>
      </w:pPr>
    </w:p>
    <w:p w14:paraId="4B4B65EA">
      <w:pPr>
        <w:spacing w:line="600" w:lineRule="exact"/>
        <w:jc w:val="both"/>
        <w:rPr>
          <w:rFonts w:hint="eastAsia" w:ascii="仿宋" w:hAnsi="仿宋" w:eastAsia="仿宋"/>
          <w:color w:val="auto"/>
          <w:sz w:val="32"/>
          <w:szCs w:val="32"/>
          <w:highlight w:val="none"/>
        </w:rPr>
      </w:pPr>
    </w:p>
    <w:p w14:paraId="00E70FD5">
      <w:pPr>
        <w:spacing w:line="600" w:lineRule="exact"/>
        <w:ind w:firstLine="640" w:firstLineChars="200"/>
        <w:jc w:val="center"/>
        <w:rPr>
          <w:rFonts w:hint="eastAsia" w:ascii="黑体" w:hAnsi="黑体" w:eastAsia="黑体" w:cs="黑体"/>
          <w:sz w:val="32"/>
          <w:szCs w:val="32"/>
          <w:lang w:eastAsia="zh-CN"/>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w:t>
      </w:r>
      <w:bookmarkStart w:id="31" w:name="_Toc15377206"/>
      <w:bookmarkStart w:id="32" w:name="_Toc15396604"/>
      <w:bookmarkStart w:id="33" w:name="_Toc19144"/>
    </w:p>
    <w:p w14:paraId="365EEEEE">
      <w:pPr>
        <w:spacing w:line="60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收入决算情况说明</w:t>
      </w:r>
      <w:bookmarkEnd w:id="31"/>
      <w:bookmarkEnd w:id="32"/>
      <w:bookmarkEnd w:id="33"/>
    </w:p>
    <w:p w14:paraId="07269EE6">
      <w:pPr>
        <w:keepNext/>
        <w:keepLines/>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 w:hAnsi="仿宋" w:eastAsia="仿宋"/>
          <w:color w:val="auto"/>
          <w:sz w:val="32"/>
          <w:szCs w:val="32"/>
          <w:highlight w:val="none"/>
        </w:rPr>
      </w:pPr>
      <w:bookmarkStart w:id="34" w:name="_Toc6615"/>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zh-CN"/>
        </w:rPr>
        <w:t>年本年收入合计</w:t>
      </w:r>
      <w:r>
        <w:rPr>
          <w:rFonts w:hint="eastAsia" w:ascii="仿宋_GB2312" w:hAnsi="仿宋_GB2312" w:eastAsia="仿宋_GB2312"/>
          <w:color w:val="000000"/>
          <w:kern w:val="2"/>
          <w:sz w:val="32"/>
          <w:szCs w:val="24"/>
          <w:lang w:val="en-US" w:eastAsia="zh-CN"/>
        </w:rPr>
        <w:t>1077.22</w:t>
      </w:r>
      <w:r>
        <w:rPr>
          <w:rFonts w:hint="eastAsia" w:ascii="仿宋_GB2312" w:hAnsi="仿宋_GB2312" w:eastAsia="仿宋_GB2312"/>
          <w:color w:val="000000"/>
          <w:kern w:val="2"/>
          <w:sz w:val="32"/>
          <w:szCs w:val="24"/>
          <w:lang w:val="zh-CN"/>
        </w:rPr>
        <w:t>万元，其中：一般公共预算财政拨款收入</w:t>
      </w:r>
      <w:r>
        <w:rPr>
          <w:rFonts w:hint="eastAsia" w:ascii="仿宋_GB2312" w:hAnsi="仿宋_GB2312" w:eastAsia="仿宋_GB2312"/>
          <w:color w:val="000000"/>
          <w:kern w:val="2"/>
          <w:sz w:val="32"/>
          <w:szCs w:val="24"/>
          <w:lang w:val="en-US" w:eastAsia="zh-CN"/>
        </w:rPr>
        <w:t>1077.22</w:t>
      </w:r>
      <w:r>
        <w:rPr>
          <w:rFonts w:hint="eastAsia" w:ascii="仿宋_GB2312" w:hAnsi="仿宋_GB2312" w:eastAsia="仿宋_GB2312"/>
          <w:color w:val="000000"/>
          <w:kern w:val="2"/>
          <w:sz w:val="32"/>
          <w:szCs w:val="24"/>
          <w:lang w:val="zh-CN"/>
        </w:rPr>
        <w:t>万元，占</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zh-CN"/>
        </w:rPr>
        <w:t>%；政府性基金预算财政拨款收入</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万元，占</w:t>
      </w:r>
      <w:r>
        <w:rPr>
          <w:rFonts w:hint="eastAsia" w:ascii="仿宋_GB2312" w:hAnsi="仿宋_GB2312" w:eastAsia="仿宋_GB2312"/>
          <w:color w:val="000000"/>
          <w:kern w:val="2"/>
          <w:sz w:val="32"/>
          <w:szCs w:val="24"/>
          <w:lang w:val="en-US" w:eastAsia="zh-CN"/>
        </w:rPr>
        <w:t>0.00</w:t>
      </w:r>
      <w:r>
        <w:rPr>
          <w:rFonts w:hint="eastAsia" w:ascii="仿宋_GB2312" w:hAnsi="仿宋_GB2312" w:eastAsia="仿宋_GB2312"/>
          <w:color w:val="000000"/>
          <w:kern w:val="2"/>
          <w:sz w:val="32"/>
          <w:szCs w:val="24"/>
          <w:lang w:val="zh-CN"/>
        </w:rPr>
        <w:t>%。</w:t>
      </w:r>
      <w:bookmarkEnd w:id="34"/>
    </w:p>
    <w:p w14:paraId="36C3782D">
      <w:pPr>
        <w:spacing w:line="600" w:lineRule="exact"/>
        <w:ind w:firstLine="630" w:firstLineChars="300"/>
        <w:jc w:val="both"/>
        <w:rPr>
          <w:rFonts w:hint="eastAsia" w:ascii="仿宋" w:hAnsi="仿宋" w:eastAsia="仿宋"/>
          <w:color w:val="auto"/>
          <w:sz w:val="32"/>
          <w:szCs w:val="32"/>
          <w:highlight w:val="none"/>
        </w:rPr>
      </w:pPr>
      <w:r>
        <w:drawing>
          <wp:anchor distT="0" distB="0" distL="114300" distR="114300" simplePos="0" relativeHeight="251660288" behindDoc="1" locked="0" layoutInCell="1" allowOverlap="1">
            <wp:simplePos x="0" y="0"/>
            <wp:positionH relativeFrom="column">
              <wp:posOffset>107950</wp:posOffset>
            </wp:positionH>
            <wp:positionV relativeFrom="paragraph">
              <wp:posOffset>99060</wp:posOffset>
            </wp:positionV>
            <wp:extent cx="4974590" cy="1678305"/>
            <wp:effectExtent l="4445" t="4445" r="12065" b="12700"/>
            <wp:wrapNone/>
            <wp:docPr id="42" name="图表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19D5E51B">
      <w:pPr>
        <w:spacing w:line="600" w:lineRule="exact"/>
        <w:ind w:firstLine="960" w:firstLineChars="300"/>
        <w:jc w:val="both"/>
        <w:rPr>
          <w:rFonts w:hint="eastAsia" w:ascii="仿宋" w:hAnsi="仿宋" w:eastAsia="仿宋"/>
          <w:color w:val="auto"/>
          <w:sz w:val="32"/>
          <w:szCs w:val="32"/>
          <w:highlight w:val="none"/>
        </w:rPr>
      </w:pPr>
    </w:p>
    <w:p w14:paraId="0F91D28C">
      <w:pPr>
        <w:spacing w:line="600" w:lineRule="exact"/>
        <w:ind w:firstLine="960" w:firstLineChars="300"/>
        <w:jc w:val="both"/>
        <w:rPr>
          <w:rFonts w:hint="eastAsia" w:ascii="仿宋" w:hAnsi="仿宋" w:eastAsia="仿宋"/>
          <w:color w:val="auto"/>
          <w:sz w:val="32"/>
          <w:szCs w:val="32"/>
          <w:highlight w:val="none"/>
        </w:rPr>
      </w:pPr>
    </w:p>
    <w:p w14:paraId="3313D6B6">
      <w:pPr>
        <w:spacing w:line="600" w:lineRule="exact"/>
        <w:ind w:firstLine="960" w:firstLineChars="300"/>
        <w:jc w:val="both"/>
        <w:rPr>
          <w:rFonts w:hint="eastAsia" w:ascii="仿宋" w:hAnsi="仿宋" w:eastAsia="仿宋"/>
          <w:color w:val="auto"/>
          <w:sz w:val="32"/>
          <w:szCs w:val="32"/>
          <w:highlight w:val="none"/>
        </w:rPr>
      </w:pPr>
    </w:p>
    <w:p w14:paraId="764BB545">
      <w:pPr>
        <w:spacing w:line="600" w:lineRule="exact"/>
        <w:ind w:firstLine="960" w:firstLineChars="300"/>
        <w:jc w:val="both"/>
        <w:rPr>
          <w:rFonts w:hint="eastAsia" w:ascii="仿宋" w:hAnsi="仿宋" w:eastAsia="仿宋"/>
          <w:color w:val="auto"/>
          <w:sz w:val="32"/>
          <w:szCs w:val="32"/>
          <w:highlight w:val="none"/>
        </w:rPr>
      </w:pPr>
    </w:p>
    <w:p w14:paraId="7FC5C601">
      <w:pPr>
        <w:spacing w:line="600" w:lineRule="exact"/>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w:t>
      </w:r>
      <w:bookmarkStart w:id="35" w:name="_Toc15396605"/>
      <w:bookmarkStart w:id="36" w:name="_Toc4123"/>
      <w:bookmarkStart w:id="37" w:name="_Toc15377207"/>
    </w:p>
    <w:p w14:paraId="6F235B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支出决算情况说明</w:t>
      </w:r>
      <w:bookmarkEnd w:id="35"/>
      <w:bookmarkEnd w:id="36"/>
      <w:bookmarkEnd w:id="37"/>
    </w:p>
    <w:p w14:paraId="42D9A1FA">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仿宋" w:hAnsi="仿宋" w:eastAsia="仿宋"/>
          <w:color w:val="auto"/>
          <w:sz w:val="32"/>
          <w:szCs w:val="32"/>
          <w:highlight w:val="none"/>
        </w:rPr>
      </w:pPr>
      <w:bookmarkStart w:id="38" w:name="_Toc14504"/>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zh-CN"/>
        </w:rPr>
        <w:t>年本年支出合计</w:t>
      </w:r>
      <w:r>
        <w:rPr>
          <w:rFonts w:hint="eastAsia" w:ascii="仿宋_GB2312" w:hAnsi="仿宋_GB2312" w:eastAsia="仿宋_GB2312"/>
          <w:color w:val="000000"/>
          <w:kern w:val="2"/>
          <w:sz w:val="32"/>
          <w:szCs w:val="24"/>
          <w:lang w:val="en-US" w:eastAsia="zh-CN"/>
        </w:rPr>
        <w:t>1077.22</w:t>
      </w:r>
      <w:r>
        <w:rPr>
          <w:rFonts w:hint="eastAsia" w:ascii="仿宋_GB2312" w:hAnsi="仿宋_GB2312" w:eastAsia="仿宋_GB2312"/>
          <w:color w:val="000000"/>
          <w:kern w:val="2"/>
          <w:sz w:val="32"/>
          <w:szCs w:val="24"/>
          <w:lang w:val="zh-CN"/>
        </w:rPr>
        <w:t>万元，其中：基本支出</w:t>
      </w:r>
      <w:r>
        <w:rPr>
          <w:rFonts w:hint="eastAsia" w:ascii="仿宋_GB2312" w:hAnsi="仿宋_GB2312" w:eastAsia="仿宋_GB2312"/>
          <w:color w:val="000000"/>
          <w:kern w:val="2"/>
          <w:sz w:val="32"/>
          <w:szCs w:val="24"/>
          <w:lang w:val="en-US" w:eastAsia="zh-CN"/>
        </w:rPr>
        <w:t>222.7</w:t>
      </w:r>
      <w:r>
        <w:rPr>
          <w:rFonts w:hint="eastAsia" w:ascii="仿宋_GB2312" w:hAnsi="仿宋_GB2312" w:eastAsia="仿宋_GB2312"/>
          <w:color w:val="000000"/>
          <w:kern w:val="2"/>
          <w:sz w:val="32"/>
          <w:szCs w:val="24"/>
          <w:lang w:val="zh-CN"/>
        </w:rPr>
        <w:t>万元，占</w:t>
      </w:r>
      <w:r>
        <w:rPr>
          <w:rFonts w:hint="eastAsia" w:ascii="仿宋_GB2312" w:hAnsi="仿宋_GB2312" w:eastAsia="仿宋_GB2312"/>
          <w:color w:val="000000"/>
          <w:kern w:val="2"/>
          <w:sz w:val="32"/>
          <w:szCs w:val="24"/>
          <w:lang w:val="en-US" w:eastAsia="zh-CN"/>
        </w:rPr>
        <w:t>20.67</w:t>
      </w:r>
      <w:r>
        <w:rPr>
          <w:rFonts w:hint="eastAsia" w:ascii="仿宋_GB2312" w:hAnsi="仿宋_GB2312" w:eastAsia="仿宋_GB2312"/>
          <w:color w:val="000000"/>
          <w:kern w:val="2"/>
          <w:sz w:val="32"/>
          <w:szCs w:val="24"/>
          <w:lang w:val="zh-CN"/>
        </w:rPr>
        <w:t>%；项目支出</w:t>
      </w:r>
      <w:r>
        <w:rPr>
          <w:rFonts w:hint="eastAsia" w:ascii="仿宋_GB2312" w:hAnsi="仿宋_GB2312" w:eastAsia="仿宋_GB2312"/>
          <w:color w:val="000000"/>
          <w:kern w:val="2"/>
          <w:sz w:val="32"/>
          <w:szCs w:val="24"/>
          <w:lang w:val="en-US" w:eastAsia="zh-CN"/>
        </w:rPr>
        <w:t>854.52</w:t>
      </w:r>
      <w:r>
        <w:rPr>
          <w:rFonts w:hint="eastAsia" w:ascii="仿宋_GB2312" w:hAnsi="仿宋_GB2312" w:eastAsia="仿宋_GB2312"/>
          <w:color w:val="000000"/>
          <w:kern w:val="2"/>
          <w:sz w:val="32"/>
          <w:szCs w:val="24"/>
          <w:lang w:val="zh-CN"/>
        </w:rPr>
        <w:t>万元，占</w:t>
      </w:r>
      <w:r>
        <w:rPr>
          <w:rFonts w:hint="eastAsia" w:ascii="仿宋_GB2312" w:hAnsi="仿宋_GB2312" w:eastAsia="仿宋_GB2312"/>
          <w:color w:val="000000"/>
          <w:kern w:val="2"/>
          <w:sz w:val="32"/>
          <w:szCs w:val="24"/>
          <w:lang w:val="en-US" w:eastAsia="zh-CN"/>
        </w:rPr>
        <w:t>79.33</w:t>
      </w:r>
      <w:r>
        <w:rPr>
          <w:rFonts w:hint="eastAsia" w:ascii="仿宋_GB2312" w:hAnsi="仿宋_GB2312" w:eastAsia="仿宋_GB2312"/>
          <w:color w:val="000000"/>
          <w:kern w:val="2"/>
          <w:sz w:val="32"/>
          <w:szCs w:val="24"/>
          <w:lang w:val="zh-CN"/>
        </w:rPr>
        <w:t>%</w:t>
      </w:r>
      <w:r>
        <w:rPr>
          <w:rFonts w:hint="eastAsia" w:ascii="仿宋" w:hAnsi="仿宋" w:eastAsia="仿宋"/>
          <w:color w:val="auto"/>
          <w:sz w:val="32"/>
          <w:szCs w:val="32"/>
          <w:highlight w:val="none"/>
        </w:rPr>
        <w:t>。</w:t>
      </w:r>
      <w:bookmarkEnd w:id="38"/>
    </w:p>
    <w:p w14:paraId="296CC49D">
      <w:pPr>
        <w:rPr>
          <w:rFonts w:hint="eastAsia" w:ascii="仿宋" w:hAnsi="仿宋" w:eastAsia="仿宋"/>
          <w:color w:val="auto"/>
          <w:sz w:val="32"/>
          <w:szCs w:val="32"/>
          <w:highlight w:val="none"/>
          <w:shd w:val="pct10" w:color="auto" w:fill="FFFFFF"/>
          <w:lang w:eastAsia="zh-CN"/>
        </w:rPr>
      </w:pPr>
      <w:r>
        <w:drawing>
          <wp:inline distT="0" distB="0" distL="114300" distR="114300">
            <wp:extent cx="5070475" cy="2048510"/>
            <wp:effectExtent l="4445" t="4445" r="11430" b="23495"/>
            <wp:docPr id="46" name="图表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0901A1">
      <w:pPr>
        <w:spacing w:line="600" w:lineRule="exact"/>
        <w:ind w:firstLine="640" w:firstLineChars="200"/>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（图3：支出决算结构）</w:t>
      </w:r>
      <w:bookmarkStart w:id="39" w:name="_Toc15396606"/>
      <w:bookmarkStart w:id="40" w:name="_Toc15329"/>
      <w:bookmarkStart w:id="41" w:name="_Toc15377208"/>
    </w:p>
    <w:p w14:paraId="56D1DA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bookmarkEnd w:id="39"/>
      <w:bookmarkEnd w:id="40"/>
      <w:bookmarkEnd w:id="41"/>
    </w:p>
    <w:p w14:paraId="7FE8E1C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000000"/>
          <w:kern w:val="2"/>
          <w:sz w:val="32"/>
          <w:szCs w:val="24"/>
          <w:lang w:val="zh-CN" w:eastAsia="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zh-CN"/>
        </w:rPr>
        <w:t>年财政拨款收、支总计</w:t>
      </w:r>
      <w:r>
        <w:rPr>
          <w:rFonts w:hint="eastAsia" w:ascii="仿宋_GB2312" w:hAnsi="仿宋_GB2312" w:eastAsia="仿宋_GB2312"/>
          <w:color w:val="000000"/>
          <w:kern w:val="2"/>
          <w:sz w:val="32"/>
          <w:szCs w:val="24"/>
          <w:lang w:val="en-US" w:eastAsia="zh-CN"/>
        </w:rPr>
        <w:t>1077.22</w:t>
      </w:r>
      <w:r>
        <w:rPr>
          <w:rFonts w:hint="eastAsia" w:ascii="仿宋_GB2312" w:hAnsi="仿宋_GB2312" w:eastAsia="仿宋_GB2312"/>
          <w:color w:val="000000"/>
          <w:kern w:val="2"/>
          <w:sz w:val="32"/>
          <w:szCs w:val="24"/>
          <w:lang w:val="zh-CN"/>
        </w:rPr>
        <w:t>万元。与202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年相比，财政拨款收、支总计各</w:t>
      </w:r>
      <w:r>
        <w:rPr>
          <w:rFonts w:hint="eastAsia" w:ascii="仿宋_GB2312" w:hAnsi="仿宋_GB2312" w:eastAsia="仿宋_GB2312"/>
          <w:color w:val="000000"/>
          <w:kern w:val="2"/>
          <w:sz w:val="32"/>
          <w:szCs w:val="24"/>
          <w:lang w:val="en-US" w:eastAsia="zh-CN"/>
        </w:rPr>
        <w:t>减少346.86</w:t>
      </w:r>
      <w:r>
        <w:rPr>
          <w:rFonts w:hint="eastAsia" w:ascii="仿宋_GB2312" w:hAnsi="仿宋_GB2312" w:eastAsia="仿宋_GB2312"/>
          <w:color w:val="000000"/>
          <w:kern w:val="2"/>
          <w:sz w:val="32"/>
          <w:szCs w:val="24"/>
          <w:lang w:val="zh-CN"/>
        </w:rPr>
        <w:t>万元，下降</w:t>
      </w:r>
      <w:r>
        <w:rPr>
          <w:rFonts w:hint="eastAsia" w:ascii="仿宋_GB2312" w:hAnsi="仿宋_GB2312" w:eastAsia="仿宋_GB2312"/>
          <w:color w:val="000000"/>
          <w:kern w:val="2"/>
          <w:sz w:val="32"/>
          <w:szCs w:val="24"/>
          <w:lang w:val="en-US" w:eastAsia="zh-CN"/>
        </w:rPr>
        <w:t>24.36</w:t>
      </w:r>
      <w:r>
        <w:rPr>
          <w:rFonts w:hint="eastAsia" w:ascii="仿宋_GB2312" w:hAnsi="仿宋_GB2312" w:eastAsia="仿宋_GB2312"/>
          <w:color w:val="000000"/>
          <w:kern w:val="2"/>
          <w:sz w:val="32"/>
          <w:szCs w:val="24"/>
          <w:lang w:val="zh-CN"/>
        </w:rPr>
        <w:t>%。主要原因是</w:t>
      </w:r>
      <w:r>
        <w:rPr>
          <w:rFonts w:hint="eastAsia" w:ascii="仿宋_GB2312" w:hAnsi="仿宋_GB2312" w:eastAsia="仿宋_GB2312" w:cs="Times New Roman"/>
          <w:color w:val="000000"/>
          <w:kern w:val="2"/>
          <w:sz w:val="32"/>
          <w:szCs w:val="24"/>
          <w:lang w:val="zh-CN" w:eastAsia="zh-CN"/>
        </w:rPr>
        <w:t>项目</w:t>
      </w:r>
      <w:r>
        <w:rPr>
          <w:rFonts w:hint="eastAsia" w:ascii="仿宋_GB2312" w:hAnsi="仿宋_GB2312" w:eastAsia="仿宋_GB2312" w:cs="Times New Roman"/>
          <w:color w:val="000000"/>
          <w:kern w:val="2"/>
          <w:sz w:val="32"/>
          <w:szCs w:val="24"/>
          <w:lang w:val="en-US" w:eastAsia="zh-CN"/>
        </w:rPr>
        <w:t>减少</w:t>
      </w:r>
      <w:r>
        <w:rPr>
          <w:rFonts w:hint="eastAsia" w:ascii="仿宋_GB2312" w:hAnsi="仿宋_GB2312" w:eastAsia="仿宋_GB2312" w:cs="Times New Roman"/>
          <w:color w:val="000000"/>
          <w:kern w:val="2"/>
          <w:sz w:val="32"/>
          <w:szCs w:val="24"/>
          <w:lang w:val="zh-CN" w:eastAsia="zh-CN"/>
        </w:rPr>
        <w:t>。</w:t>
      </w:r>
    </w:p>
    <w:p w14:paraId="2ACA406A">
      <w:pPr>
        <w:spacing w:line="600" w:lineRule="exact"/>
        <w:rPr>
          <w:rFonts w:hint="eastAsia" w:ascii="仿宋_GB2312" w:hAnsi="仿宋_GB2312" w:eastAsia="仿宋_GB2312" w:cs="Times New Roman"/>
          <w:color w:val="000000"/>
          <w:kern w:val="2"/>
          <w:sz w:val="32"/>
          <w:szCs w:val="24"/>
          <w:lang w:val="zh-CN"/>
        </w:rPr>
      </w:pPr>
      <w:r>
        <w:drawing>
          <wp:anchor distT="0" distB="0" distL="114300" distR="114300" simplePos="0" relativeHeight="251663360" behindDoc="1" locked="0" layoutInCell="1" allowOverlap="1">
            <wp:simplePos x="0" y="0"/>
            <wp:positionH relativeFrom="column">
              <wp:posOffset>19050</wp:posOffset>
            </wp:positionH>
            <wp:positionV relativeFrom="paragraph">
              <wp:posOffset>20955</wp:posOffset>
            </wp:positionV>
            <wp:extent cx="5185410" cy="1668145"/>
            <wp:effectExtent l="4445" t="4445" r="10795" b="22860"/>
            <wp:wrapNone/>
            <wp:docPr id="51" name="图表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3293B6D0">
      <w:pPr>
        <w:spacing w:line="240" w:lineRule="auto"/>
        <w:ind w:firstLine="640" w:firstLineChars="200"/>
        <w:rPr>
          <w:rFonts w:hint="eastAsia" w:ascii="仿宋" w:hAnsi="仿宋" w:eastAsia="仿宋"/>
          <w:color w:val="auto"/>
          <w:sz w:val="32"/>
          <w:szCs w:val="32"/>
          <w:highlight w:val="none"/>
          <w:lang w:eastAsia="zh-CN"/>
        </w:rPr>
      </w:pPr>
    </w:p>
    <w:p w14:paraId="1095FECE">
      <w:pPr>
        <w:pStyle w:val="17"/>
        <w:rPr>
          <w:rFonts w:hint="eastAsia" w:ascii="仿宋" w:hAnsi="仿宋" w:eastAsia="仿宋"/>
          <w:color w:val="auto"/>
          <w:sz w:val="32"/>
          <w:szCs w:val="32"/>
          <w:highlight w:val="none"/>
          <w:lang w:eastAsia="zh-CN"/>
        </w:rPr>
      </w:pPr>
    </w:p>
    <w:p w14:paraId="3B752A88">
      <w:pPr>
        <w:pStyle w:val="17"/>
        <w:jc w:val="both"/>
        <w:rPr>
          <w:rFonts w:hint="eastAsia"/>
          <w:lang w:eastAsia="zh-CN"/>
        </w:rPr>
      </w:pPr>
    </w:p>
    <w:p w14:paraId="5BD03B37">
      <w:pPr>
        <w:spacing w:line="600" w:lineRule="exact"/>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bookmarkStart w:id="42" w:name="_Toc15377209"/>
      <w:bookmarkStart w:id="43" w:name="_Toc7881"/>
      <w:bookmarkStart w:id="44" w:name="_Toc15396607"/>
    </w:p>
    <w:p w14:paraId="77CF1F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五、一般公共预算财政拨款支出决算情况说明</w:t>
      </w:r>
      <w:bookmarkEnd w:id="42"/>
      <w:bookmarkEnd w:id="43"/>
      <w:bookmarkEnd w:id="44"/>
    </w:p>
    <w:p w14:paraId="2938FFFA">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楷体_GB2312" w:hAnsi="楷体_GB2312" w:eastAsia="楷体_GB2312" w:cs="楷体_GB2312"/>
          <w:b w:val="0"/>
          <w:bCs/>
          <w:color w:val="auto"/>
          <w:sz w:val="32"/>
          <w:szCs w:val="32"/>
          <w:highlight w:val="none"/>
          <w:lang w:eastAsia="zh-CN"/>
        </w:rPr>
      </w:pPr>
      <w:bookmarkStart w:id="45" w:name="_Toc15377210"/>
      <w:r>
        <w:rPr>
          <w:rFonts w:hint="eastAsia" w:ascii="楷体_GB2312" w:hAnsi="楷体_GB2312" w:eastAsia="楷体_GB2312" w:cs="楷体_GB2312"/>
          <w:b w:val="0"/>
          <w:bCs/>
          <w:color w:val="auto"/>
          <w:sz w:val="32"/>
          <w:szCs w:val="32"/>
          <w:highlight w:val="none"/>
        </w:rPr>
        <w:t>（一）一般公共预算财政拨款支出决算总体情况</w:t>
      </w:r>
      <w:bookmarkEnd w:id="45"/>
    </w:p>
    <w:p w14:paraId="6DB1158B">
      <w:pPr>
        <w:spacing w:line="600" w:lineRule="exact"/>
        <w:ind w:firstLine="640" w:firstLineChars="200"/>
        <w:rPr>
          <w:rFonts w:hint="eastAsia" w:ascii="仿宋_GB2312" w:hAnsi="仿宋_GB2312" w:eastAsia="仿宋_GB2312" w:cs="Times New Roman"/>
          <w:color w:val="000000"/>
          <w:kern w:val="2"/>
          <w:sz w:val="32"/>
          <w:szCs w:val="24"/>
          <w:lang w:val="en-US" w:eastAsia="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zh-CN"/>
        </w:rPr>
        <w:t>年一般公共预算财政拨款支出</w:t>
      </w:r>
      <w:r>
        <w:rPr>
          <w:rFonts w:hint="eastAsia" w:ascii="仿宋_GB2312" w:hAnsi="仿宋_GB2312" w:eastAsia="仿宋_GB2312"/>
          <w:color w:val="000000"/>
          <w:kern w:val="2"/>
          <w:sz w:val="32"/>
          <w:szCs w:val="24"/>
          <w:lang w:val="en-US" w:eastAsia="zh-CN"/>
        </w:rPr>
        <w:t>1077.22</w:t>
      </w:r>
      <w:r>
        <w:rPr>
          <w:rFonts w:hint="eastAsia" w:ascii="仿宋_GB2312" w:hAnsi="仿宋_GB2312" w:eastAsia="仿宋_GB2312"/>
          <w:color w:val="000000"/>
          <w:kern w:val="2"/>
          <w:sz w:val="32"/>
          <w:szCs w:val="24"/>
          <w:lang w:val="zh-CN"/>
        </w:rPr>
        <w:t>万元，占本年支出合计的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zh-CN"/>
        </w:rPr>
        <w:t>%。与202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年相比，一般公共预算财政拨款支出</w:t>
      </w:r>
      <w:r>
        <w:rPr>
          <w:rFonts w:hint="eastAsia" w:ascii="仿宋_GB2312" w:hAnsi="仿宋_GB2312" w:eastAsia="仿宋_GB2312"/>
          <w:color w:val="000000"/>
          <w:kern w:val="2"/>
          <w:sz w:val="32"/>
          <w:szCs w:val="24"/>
          <w:lang w:val="en-US" w:eastAsia="zh-CN"/>
        </w:rPr>
        <w:t>减少30.37</w:t>
      </w:r>
      <w:r>
        <w:rPr>
          <w:rFonts w:hint="eastAsia" w:ascii="仿宋_GB2312" w:hAnsi="仿宋_GB2312" w:eastAsia="仿宋_GB2312"/>
          <w:color w:val="000000"/>
          <w:kern w:val="2"/>
          <w:sz w:val="32"/>
          <w:szCs w:val="24"/>
          <w:lang w:val="zh-CN"/>
        </w:rPr>
        <w:t>万元，</w:t>
      </w:r>
      <w:r>
        <w:rPr>
          <w:rFonts w:hint="eastAsia" w:ascii="仿宋_GB2312" w:hAnsi="仿宋_GB2312" w:eastAsia="仿宋_GB2312"/>
          <w:color w:val="000000"/>
          <w:kern w:val="2"/>
          <w:sz w:val="32"/>
          <w:szCs w:val="24"/>
          <w:lang w:val="en-US" w:eastAsia="zh-CN"/>
        </w:rPr>
        <w:t>减少2.74</w:t>
      </w:r>
      <w:r>
        <w:rPr>
          <w:rFonts w:hint="eastAsia" w:ascii="仿宋_GB2312" w:hAnsi="仿宋_GB2312" w:eastAsia="仿宋_GB2312"/>
          <w:color w:val="000000"/>
          <w:kern w:val="2"/>
          <w:sz w:val="32"/>
          <w:szCs w:val="24"/>
          <w:lang w:val="zh-CN"/>
        </w:rPr>
        <w:t>%。主要</w:t>
      </w:r>
      <w:r>
        <w:rPr>
          <w:rFonts w:hint="eastAsia" w:ascii="仿宋_GB2312" w:hAnsi="仿宋_GB2312" w:eastAsia="仿宋_GB2312" w:cs="Times New Roman"/>
          <w:color w:val="000000"/>
          <w:kern w:val="2"/>
          <w:sz w:val="32"/>
          <w:szCs w:val="24"/>
          <w:lang w:val="zh-CN"/>
        </w:rPr>
        <w:t>原因是</w:t>
      </w:r>
      <w:r>
        <w:rPr>
          <w:rFonts w:hint="eastAsia" w:ascii="仿宋_GB2312" w:hAnsi="仿宋_GB2312" w:eastAsia="仿宋_GB2312" w:cs="Times New Roman"/>
          <w:color w:val="000000"/>
          <w:kern w:val="2"/>
          <w:sz w:val="32"/>
          <w:szCs w:val="24"/>
          <w:lang w:val="en-US" w:eastAsia="zh-CN"/>
        </w:rPr>
        <w:t>项目减少。</w:t>
      </w:r>
    </w:p>
    <w:p w14:paraId="388E9D2D">
      <w:pPr>
        <w:spacing w:line="600" w:lineRule="exact"/>
        <w:rPr>
          <w:rFonts w:hint="eastAsia" w:ascii="仿宋" w:hAnsi="仿宋" w:eastAsia="仿宋"/>
          <w:color w:val="auto"/>
          <w:sz w:val="32"/>
          <w:szCs w:val="32"/>
          <w:highlight w:val="none"/>
        </w:rPr>
      </w:pPr>
      <w:r>
        <w:drawing>
          <wp:anchor distT="0" distB="0" distL="114300" distR="114300" simplePos="0" relativeHeight="251664384" behindDoc="1" locked="0" layoutInCell="1" allowOverlap="1">
            <wp:simplePos x="0" y="0"/>
            <wp:positionH relativeFrom="column">
              <wp:posOffset>-114300</wp:posOffset>
            </wp:positionH>
            <wp:positionV relativeFrom="paragraph">
              <wp:posOffset>133350</wp:posOffset>
            </wp:positionV>
            <wp:extent cx="5194935" cy="1867535"/>
            <wp:effectExtent l="4445" t="4445" r="20320" b="13970"/>
            <wp:wrapNone/>
            <wp:docPr id="52" name="图表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38949018">
      <w:pPr>
        <w:spacing w:line="600" w:lineRule="exact"/>
        <w:rPr>
          <w:rFonts w:hint="eastAsia" w:ascii="仿宋" w:hAnsi="仿宋" w:eastAsia="仿宋"/>
          <w:color w:val="auto"/>
          <w:sz w:val="32"/>
          <w:szCs w:val="32"/>
          <w:highlight w:val="none"/>
        </w:rPr>
      </w:pPr>
    </w:p>
    <w:p w14:paraId="18D40337">
      <w:pPr>
        <w:spacing w:line="600" w:lineRule="exact"/>
        <w:rPr>
          <w:rFonts w:hint="eastAsia" w:ascii="仿宋" w:hAnsi="仿宋" w:eastAsia="仿宋"/>
          <w:color w:val="auto"/>
          <w:sz w:val="32"/>
          <w:szCs w:val="32"/>
          <w:highlight w:val="none"/>
        </w:rPr>
      </w:pPr>
    </w:p>
    <w:p w14:paraId="2C09AC83">
      <w:pPr>
        <w:spacing w:line="600" w:lineRule="exact"/>
        <w:rPr>
          <w:rFonts w:hint="eastAsia" w:ascii="仿宋" w:hAnsi="仿宋" w:eastAsia="仿宋"/>
          <w:color w:val="auto"/>
          <w:sz w:val="32"/>
          <w:szCs w:val="32"/>
          <w:highlight w:val="none"/>
        </w:rPr>
      </w:pPr>
    </w:p>
    <w:p w14:paraId="5DF26B11">
      <w:pPr>
        <w:spacing w:line="600" w:lineRule="exact"/>
        <w:jc w:val="both"/>
        <w:rPr>
          <w:rFonts w:hint="eastAsia" w:ascii="仿宋_GB2312" w:hAnsi="仿宋_GB2312" w:eastAsia="仿宋_GB2312" w:cs="仿宋_GB2312"/>
          <w:color w:val="auto"/>
          <w:sz w:val="32"/>
          <w:szCs w:val="32"/>
          <w:highlight w:val="none"/>
        </w:rPr>
      </w:pPr>
    </w:p>
    <w:p w14:paraId="23A1850B">
      <w:pPr>
        <w:spacing w:line="60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（图5：一般公共预算财政拨款支出决算变动情况）</w:t>
      </w:r>
      <w:bookmarkStart w:id="46" w:name="_Toc15377211"/>
    </w:p>
    <w:p w14:paraId="681B4A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（二）一般公共预算财政拨款支出决算结构情况</w:t>
      </w:r>
      <w:bookmarkEnd w:id="46"/>
    </w:p>
    <w:p w14:paraId="168E85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zh-CN"/>
        </w:rPr>
        <w:t>年一般公共预算财政拨款支出</w:t>
      </w:r>
      <w:r>
        <w:rPr>
          <w:rFonts w:hint="eastAsia" w:ascii="仿宋_GB2312" w:hAnsi="仿宋_GB2312" w:eastAsia="仿宋_GB2312"/>
          <w:color w:val="000000"/>
          <w:kern w:val="2"/>
          <w:sz w:val="32"/>
          <w:szCs w:val="24"/>
          <w:lang w:val="en-US" w:eastAsia="zh-CN"/>
        </w:rPr>
        <w:t>1077.22</w:t>
      </w:r>
      <w:r>
        <w:rPr>
          <w:rFonts w:hint="eastAsia" w:ascii="仿宋_GB2312" w:hAnsi="仿宋_GB2312" w:eastAsia="仿宋_GB2312"/>
          <w:color w:val="000000"/>
          <w:kern w:val="2"/>
          <w:sz w:val="32"/>
          <w:szCs w:val="24"/>
          <w:lang w:val="zh-CN"/>
        </w:rPr>
        <w:t>万元，主要用于以下方面： 社会保障和就业支出</w:t>
      </w:r>
      <w:r>
        <w:rPr>
          <w:rFonts w:hint="eastAsia" w:ascii="仿宋_GB2312" w:hAnsi="仿宋_GB2312" w:eastAsia="仿宋_GB2312"/>
          <w:color w:val="000000"/>
          <w:kern w:val="2"/>
          <w:sz w:val="32"/>
          <w:szCs w:val="24"/>
          <w:lang w:val="en-US" w:eastAsia="zh-CN"/>
        </w:rPr>
        <w:t>987.57</w:t>
      </w:r>
      <w:r>
        <w:rPr>
          <w:rFonts w:hint="eastAsia" w:ascii="仿宋_GB2312" w:hAnsi="仿宋_GB2312" w:eastAsia="仿宋_GB2312"/>
          <w:color w:val="000000"/>
          <w:kern w:val="2"/>
          <w:sz w:val="32"/>
          <w:szCs w:val="24"/>
          <w:lang w:val="zh-CN"/>
        </w:rPr>
        <w:t>万元，占</w:t>
      </w:r>
      <w:r>
        <w:rPr>
          <w:rFonts w:hint="eastAsia" w:ascii="仿宋_GB2312" w:hAnsi="仿宋_GB2312" w:eastAsia="仿宋_GB2312"/>
          <w:color w:val="000000"/>
          <w:kern w:val="2"/>
          <w:sz w:val="32"/>
          <w:szCs w:val="24"/>
          <w:lang w:val="en-US" w:eastAsia="zh-CN"/>
        </w:rPr>
        <w:t>91.68</w:t>
      </w:r>
      <w:r>
        <w:rPr>
          <w:rFonts w:hint="eastAsia" w:ascii="仿宋_GB2312" w:hAnsi="仿宋_GB2312" w:eastAsia="仿宋_GB2312"/>
          <w:color w:val="000000"/>
          <w:kern w:val="2"/>
          <w:sz w:val="32"/>
          <w:szCs w:val="24"/>
          <w:lang w:val="zh-CN"/>
        </w:rPr>
        <w:t>%；公共安全支出</w:t>
      </w:r>
      <w:r>
        <w:rPr>
          <w:rFonts w:hint="eastAsia" w:ascii="仿宋_GB2312" w:hAnsi="仿宋_GB2312" w:eastAsia="仿宋_GB2312"/>
          <w:color w:val="000000"/>
          <w:kern w:val="2"/>
          <w:sz w:val="32"/>
          <w:szCs w:val="24"/>
          <w:lang w:val="en-US" w:eastAsia="zh-CN"/>
        </w:rPr>
        <w:t>52.79万元，占4.9%；</w:t>
      </w:r>
      <w:r>
        <w:rPr>
          <w:rFonts w:hint="eastAsia" w:ascii="仿宋_GB2312" w:hAnsi="仿宋_GB2312" w:eastAsia="仿宋_GB2312"/>
          <w:color w:val="000000"/>
          <w:kern w:val="2"/>
          <w:sz w:val="32"/>
          <w:szCs w:val="24"/>
          <w:lang w:val="zh-CN"/>
        </w:rPr>
        <w:t>卫生健康支出</w:t>
      </w:r>
      <w:r>
        <w:rPr>
          <w:rFonts w:hint="eastAsia" w:ascii="仿宋_GB2312" w:hAnsi="仿宋_GB2312" w:eastAsia="仿宋_GB2312"/>
          <w:color w:val="000000"/>
          <w:kern w:val="2"/>
          <w:sz w:val="32"/>
          <w:szCs w:val="24"/>
          <w:lang w:val="en-US" w:eastAsia="zh-CN"/>
        </w:rPr>
        <w:t>18</w:t>
      </w:r>
      <w:r>
        <w:rPr>
          <w:rFonts w:hint="eastAsia" w:ascii="仿宋_GB2312" w:hAnsi="仿宋_GB2312" w:eastAsia="仿宋_GB2312"/>
          <w:color w:val="000000"/>
          <w:kern w:val="2"/>
          <w:sz w:val="32"/>
          <w:szCs w:val="24"/>
          <w:lang w:val="zh-CN"/>
        </w:rPr>
        <w:t>万元，占</w:t>
      </w:r>
      <w:r>
        <w:rPr>
          <w:rFonts w:hint="eastAsia" w:ascii="仿宋_GB2312" w:hAnsi="仿宋_GB2312" w:eastAsia="仿宋_GB2312"/>
          <w:color w:val="000000"/>
          <w:kern w:val="2"/>
          <w:sz w:val="32"/>
          <w:szCs w:val="24"/>
          <w:lang w:val="en-US" w:eastAsia="zh-CN"/>
        </w:rPr>
        <w:t>1.67</w:t>
      </w:r>
      <w:r>
        <w:rPr>
          <w:rFonts w:hint="eastAsia" w:ascii="仿宋_GB2312" w:hAnsi="仿宋_GB2312" w:eastAsia="仿宋_GB2312"/>
          <w:color w:val="000000"/>
          <w:kern w:val="2"/>
          <w:sz w:val="32"/>
          <w:szCs w:val="24"/>
          <w:lang w:val="zh-CN"/>
        </w:rPr>
        <w:t>%；住房保障支出</w:t>
      </w:r>
      <w:r>
        <w:rPr>
          <w:rFonts w:hint="eastAsia" w:ascii="仿宋_GB2312" w:hAnsi="仿宋_GB2312" w:eastAsia="仿宋_GB2312"/>
          <w:color w:val="000000"/>
          <w:kern w:val="2"/>
          <w:sz w:val="32"/>
          <w:szCs w:val="24"/>
          <w:lang w:val="en-US" w:eastAsia="zh-CN"/>
        </w:rPr>
        <w:t>15.86</w:t>
      </w:r>
      <w:r>
        <w:rPr>
          <w:rFonts w:hint="eastAsia" w:ascii="仿宋_GB2312" w:hAnsi="仿宋_GB2312" w:eastAsia="仿宋_GB2312"/>
          <w:color w:val="000000"/>
          <w:kern w:val="2"/>
          <w:sz w:val="32"/>
          <w:szCs w:val="24"/>
          <w:lang w:val="zh-CN"/>
        </w:rPr>
        <w:t>万元，占</w:t>
      </w:r>
      <w:r>
        <w:rPr>
          <w:rFonts w:hint="eastAsia" w:ascii="仿宋_GB2312" w:hAnsi="仿宋_GB2312" w:eastAsia="仿宋_GB2312"/>
          <w:color w:val="000000"/>
          <w:kern w:val="2"/>
          <w:sz w:val="32"/>
          <w:szCs w:val="24"/>
          <w:lang w:val="en-US" w:eastAsia="zh-CN"/>
        </w:rPr>
        <w:t>1.47</w:t>
      </w:r>
      <w:r>
        <w:rPr>
          <w:rFonts w:hint="eastAsia" w:ascii="仿宋_GB2312" w:hAnsi="仿宋_GB2312" w:eastAsia="仿宋_GB2312"/>
          <w:color w:val="000000"/>
          <w:kern w:val="2"/>
          <w:sz w:val="32"/>
          <w:szCs w:val="24"/>
          <w:lang w:val="zh-CN"/>
        </w:rPr>
        <w:t>%</w:t>
      </w:r>
      <w:r>
        <w:rPr>
          <w:rFonts w:hint="eastAsia" w:ascii="仿宋" w:hAnsi="仿宋" w:eastAsia="仿宋"/>
          <w:color w:val="auto"/>
          <w:sz w:val="32"/>
          <w:szCs w:val="32"/>
          <w:highlight w:val="none"/>
          <w:lang w:eastAsia="zh-CN"/>
        </w:rPr>
        <w:t>；农林水支出</w:t>
      </w:r>
      <w:r>
        <w:rPr>
          <w:rFonts w:hint="eastAsia" w:ascii="仿宋" w:hAnsi="仿宋" w:eastAsia="仿宋"/>
          <w:color w:val="auto"/>
          <w:sz w:val="32"/>
          <w:szCs w:val="32"/>
          <w:highlight w:val="none"/>
          <w:lang w:val="en-US" w:eastAsia="zh-CN"/>
        </w:rPr>
        <w:t>3万元，占0.28%。</w:t>
      </w:r>
    </w:p>
    <w:p w14:paraId="66E29FF9">
      <w:pPr>
        <w:spacing w:line="240" w:lineRule="auto"/>
        <w:rPr>
          <w:rFonts w:hint="eastAsia" w:ascii="仿宋" w:hAnsi="仿宋" w:eastAsia="仿宋"/>
          <w:color w:val="auto"/>
          <w:sz w:val="32"/>
          <w:szCs w:val="32"/>
          <w:highlight w:val="none"/>
          <w:lang w:eastAsia="zh-CN"/>
        </w:rPr>
      </w:pPr>
      <w:r>
        <w:drawing>
          <wp:inline distT="0" distB="0" distL="114300" distR="114300">
            <wp:extent cx="5086350" cy="2138680"/>
            <wp:effectExtent l="4445" t="4445" r="14605" b="9525"/>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B4236A">
      <w:pPr>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（图6：一般公共预算财政拨款支出决算结构）</w:t>
      </w:r>
    </w:p>
    <w:p w14:paraId="5F3FFF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楷体_GB2312" w:hAnsi="楷体_GB2312" w:eastAsia="楷体_GB2312" w:cs="楷体_GB2312"/>
          <w:b w:val="0"/>
          <w:bCs/>
          <w:color w:val="auto"/>
          <w:sz w:val="32"/>
          <w:szCs w:val="32"/>
          <w:highlight w:val="none"/>
          <w:lang w:val="en-US" w:eastAsia="zh-CN"/>
        </w:rPr>
      </w:pPr>
      <w:bookmarkStart w:id="47" w:name="_Toc15377212"/>
      <w:r>
        <w:rPr>
          <w:rFonts w:hint="eastAsia" w:ascii="楷体_GB2312" w:hAnsi="楷体_GB2312" w:eastAsia="楷体_GB2312" w:cs="楷体_GB2312"/>
          <w:b w:val="0"/>
          <w:bCs/>
          <w:color w:val="auto"/>
          <w:sz w:val="32"/>
          <w:szCs w:val="32"/>
          <w:highlight w:val="none"/>
        </w:rPr>
        <w:t>（三）一般公共预算财政拨款支出决算具体情况</w:t>
      </w:r>
      <w:bookmarkEnd w:id="47"/>
    </w:p>
    <w:p w14:paraId="274922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b w:val="0"/>
          <w:bCs/>
          <w:color w:val="auto"/>
          <w:kern w:val="2"/>
          <w:sz w:val="32"/>
          <w:szCs w:val="24"/>
          <w:lang w:val="zh-CN"/>
        </w:rPr>
      </w:pPr>
      <w:r>
        <w:rPr>
          <w:rFonts w:hint="eastAsia" w:ascii="仿宋_GB2312" w:hAnsi="仿宋_GB2312" w:eastAsia="仿宋_GB2312"/>
          <w:b w:val="0"/>
          <w:bCs/>
          <w:color w:val="auto"/>
          <w:kern w:val="2"/>
          <w:sz w:val="32"/>
          <w:szCs w:val="24"/>
          <w:lang w:val="zh-CN"/>
        </w:rPr>
        <w:t>202</w:t>
      </w:r>
      <w:r>
        <w:rPr>
          <w:rFonts w:hint="eastAsia" w:ascii="仿宋_GB2312" w:hAnsi="仿宋_GB2312" w:eastAsia="仿宋_GB2312"/>
          <w:b w:val="0"/>
          <w:bCs/>
          <w:color w:val="auto"/>
          <w:kern w:val="2"/>
          <w:sz w:val="32"/>
          <w:szCs w:val="24"/>
          <w:lang w:val="en-US" w:eastAsia="zh-CN"/>
        </w:rPr>
        <w:t>4</w:t>
      </w:r>
      <w:r>
        <w:rPr>
          <w:rFonts w:hint="eastAsia" w:ascii="仿宋_GB2312" w:hAnsi="仿宋_GB2312" w:eastAsia="仿宋_GB2312"/>
          <w:b w:val="0"/>
          <w:bCs/>
          <w:color w:val="auto"/>
          <w:kern w:val="2"/>
          <w:sz w:val="32"/>
          <w:szCs w:val="24"/>
          <w:lang w:val="zh-CN"/>
        </w:rPr>
        <w:t>年一般公共预算支出决算数为</w:t>
      </w:r>
      <w:r>
        <w:rPr>
          <w:rFonts w:hint="eastAsia" w:ascii="仿宋_GB2312" w:hAnsi="仿宋_GB2312" w:eastAsia="仿宋_GB2312"/>
          <w:b w:val="0"/>
          <w:bCs/>
          <w:color w:val="auto"/>
          <w:kern w:val="2"/>
          <w:sz w:val="32"/>
          <w:szCs w:val="24"/>
          <w:lang w:val="en-US" w:eastAsia="zh-CN"/>
        </w:rPr>
        <w:t>1077.22</w:t>
      </w:r>
      <w:r>
        <w:rPr>
          <w:rFonts w:hint="eastAsia" w:ascii="仿宋_GB2312" w:hAnsi="仿宋_GB2312" w:eastAsia="仿宋_GB2312"/>
          <w:b w:val="0"/>
          <w:bCs/>
          <w:color w:val="auto"/>
          <w:kern w:val="2"/>
          <w:sz w:val="32"/>
          <w:szCs w:val="24"/>
          <w:lang w:val="zh-CN"/>
        </w:rPr>
        <w:t>万元，完成预算100%。其中：</w:t>
      </w:r>
    </w:p>
    <w:p w14:paraId="59A94F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Style w:val="20"/>
          <w:rFonts w:hint="eastAsia" w:ascii="仿宋_GB2312" w:hAnsi="仿宋_GB2312" w:eastAsia="仿宋_GB2312" w:cs="仿宋_GB2312"/>
          <w:bCs/>
          <w:color w:val="auto"/>
          <w:sz w:val="32"/>
          <w:szCs w:val="32"/>
          <w:highlight w:val="none"/>
          <w:lang w:val="en-US" w:eastAsia="zh-CN"/>
        </w:rPr>
      </w:pPr>
      <w:r>
        <w:rPr>
          <w:rStyle w:val="20"/>
          <w:rFonts w:hint="eastAsia" w:ascii="仿宋_GB2312" w:hAnsi="仿宋_GB2312" w:eastAsia="仿宋_GB2312" w:cs="仿宋_GB2312"/>
          <w:bCs/>
          <w:color w:val="auto"/>
          <w:sz w:val="32"/>
          <w:szCs w:val="32"/>
          <w:highlight w:val="none"/>
          <w:lang w:val="en-US" w:eastAsia="zh-CN"/>
        </w:rPr>
        <w:t>1.公共安全支出（类）武警部队日常经费保障（款）其他武装警察部队支出（项）：</w:t>
      </w:r>
      <w:r>
        <w:rPr>
          <w:rStyle w:val="20"/>
          <w:rFonts w:hint="eastAsia" w:ascii="仿宋_GB2312" w:hAnsi="仿宋_GB2312" w:eastAsia="仿宋_GB2312" w:cs="仿宋_GB2312"/>
          <w:b w:val="0"/>
          <w:bCs/>
          <w:color w:val="auto"/>
          <w:sz w:val="32"/>
          <w:szCs w:val="32"/>
          <w:highlight w:val="none"/>
        </w:rPr>
        <w:t>支出决算为</w:t>
      </w:r>
      <w:r>
        <w:rPr>
          <w:rStyle w:val="20"/>
          <w:rFonts w:hint="eastAsia" w:ascii="仿宋_GB2312" w:hAnsi="仿宋_GB2312" w:eastAsia="仿宋_GB2312" w:cs="仿宋_GB2312"/>
          <w:b w:val="0"/>
          <w:bCs/>
          <w:color w:val="auto"/>
          <w:sz w:val="32"/>
          <w:szCs w:val="32"/>
          <w:highlight w:val="none"/>
          <w:lang w:val="en-US" w:eastAsia="zh-CN"/>
        </w:rPr>
        <w:t>52.79</w:t>
      </w:r>
      <w:r>
        <w:rPr>
          <w:rStyle w:val="20"/>
          <w:rFonts w:hint="eastAsia" w:ascii="仿宋_GB2312" w:hAnsi="仿宋_GB2312" w:eastAsia="仿宋_GB2312" w:cs="仿宋_GB2312"/>
          <w:b w:val="0"/>
          <w:bCs/>
          <w:color w:val="auto"/>
          <w:sz w:val="32"/>
          <w:szCs w:val="32"/>
          <w:highlight w:val="none"/>
        </w:rPr>
        <w:t>万元，完成预算</w:t>
      </w:r>
      <w:r>
        <w:rPr>
          <w:rStyle w:val="20"/>
          <w:rFonts w:hint="eastAsia" w:ascii="仿宋_GB2312" w:hAnsi="仿宋_GB2312" w:eastAsia="仿宋_GB2312" w:cs="仿宋_GB2312"/>
          <w:b w:val="0"/>
          <w:bCs/>
          <w:color w:val="auto"/>
          <w:sz w:val="32"/>
          <w:szCs w:val="32"/>
          <w:highlight w:val="none"/>
          <w:lang w:val="en-US" w:eastAsia="zh-CN"/>
        </w:rPr>
        <w:t>100</w:t>
      </w:r>
      <w:r>
        <w:rPr>
          <w:rStyle w:val="20"/>
          <w:rFonts w:hint="eastAsia" w:ascii="仿宋_GB2312" w:hAnsi="仿宋_GB2312" w:eastAsia="仿宋_GB2312" w:cs="仿宋_GB2312"/>
          <w:b w:val="0"/>
          <w:bCs/>
          <w:color w:val="auto"/>
          <w:sz w:val="32"/>
          <w:szCs w:val="32"/>
          <w:highlight w:val="none"/>
        </w:rPr>
        <w:t>%。</w:t>
      </w:r>
    </w:p>
    <w:p w14:paraId="24A7D1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Style w:val="20"/>
          <w:rFonts w:hint="eastAsia" w:ascii="仿宋_GB2312" w:hAnsi="仿宋_GB2312" w:eastAsia="仿宋_GB2312" w:cs="仿宋_GB2312"/>
          <w:bCs/>
          <w:color w:val="auto"/>
          <w:sz w:val="32"/>
          <w:szCs w:val="32"/>
          <w:highlight w:val="none"/>
          <w:lang w:val="en-US" w:eastAsia="zh-CN"/>
        </w:rPr>
        <w:t>2.</w:t>
      </w:r>
      <w:r>
        <w:rPr>
          <w:rStyle w:val="20"/>
          <w:rFonts w:hint="eastAsia" w:ascii="仿宋_GB2312" w:hAnsi="仿宋_GB2312" w:eastAsia="仿宋_GB2312" w:cs="仿宋_GB2312"/>
          <w:bCs/>
          <w:color w:val="auto"/>
          <w:sz w:val="32"/>
          <w:szCs w:val="32"/>
          <w:highlight w:val="none"/>
        </w:rPr>
        <w:t>社会保障和就业支出（类）行政事业单位养老支出（款）机关事业单位基本养老保险缴费支出（项）</w:t>
      </w:r>
      <w:r>
        <w:rPr>
          <w:rStyle w:val="20"/>
          <w:rFonts w:hint="eastAsia" w:ascii="仿宋_GB2312" w:hAnsi="仿宋_GB2312" w:eastAsia="仿宋_GB2312" w:cs="仿宋_GB2312"/>
          <w:bCs/>
          <w:color w:val="auto"/>
          <w:sz w:val="32"/>
          <w:szCs w:val="32"/>
          <w:highlight w:val="none"/>
          <w:lang w:eastAsia="zh-CN"/>
        </w:rPr>
        <w:t>：</w:t>
      </w:r>
      <w:r>
        <w:rPr>
          <w:rStyle w:val="20"/>
          <w:rFonts w:hint="eastAsia" w:ascii="仿宋_GB2312" w:hAnsi="仿宋_GB2312" w:eastAsia="仿宋_GB2312" w:cs="仿宋_GB2312"/>
          <w:b w:val="0"/>
          <w:bCs/>
          <w:color w:val="auto"/>
          <w:sz w:val="32"/>
          <w:szCs w:val="32"/>
          <w:highlight w:val="none"/>
        </w:rPr>
        <w:t xml:space="preserve"> 支出决算为</w:t>
      </w:r>
      <w:r>
        <w:rPr>
          <w:rStyle w:val="20"/>
          <w:rFonts w:hint="eastAsia" w:ascii="仿宋_GB2312" w:hAnsi="仿宋_GB2312" w:eastAsia="仿宋_GB2312" w:cs="仿宋_GB2312"/>
          <w:b w:val="0"/>
          <w:bCs/>
          <w:color w:val="auto"/>
          <w:sz w:val="32"/>
          <w:szCs w:val="32"/>
          <w:highlight w:val="none"/>
          <w:lang w:val="en-US" w:eastAsia="zh-CN"/>
        </w:rPr>
        <w:t>18.67</w:t>
      </w:r>
      <w:r>
        <w:rPr>
          <w:rStyle w:val="20"/>
          <w:rFonts w:hint="eastAsia" w:ascii="仿宋_GB2312" w:hAnsi="仿宋_GB2312" w:eastAsia="仿宋_GB2312" w:cs="仿宋_GB2312"/>
          <w:b w:val="0"/>
          <w:bCs/>
          <w:color w:val="auto"/>
          <w:sz w:val="32"/>
          <w:szCs w:val="32"/>
          <w:highlight w:val="none"/>
        </w:rPr>
        <w:t>万元，完成预算</w:t>
      </w:r>
      <w:r>
        <w:rPr>
          <w:rStyle w:val="20"/>
          <w:rFonts w:hint="eastAsia" w:ascii="仿宋_GB2312" w:hAnsi="仿宋_GB2312" w:eastAsia="仿宋_GB2312" w:cs="仿宋_GB2312"/>
          <w:b w:val="0"/>
          <w:bCs/>
          <w:color w:val="auto"/>
          <w:sz w:val="32"/>
          <w:szCs w:val="32"/>
          <w:highlight w:val="none"/>
          <w:lang w:val="en-US" w:eastAsia="zh-CN"/>
        </w:rPr>
        <w:t>100</w:t>
      </w:r>
      <w:r>
        <w:rPr>
          <w:rStyle w:val="20"/>
          <w:rFonts w:hint="eastAsia" w:ascii="仿宋_GB2312" w:hAnsi="仿宋_GB2312" w:eastAsia="仿宋_GB2312" w:cs="仿宋_GB2312"/>
          <w:b w:val="0"/>
          <w:bCs/>
          <w:color w:val="auto"/>
          <w:sz w:val="32"/>
          <w:szCs w:val="32"/>
          <w:highlight w:val="none"/>
        </w:rPr>
        <w:t>%。</w:t>
      </w:r>
    </w:p>
    <w:p w14:paraId="0E70E8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Style w:val="20"/>
          <w:rFonts w:hint="eastAsia" w:ascii="仿宋_GB2312" w:hAnsi="仿宋_GB2312" w:eastAsia="仿宋_GB2312" w:cs="仿宋_GB2312"/>
          <w:bCs/>
          <w:color w:val="auto"/>
          <w:sz w:val="32"/>
          <w:szCs w:val="32"/>
          <w:highlight w:val="none"/>
          <w:lang w:val="en-US" w:eastAsia="zh-CN"/>
        </w:rPr>
        <w:t>3</w:t>
      </w:r>
      <w:r>
        <w:rPr>
          <w:rStyle w:val="20"/>
          <w:rFonts w:hint="eastAsia" w:ascii="仿宋_GB2312" w:hAnsi="仿宋_GB2312" w:eastAsia="仿宋_GB2312" w:cs="仿宋_GB2312"/>
          <w:bCs/>
          <w:color w:val="auto"/>
          <w:sz w:val="32"/>
          <w:szCs w:val="32"/>
          <w:highlight w:val="none"/>
        </w:rPr>
        <w:t>.社会保障和就业支出（类）行政事业单位养老支出（款）机关事业单位职业年金缴费支出（项）</w:t>
      </w:r>
      <w:r>
        <w:rPr>
          <w:rStyle w:val="20"/>
          <w:rFonts w:hint="eastAsia" w:ascii="仿宋_GB2312" w:hAnsi="仿宋_GB2312" w:eastAsia="仿宋_GB2312" w:cs="仿宋_GB2312"/>
          <w:bCs/>
          <w:color w:val="auto"/>
          <w:sz w:val="32"/>
          <w:szCs w:val="32"/>
          <w:highlight w:val="none"/>
          <w:lang w:eastAsia="zh-CN"/>
        </w:rPr>
        <w:t>：</w:t>
      </w:r>
      <w:r>
        <w:rPr>
          <w:rStyle w:val="20"/>
          <w:rFonts w:hint="eastAsia" w:ascii="仿宋_GB2312" w:hAnsi="仿宋_GB2312" w:eastAsia="仿宋_GB2312" w:cs="仿宋_GB2312"/>
          <w:b w:val="0"/>
          <w:bCs/>
          <w:color w:val="auto"/>
          <w:sz w:val="32"/>
          <w:szCs w:val="32"/>
          <w:highlight w:val="none"/>
        </w:rPr>
        <w:t xml:space="preserve"> 支出决算为</w:t>
      </w:r>
      <w:r>
        <w:rPr>
          <w:rStyle w:val="20"/>
          <w:rFonts w:hint="eastAsia" w:ascii="仿宋_GB2312" w:hAnsi="仿宋_GB2312" w:eastAsia="仿宋_GB2312" w:cs="仿宋_GB2312"/>
          <w:b w:val="0"/>
          <w:bCs/>
          <w:color w:val="auto"/>
          <w:sz w:val="32"/>
          <w:szCs w:val="32"/>
          <w:highlight w:val="none"/>
          <w:lang w:val="en-US" w:eastAsia="zh-CN"/>
        </w:rPr>
        <w:t>9.08</w:t>
      </w:r>
      <w:r>
        <w:rPr>
          <w:rStyle w:val="20"/>
          <w:rFonts w:hint="eastAsia" w:ascii="仿宋_GB2312" w:hAnsi="仿宋_GB2312" w:eastAsia="仿宋_GB2312" w:cs="仿宋_GB2312"/>
          <w:b w:val="0"/>
          <w:bCs/>
          <w:color w:val="auto"/>
          <w:sz w:val="32"/>
          <w:szCs w:val="32"/>
          <w:highlight w:val="none"/>
        </w:rPr>
        <w:t>万元，完成预算</w:t>
      </w:r>
      <w:r>
        <w:rPr>
          <w:rStyle w:val="20"/>
          <w:rFonts w:hint="eastAsia" w:ascii="仿宋_GB2312" w:hAnsi="仿宋_GB2312" w:eastAsia="仿宋_GB2312" w:cs="仿宋_GB2312"/>
          <w:b w:val="0"/>
          <w:bCs/>
          <w:color w:val="auto"/>
          <w:sz w:val="32"/>
          <w:szCs w:val="32"/>
          <w:highlight w:val="none"/>
          <w:lang w:val="en-US" w:eastAsia="zh-CN"/>
        </w:rPr>
        <w:t>100</w:t>
      </w:r>
      <w:r>
        <w:rPr>
          <w:rStyle w:val="20"/>
          <w:rFonts w:hint="eastAsia" w:ascii="仿宋_GB2312" w:hAnsi="仿宋_GB2312" w:eastAsia="仿宋_GB2312" w:cs="仿宋_GB2312"/>
          <w:b w:val="0"/>
          <w:bCs/>
          <w:color w:val="auto"/>
          <w:sz w:val="32"/>
          <w:szCs w:val="32"/>
          <w:highlight w:val="none"/>
        </w:rPr>
        <w:t>%。</w:t>
      </w:r>
    </w:p>
    <w:p w14:paraId="2EC14B4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Style w:val="20"/>
          <w:rFonts w:hint="eastAsia" w:ascii="仿宋_GB2312" w:hAnsi="仿宋_GB2312" w:eastAsia="仿宋_GB2312" w:cs="仿宋_GB2312"/>
          <w:bCs/>
          <w:color w:val="auto"/>
          <w:sz w:val="32"/>
          <w:szCs w:val="32"/>
          <w:highlight w:val="none"/>
          <w:lang w:val="en-US" w:eastAsia="zh-CN"/>
        </w:rPr>
        <w:t>4</w:t>
      </w:r>
      <w:r>
        <w:rPr>
          <w:rStyle w:val="20"/>
          <w:rFonts w:hint="eastAsia" w:ascii="仿宋_GB2312" w:hAnsi="仿宋_GB2312" w:eastAsia="仿宋_GB2312" w:cs="仿宋_GB2312"/>
          <w:bCs/>
          <w:color w:val="auto"/>
          <w:sz w:val="32"/>
          <w:szCs w:val="32"/>
          <w:highlight w:val="none"/>
        </w:rPr>
        <w:t xml:space="preserve">.社会保障和就业支出（类）抚恤（款） </w:t>
      </w:r>
      <w:r>
        <w:rPr>
          <w:rStyle w:val="20"/>
          <w:rFonts w:hint="eastAsia" w:ascii="仿宋_GB2312" w:hAnsi="仿宋_GB2312" w:eastAsia="仿宋_GB2312" w:cs="仿宋_GB2312"/>
          <w:bCs/>
          <w:color w:val="auto"/>
          <w:sz w:val="32"/>
          <w:szCs w:val="32"/>
          <w:highlight w:val="none"/>
          <w:lang w:val="en-US" w:eastAsia="zh-CN"/>
        </w:rPr>
        <w:t>义务兵优待</w:t>
      </w:r>
      <w:r>
        <w:rPr>
          <w:rStyle w:val="20"/>
          <w:rFonts w:hint="eastAsia" w:ascii="仿宋_GB2312" w:hAnsi="仿宋_GB2312" w:eastAsia="仿宋_GB2312" w:cs="仿宋_GB2312"/>
          <w:bCs/>
          <w:color w:val="auto"/>
          <w:sz w:val="32"/>
          <w:szCs w:val="32"/>
          <w:highlight w:val="none"/>
        </w:rPr>
        <w:t>（项）</w:t>
      </w:r>
      <w:r>
        <w:rPr>
          <w:rStyle w:val="20"/>
          <w:rFonts w:hint="eastAsia" w:ascii="仿宋_GB2312" w:hAnsi="仿宋_GB2312" w:eastAsia="仿宋_GB2312" w:cs="仿宋_GB2312"/>
          <w:bCs/>
          <w:color w:val="auto"/>
          <w:sz w:val="32"/>
          <w:szCs w:val="32"/>
          <w:highlight w:val="none"/>
          <w:lang w:eastAsia="zh-CN"/>
        </w:rPr>
        <w:t>：</w:t>
      </w:r>
      <w:r>
        <w:rPr>
          <w:rStyle w:val="20"/>
          <w:rFonts w:hint="eastAsia" w:ascii="仿宋_GB2312" w:hAnsi="仿宋_GB2312" w:eastAsia="仿宋_GB2312" w:cs="仿宋_GB2312"/>
          <w:b w:val="0"/>
          <w:bCs/>
          <w:color w:val="auto"/>
          <w:sz w:val="32"/>
          <w:szCs w:val="32"/>
          <w:highlight w:val="none"/>
        </w:rPr>
        <w:t xml:space="preserve"> 支出决算为</w:t>
      </w:r>
      <w:r>
        <w:rPr>
          <w:rStyle w:val="20"/>
          <w:rFonts w:hint="eastAsia" w:ascii="仿宋_GB2312" w:hAnsi="仿宋_GB2312" w:eastAsia="仿宋_GB2312" w:cs="仿宋_GB2312"/>
          <w:b w:val="0"/>
          <w:bCs/>
          <w:color w:val="auto"/>
          <w:sz w:val="32"/>
          <w:szCs w:val="32"/>
          <w:highlight w:val="none"/>
          <w:lang w:val="en-US" w:eastAsia="zh-CN"/>
        </w:rPr>
        <w:t>58.26</w:t>
      </w:r>
      <w:r>
        <w:rPr>
          <w:rStyle w:val="20"/>
          <w:rFonts w:hint="eastAsia" w:ascii="仿宋_GB2312" w:hAnsi="仿宋_GB2312" w:eastAsia="仿宋_GB2312" w:cs="仿宋_GB2312"/>
          <w:b w:val="0"/>
          <w:bCs/>
          <w:color w:val="auto"/>
          <w:sz w:val="32"/>
          <w:szCs w:val="32"/>
          <w:highlight w:val="none"/>
        </w:rPr>
        <w:t>万元，完成预算</w:t>
      </w:r>
      <w:r>
        <w:rPr>
          <w:rStyle w:val="20"/>
          <w:rFonts w:hint="eastAsia" w:ascii="仿宋_GB2312" w:hAnsi="仿宋_GB2312" w:eastAsia="仿宋_GB2312" w:cs="仿宋_GB2312"/>
          <w:b w:val="0"/>
          <w:bCs/>
          <w:color w:val="auto"/>
          <w:sz w:val="32"/>
          <w:szCs w:val="32"/>
          <w:highlight w:val="none"/>
          <w:lang w:val="en-US" w:eastAsia="zh-CN"/>
        </w:rPr>
        <w:t>100</w:t>
      </w:r>
      <w:r>
        <w:rPr>
          <w:rStyle w:val="20"/>
          <w:rFonts w:hint="eastAsia" w:ascii="仿宋_GB2312" w:hAnsi="仿宋_GB2312" w:eastAsia="仿宋_GB2312" w:cs="仿宋_GB2312"/>
          <w:b w:val="0"/>
          <w:bCs/>
          <w:color w:val="auto"/>
          <w:sz w:val="32"/>
          <w:szCs w:val="32"/>
          <w:highlight w:val="none"/>
        </w:rPr>
        <w:t>%。</w:t>
      </w:r>
    </w:p>
    <w:p w14:paraId="497BAA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Style w:val="20"/>
          <w:rFonts w:hint="eastAsia" w:ascii="仿宋_GB2312" w:hAnsi="仿宋_GB2312" w:eastAsia="仿宋_GB2312" w:cs="仿宋_GB2312"/>
          <w:bCs/>
          <w:color w:val="auto"/>
          <w:sz w:val="32"/>
          <w:szCs w:val="32"/>
          <w:highlight w:val="none"/>
        </w:rPr>
        <w:t>5.社会保障和就业支出（类）抚恤（款）</w:t>
      </w:r>
      <w:r>
        <w:rPr>
          <w:rStyle w:val="20"/>
          <w:rFonts w:hint="eastAsia" w:ascii="仿宋_GB2312" w:hAnsi="仿宋_GB2312" w:eastAsia="仿宋_GB2312" w:cs="仿宋_GB2312"/>
          <w:bCs/>
          <w:color w:val="auto"/>
          <w:sz w:val="32"/>
          <w:szCs w:val="32"/>
          <w:highlight w:val="none"/>
          <w:lang w:val="en-US" w:eastAsia="zh-CN"/>
        </w:rPr>
        <w:t>其他优抚支出</w:t>
      </w:r>
      <w:r>
        <w:rPr>
          <w:rStyle w:val="20"/>
          <w:rFonts w:hint="eastAsia" w:ascii="仿宋_GB2312" w:hAnsi="仿宋_GB2312" w:eastAsia="仿宋_GB2312" w:cs="仿宋_GB2312"/>
          <w:bCs/>
          <w:color w:val="auto"/>
          <w:sz w:val="32"/>
          <w:szCs w:val="32"/>
          <w:highlight w:val="none"/>
        </w:rPr>
        <w:t>（项）</w:t>
      </w:r>
      <w:r>
        <w:rPr>
          <w:rStyle w:val="20"/>
          <w:rFonts w:hint="eastAsia" w:ascii="仿宋_GB2312" w:hAnsi="仿宋_GB2312" w:eastAsia="仿宋_GB2312" w:cs="仿宋_GB2312"/>
          <w:bCs/>
          <w:color w:val="auto"/>
          <w:sz w:val="32"/>
          <w:szCs w:val="32"/>
          <w:highlight w:val="none"/>
          <w:lang w:eastAsia="zh-CN"/>
        </w:rPr>
        <w:t>：</w:t>
      </w:r>
      <w:r>
        <w:rPr>
          <w:rStyle w:val="20"/>
          <w:rFonts w:hint="eastAsia" w:ascii="仿宋_GB2312" w:hAnsi="仿宋_GB2312" w:eastAsia="仿宋_GB2312" w:cs="仿宋_GB2312"/>
          <w:b w:val="0"/>
          <w:bCs/>
          <w:color w:val="auto"/>
          <w:sz w:val="32"/>
          <w:szCs w:val="32"/>
          <w:highlight w:val="none"/>
        </w:rPr>
        <w:t xml:space="preserve"> 支出决算为</w:t>
      </w:r>
      <w:r>
        <w:rPr>
          <w:rStyle w:val="20"/>
          <w:rFonts w:hint="eastAsia" w:ascii="仿宋_GB2312" w:hAnsi="仿宋_GB2312" w:eastAsia="仿宋_GB2312" w:cs="仿宋_GB2312"/>
          <w:b w:val="0"/>
          <w:bCs/>
          <w:color w:val="auto"/>
          <w:sz w:val="32"/>
          <w:szCs w:val="32"/>
          <w:highlight w:val="none"/>
          <w:lang w:val="en-US" w:eastAsia="zh-CN"/>
        </w:rPr>
        <w:t>437.08</w:t>
      </w:r>
      <w:r>
        <w:rPr>
          <w:rStyle w:val="20"/>
          <w:rFonts w:hint="eastAsia" w:ascii="仿宋_GB2312" w:hAnsi="仿宋_GB2312" w:eastAsia="仿宋_GB2312" w:cs="仿宋_GB2312"/>
          <w:b w:val="0"/>
          <w:bCs/>
          <w:color w:val="auto"/>
          <w:sz w:val="32"/>
          <w:szCs w:val="32"/>
          <w:highlight w:val="none"/>
        </w:rPr>
        <w:t>万元，完成预算</w:t>
      </w:r>
      <w:r>
        <w:rPr>
          <w:rStyle w:val="20"/>
          <w:rFonts w:hint="eastAsia" w:ascii="仿宋_GB2312" w:hAnsi="仿宋_GB2312" w:eastAsia="仿宋_GB2312" w:cs="仿宋_GB2312"/>
          <w:b w:val="0"/>
          <w:bCs/>
          <w:color w:val="auto"/>
          <w:sz w:val="32"/>
          <w:szCs w:val="32"/>
          <w:highlight w:val="none"/>
          <w:lang w:val="en-US" w:eastAsia="zh-CN"/>
        </w:rPr>
        <w:t>100</w:t>
      </w:r>
      <w:r>
        <w:rPr>
          <w:rStyle w:val="20"/>
          <w:rFonts w:hint="eastAsia" w:ascii="仿宋_GB2312" w:hAnsi="仿宋_GB2312" w:eastAsia="仿宋_GB2312" w:cs="仿宋_GB2312"/>
          <w:b w:val="0"/>
          <w:bCs/>
          <w:color w:val="auto"/>
          <w:sz w:val="32"/>
          <w:szCs w:val="32"/>
          <w:highlight w:val="none"/>
        </w:rPr>
        <w:t>%。</w:t>
      </w:r>
    </w:p>
    <w:p w14:paraId="5C0039B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20"/>
          <w:rFonts w:hint="eastAsia" w:ascii="仿宋_GB2312" w:hAnsi="仿宋_GB2312" w:eastAsia="仿宋_GB2312" w:cs="仿宋_GB2312"/>
          <w:bCs/>
          <w:color w:val="auto"/>
          <w:sz w:val="32"/>
          <w:szCs w:val="32"/>
          <w:highlight w:val="none"/>
          <w:lang w:val="en-US" w:eastAsia="zh-CN"/>
        </w:rPr>
      </w:pPr>
      <w:r>
        <w:rPr>
          <w:rStyle w:val="20"/>
          <w:rFonts w:hint="eastAsia" w:ascii="仿宋_GB2312" w:hAnsi="仿宋_GB2312" w:eastAsia="仿宋_GB2312" w:cs="仿宋_GB2312"/>
          <w:bCs/>
          <w:color w:val="auto"/>
          <w:sz w:val="32"/>
          <w:szCs w:val="32"/>
          <w:highlight w:val="none"/>
        </w:rPr>
        <w:t>6.社会保障和就业支出（类）</w:t>
      </w:r>
      <w:r>
        <w:rPr>
          <w:rStyle w:val="20"/>
          <w:rFonts w:hint="eastAsia" w:ascii="仿宋_GB2312" w:hAnsi="仿宋_GB2312" w:eastAsia="仿宋_GB2312" w:cs="仿宋_GB2312"/>
          <w:bCs/>
          <w:color w:val="auto"/>
          <w:sz w:val="32"/>
          <w:szCs w:val="32"/>
          <w:highlight w:val="none"/>
          <w:lang w:eastAsia="zh-CN"/>
        </w:rPr>
        <w:t>退役安置</w:t>
      </w:r>
      <w:r>
        <w:rPr>
          <w:rStyle w:val="20"/>
          <w:rFonts w:hint="eastAsia" w:ascii="仿宋_GB2312" w:hAnsi="仿宋_GB2312" w:eastAsia="仿宋_GB2312" w:cs="仿宋_GB2312"/>
          <w:bCs/>
          <w:color w:val="auto"/>
          <w:sz w:val="32"/>
          <w:szCs w:val="32"/>
          <w:highlight w:val="none"/>
        </w:rPr>
        <w:t>（款） 退役士兵安置（项）</w:t>
      </w:r>
      <w:r>
        <w:rPr>
          <w:rStyle w:val="20"/>
          <w:rFonts w:hint="eastAsia" w:ascii="仿宋_GB2312" w:hAnsi="仿宋_GB2312" w:eastAsia="仿宋_GB2312" w:cs="仿宋_GB2312"/>
          <w:bCs/>
          <w:color w:val="auto"/>
          <w:sz w:val="32"/>
          <w:szCs w:val="32"/>
          <w:highlight w:val="none"/>
          <w:lang w:eastAsia="zh-CN"/>
        </w:rPr>
        <w:t>：</w:t>
      </w:r>
      <w:r>
        <w:rPr>
          <w:rStyle w:val="20"/>
          <w:rFonts w:hint="eastAsia" w:ascii="仿宋_GB2312" w:hAnsi="仿宋_GB2312" w:eastAsia="仿宋_GB2312" w:cs="仿宋_GB2312"/>
          <w:b w:val="0"/>
          <w:bCs/>
          <w:color w:val="auto"/>
          <w:sz w:val="32"/>
          <w:szCs w:val="32"/>
          <w:highlight w:val="none"/>
        </w:rPr>
        <w:t>支出决算为</w:t>
      </w:r>
      <w:r>
        <w:rPr>
          <w:rStyle w:val="20"/>
          <w:rFonts w:hint="eastAsia" w:ascii="仿宋_GB2312" w:hAnsi="仿宋_GB2312" w:eastAsia="仿宋_GB2312" w:cs="仿宋_GB2312"/>
          <w:b w:val="0"/>
          <w:bCs/>
          <w:color w:val="auto"/>
          <w:sz w:val="32"/>
          <w:szCs w:val="32"/>
          <w:highlight w:val="none"/>
          <w:lang w:val="en-US" w:eastAsia="zh-CN"/>
        </w:rPr>
        <w:t>60.09</w:t>
      </w:r>
      <w:r>
        <w:rPr>
          <w:rStyle w:val="20"/>
          <w:rFonts w:hint="eastAsia" w:ascii="仿宋_GB2312" w:hAnsi="仿宋_GB2312" w:eastAsia="仿宋_GB2312" w:cs="仿宋_GB2312"/>
          <w:b w:val="0"/>
          <w:bCs/>
          <w:color w:val="auto"/>
          <w:sz w:val="32"/>
          <w:szCs w:val="32"/>
          <w:highlight w:val="none"/>
        </w:rPr>
        <w:t>万元，完成预算</w:t>
      </w:r>
      <w:r>
        <w:rPr>
          <w:rStyle w:val="20"/>
          <w:rFonts w:hint="eastAsia" w:ascii="仿宋_GB2312" w:hAnsi="仿宋_GB2312" w:eastAsia="仿宋_GB2312" w:cs="仿宋_GB2312"/>
          <w:b w:val="0"/>
          <w:bCs/>
          <w:color w:val="auto"/>
          <w:sz w:val="32"/>
          <w:szCs w:val="32"/>
          <w:highlight w:val="none"/>
          <w:lang w:val="en-US" w:eastAsia="zh-CN"/>
        </w:rPr>
        <w:t>100</w:t>
      </w:r>
      <w:r>
        <w:rPr>
          <w:rStyle w:val="20"/>
          <w:rFonts w:hint="eastAsia" w:ascii="仿宋_GB2312" w:hAnsi="仿宋_GB2312" w:eastAsia="仿宋_GB2312" w:cs="仿宋_GB2312"/>
          <w:b w:val="0"/>
          <w:bCs/>
          <w:color w:val="auto"/>
          <w:sz w:val="32"/>
          <w:szCs w:val="32"/>
          <w:highlight w:val="none"/>
        </w:rPr>
        <w:t>%。</w:t>
      </w:r>
    </w:p>
    <w:p w14:paraId="1272DE5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Style w:val="20"/>
          <w:rFonts w:hint="eastAsia" w:ascii="仿宋_GB2312" w:hAnsi="仿宋_GB2312" w:eastAsia="仿宋_GB2312" w:cs="仿宋_GB2312"/>
          <w:bCs/>
          <w:color w:val="auto"/>
          <w:sz w:val="32"/>
          <w:szCs w:val="32"/>
          <w:highlight w:val="none"/>
          <w:lang w:val="en-US" w:eastAsia="zh-CN"/>
        </w:rPr>
        <w:t>7</w:t>
      </w:r>
      <w:r>
        <w:rPr>
          <w:rStyle w:val="20"/>
          <w:rFonts w:hint="eastAsia" w:ascii="仿宋_GB2312" w:hAnsi="仿宋_GB2312" w:eastAsia="仿宋_GB2312" w:cs="仿宋_GB2312"/>
          <w:bCs/>
          <w:color w:val="auto"/>
          <w:sz w:val="32"/>
          <w:szCs w:val="32"/>
          <w:highlight w:val="none"/>
        </w:rPr>
        <w:t>.社会保障和就业支出（类）</w:t>
      </w:r>
      <w:r>
        <w:rPr>
          <w:rStyle w:val="20"/>
          <w:rFonts w:hint="eastAsia" w:ascii="仿宋_GB2312" w:hAnsi="仿宋_GB2312" w:eastAsia="仿宋_GB2312" w:cs="仿宋_GB2312"/>
          <w:bCs/>
          <w:color w:val="auto"/>
          <w:sz w:val="32"/>
          <w:szCs w:val="32"/>
          <w:highlight w:val="none"/>
          <w:lang w:eastAsia="zh-CN"/>
        </w:rPr>
        <w:t>退役安置</w:t>
      </w:r>
      <w:r>
        <w:rPr>
          <w:rStyle w:val="20"/>
          <w:rFonts w:hint="eastAsia" w:ascii="仿宋_GB2312" w:hAnsi="仿宋_GB2312" w:eastAsia="仿宋_GB2312" w:cs="仿宋_GB2312"/>
          <w:bCs/>
          <w:color w:val="auto"/>
          <w:sz w:val="32"/>
          <w:szCs w:val="32"/>
          <w:highlight w:val="none"/>
        </w:rPr>
        <w:t>（款） 军队移交政府的离退休人员安置（项）</w:t>
      </w:r>
      <w:r>
        <w:rPr>
          <w:rStyle w:val="20"/>
          <w:rFonts w:hint="eastAsia" w:ascii="仿宋_GB2312" w:hAnsi="仿宋_GB2312" w:eastAsia="仿宋_GB2312" w:cs="仿宋_GB2312"/>
          <w:bCs/>
          <w:color w:val="auto"/>
          <w:sz w:val="32"/>
          <w:szCs w:val="32"/>
          <w:highlight w:val="none"/>
          <w:lang w:eastAsia="zh-CN"/>
        </w:rPr>
        <w:t>：</w:t>
      </w:r>
      <w:r>
        <w:rPr>
          <w:rStyle w:val="20"/>
          <w:rFonts w:hint="eastAsia" w:ascii="仿宋_GB2312" w:hAnsi="仿宋_GB2312" w:eastAsia="仿宋_GB2312" w:cs="仿宋_GB2312"/>
          <w:b w:val="0"/>
          <w:bCs/>
          <w:color w:val="auto"/>
          <w:sz w:val="32"/>
          <w:szCs w:val="32"/>
          <w:highlight w:val="none"/>
        </w:rPr>
        <w:t>支出决算为</w:t>
      </w:r>
      <w:r>
        <w:rPr>
          <w:rStyle w:val="20"/>
          <w:rFonts w:hint="eastAsia" w:ascii="仿宋_GB2312" w:hAnsi="仿宋_GB2312" w:eastAsia="仿宋_GB2312" w:cs="仿宋_GB2312"/>
          <w:b w:val="0"/>
          <w:bCs/>
          <w:color w:val="auto"/>
          <w:sz w:val="32"/>
          <w:szCs w:val="32"/>
          <w:highlight w:val="none"/>
          <w:lang w:val="en-US" w:eastAsia="zh-CN"/>
        </w:rPr>
        <w:t>115.58</w:t>
      </w:r>
      <w:r>
        <w:rPr>
          <w:rStyle w:val="20"/>
          <w:rFonts w:hint="eastAsia" w:ascii="仿宋_GB2312" w:hAnsi="仿宋_GB2312" w:eastAsia="仿宋_GB2312" w:cs="仿宋_GB2312"/>
          <w:b w:val="0"/>
          <w:bCs/>
          <w:color w:val="auto"/>
          <w:sz w:val="32"/>
          <w:szCs w:val="32"/>
          <w:highlight w:val="none"/>
        </w:rPr>
        <w:t>万元，完成预算</w:t>
      </w:r>
      <w:r>
        <w:rPr>
          <w:rStyle w:val="20"/>
          <w:rFonts w:hint="eastAsia" w:ascii="仿宋_GB2312" w:hAnsi="仿宋_GB2312" w:eastAsia="仿宋_GB2312" w:cs="仿宋_GB2312"/>
          <w:b w:val="0"/>
          <w:bCs/>
          <w:color w:val="auto"/>
          <w:sz w:val="32"/>
          <w:szCs w:val="32"/>
          <w:highlight w:val="none"/>
          <w:lang w:val="en-US" w:eastAsia="zh-CN"/>
        </w:rPr>
        <w:t>100</w:t>
      </w:r>
      <w:r>
        <w:rPr>
          <w:rStyle w:val="20"/>
          <w:rFonts w:hint="eastAsia" w:ascii="仿宋_GB2312" w:hAnsi="仿宋_GB2312" w:eastAsia="仿宋_GB2312" w:cs="仿宋_GB2312"/>
          <w:b w:val="0"/>
          <w:bCs/>
          <w:color w:val="auto"/>
          <w:sz w:val="32"/>
          <w:szCs w:val="32"/>
          <w:highlight w:val="none"/>
        </w:rPr>
        <w:t>%</w:t>
      </w:r>
      <w:r>
        <w:rPr>
          <w:rStyle w:val="20"/>
          <w:rFonts w:hint="eastAsia" w:ascii="仿宋_GB2312" w:hAnsi="仿宋_GB2312" w:eastAsia="仿宋_GB2312" w:cs="仿宋_GB2312"/>
          <w:b w:val="0"/>
          <w:bCs/>
          <w:color w:val="auto"/>
          <w:sz w:val="32"/>
          <w:szCs w:val="32"/>
          <w:highlight w:val="none"/>
          <w:lang w:eastAsia="zh-CN"/>
        </w:rPr>
        <w:t>。</w:t>
      </w:r>
    </w:p>
    <w:p w14:paraId="47356B9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20"/>
          <w:rFonts w:hint="eastAsia" w:ascii="仿宋_GB2312" w:hAnsi="仿宋_GB2312" w:eastAsia="仿宋_GB2312" w:cs="仿宋_GB2312"/>
          <w:b w:val="0"/>
          <w:bCs/>
          <w:color w:val="auto"/>
          <w:sz w:val="32"/>
          <w:szCs w:val="32"/>
          <w:highlight w:val="none"/>
          <w:lang w:val="en-US" w:eastAsia="zh-CN"/>
        </w:rPr>
      </w:pPr>
      <w:r>
        <w:rPr>
          <w:rStyle w:val="20"/>
          <w:rFonts w:hint="eastAsia" w:ascii="仿宋_GB2312" w:hAnsi="仿宋_GB2312" w:eastAsia="仿宋_GB2312" w:cs="仿宋_GB2312"/>
          <w:bCs/>
          <w:color w:val="auto"/>
          <w:sz w:val="32"/>
          <w:szCs w:val="32"/>
          <w:highlight w:val="none"/>
          <w:lang w:val="en-US" w:eastAsia="zh-CN"/>
        </w:rPr>
        <w:t>8</w:t>
      </w:r>
      <w:r>
        <w:rPr>
          <w:rStyle w:val="20"/>
          <w:rFonts w:hint="eastAsia" w:ascii="仿宋_GB2312" w:hAnsi="仿宋_GB2312" w:eastAsia="仿宋_GB2312" w:cs="仿宋_GB2312"/>
          <w:bCs/>
          <w:color w:val="auto"/>
          <w:sz w:val="32"/>
          <w:szCs w:val="32"/>
          <w:highlight w:val="none"/>
        </w:rPr>
        <w:t>.社会保障和就业支出（类）</w:t>
      </w:r>
      <w:r>
        <w:rPr>
          <w:rStyle w:val="20"/>
          <w:rFonts w:hint="eastAsia" w:ascii="仿宋_GB2312" w:hAnsi="仿宋_GB2312" w:eastAsia="仿宋_GB2312" w:cs="仿宋_GB2312"/>
          <w:bCs/>
          <w:color w:val="auto"/>
          <w:sz w:val="32"/>
          <w:szCs w:val="32"/>
          <w:highlight w:val="none"/>
          <w:lang w:eastAsia="zh-CN"/>
        </w:rPr>
        <w:t>退役安置</w:t>
      </w:r>
      <w:r>
        <w:rPr>
          <w:rStyle w:val="20"/>
          <w:rFonts w:hint="eastAsia" w:ascii="仿宋_GB2312" w:hAnsi="仿宋_GB2312" w:eastAsia="仿宋_GB2312" w:cs="仿宋_GB2312"/>
          <w:bCs/>
          <w:color w:val="auto"/>
          <w:sz w:val="32"/>
          <w:szCs w:val="32"/>
          <w:highlight w:val="none"/>
        </w:rPr>
        <w:t>（款）</w:t>
      </w:r>
      <w:r>
        <w:rPr>
          <w:rFonts w:hint="eastAsia" w:ascii="仿宋_GB2312" w:hAnsi="仿宋_GB2312" w:eastAsia="仿宋_GB2312" w:cs="仿宋_GB2312"/>
          <w:b/>
          <w:bCs/>
          <w:color w:val="auto"/>
          <w:sz w:val="32"/>
          <w:szCs w:val="32"/>
        </w:rPr>
        <w:t>军队移交政府离退休干部管理</w:t>
      </w:r>
      <w:r>
        <w:rPr>
          <w:rFonts w:hint="eastAsia" w:ascii="仿宋_GB2312" w:hAnsi="仿宋_GB2312" w:eastAsia="仿宋_GB2312" w:cs="仿宋_GB2312"/>
          <w:b/>
          <w:bCs/>
          <w:color w:val="auto"/>
          <w:sz w:val="32"/>
          <w:szCs w:val="32"/>
          <w:lang w:eastAsia="zh-CN"/>
        </w:rPr>
        <w:t>机构</w:t>
      </w:r>
      <w:r>
        <w:rPr>
          <w:rStyle w:val="20"/>
          <w:rFonts w:hint="eastAsia" w:ascii="仿宋_GB2312" w:hAnsi="仿宋_GB2312" w:eastAsia="仿宋_GB2312" w:cs="仿宋_GB2312"/>
          <w:b/>
          <w:bCs/>
          <w:color w:val="auto"/>
          <w:sz w:val="32"/>
          <w:szCs w:val="32"/>
          <w:highlight w:val="none"/>
        </w:rPr>
        <w:t>（项）</w:t>
      </w:r>
      <w:r>
        <w:rPr>
          <w:rStyle w:val="20"/>
          <w:rFonts w:hint="eastAsia" w:ascii="仿宋_GB2312" w:hAnsi="仿宋_GB2312" w:eastAsia="仿宋_GB2312" w:cs="仿宋_GB2312"/>
          <w:b/>
          <w:bCs/>
          <w:color w:val="auto"/>
          <w:sz w:val="32"/>
          <w:szCs w:val="32"/>
          <w:highlight w:val="none"/>
          <w:lang w:eastAsia="zh-CN"/>
        </w:rPr>
        <w:t>：</w:t>
      </w:r>
      <w:r>
        <w:rPr>
          <w:rStyle w:val="20"/>
          <w:rFonts w:hint="eastAsia" w:ascii="仿宋_GB2312" w:hAnsi="仿宋_GB2312" w:eastAsia="仿宋_GB2312" w:cs="仿宋_GB2312"/>
          <w:b w:val="0"/>
          <w:bCs/>
          <w:color w:val="auto"/>
          <w:sz w:val="32"/>
          <w:szCs w:val="32"/>
          <w:highlight w:val="none"/>
        </w:rPr>
        <w:t>支出决算为</w:t>
      </w:r>
      <w:r>
        <w:rPr>
          <w:rStyle w:val="20"/>
          <w:rFonts w:hint="eastAsia" w:ascii="仿宋_GB2312" w:hAnsi="仿宋_GB2312" w:eastAsia="仿宋_GB2312" w:cs="仿宋_GB2312"/>
          <w:b w:val="0"/>
          <w:bCs/>
          <w:color w:val="auto"/>
          <w:sz w:val="32"/>
          <w:szCs w:val="32"/>
          <w:highlight w:val="none"/>
          <w:lang w:val="en-US" w:eastAsia="zh-CN"/>
        </w:rPr>
        <w:t>0.26</w:t>
      </w:r>
      <w:r>
        <w:rPr>
          <w:rStyle w:val="20"/>
          <w:rFonts w:hint="eastAsia" w:ascii="仿宋_GB2312" w:hAnsi="仿宋_GB2312" w:eastAsia="仿宋_GB2312" w:cs="仿宋_GB2312"/>
          <w:b w:val="0"/>
          <w:bCs/>
          <w:color w:val="auto"/>
          <w:sz w:val="32"/>
          <w:szCs w:val="32"/>
          <w:highlight w:val="none"/>
        </w:rPr>
        <w:t>万元，</w:t>
      </w:r>
      <w:r>
        <w:rPr>
          <w:rStyle w:val="20"/>
          <w:rFonts w:hint="eastAsia" w:ascii="仿宋_GB2312" w:hAnsi="仿宋_GB2312" w:eastAsia="仿宋_GB2312" w:cs="仿宋_GB2312"/>
          <w:b w:val="0"/>
          <w:bCs/>
          <w:color w:val="auto"/>
          <w:sz w:val="32"/>
          <w:szCs w:val="32"/>
          <w:highlight w:val="none"/>
          <w:lang w:eastAsia="zh-CN"/>
        </w:rPr>
        <w:t>完</w:t>
      </w:r>
      <w:r>
        <w:rPr>
          <w:rStyle w:val="20"/>
          <w:rFonts w:hint="eastAsia" w:ascii="仿宋_GB2312" w:hAnsi="仿宋_GB2312" w:eastAsia="仿宋_GB2312" w:cs="仿宋_GB2312"/>
          <w:b w:val="0"/>
          <w:bCs/>
          <w:color w:val="auto"/>
          <w:sz w:val="32"/>
          <w:szCs w:val="32"/>
          <w:highlight w:val="none"/>
        </w:rPr>
        <w:t>成预算</w:t>
      </w:r>
      <w:r>
        <w:rPr>
          <w:rStyle w:val="20"/>
          <w:rFonts w:hint="eastAsia" w:ascii="仿宋_GB2312" w:hAnsi="仿宋_GB2312" w:eastAsia="仿宋_GB2312" w:cs="仿宋_GB2312"/>
          <w:b w:val="0"/>
          <w:bCs/>
          <w:color w:val="auto"/>
          <w:sz w:val="32"/>
          <w:szCs w:val="32"/>
          <w:highlight w:val="none"/>
          <w:lang w:val="en-US" w:eastAsia="zh-CN"/>
        </w:rPr>
        <w:t>100</w:t>
      </w:r>
      <w:r>
        <w:rPr>
          <w:rStyle w:val="20"/>
          <w:rFonts w:hint="eastAsia" w:ascii="仿宋_GB2312" w:hAnsi="仿宋_GB2312" w:eastAsia="仿宋_GB2312" w:cs="仿宋_GB2312"/>
          <w:b w:val="0"/>
          <w:bCs/>
          <w:color w:val="auto"/>
          <w:sz w:val="32"/>
          <w:szCs w:val="32"/>
          <w:highlight w:val="none"/>
        </w:rPr>
        <w:t>%</w:t>
      </w:r>
      <w:r>
        <w:rPr>
          <w:rStyle w:val="20"/>
          <w:rFonts w:hint="eastAsia" w:ascii="仿宋_GB2312" w:hAnsi="仿宋_GB2312" w:eastAsia="仿宋_GB2312" w:cs="仿宋_GB2312"/>
          <w:b w:val="0"/>
          <w:bCs/>
          <w:color w:val="auto"/>
          <w:sz w:val="32"/>
          <w:szCs w:val="32"/>
          <w:highlight w:val="none"/>
          <w:lang w:eastAsia="zh-CN"/>
        </w:rPr>
        <w:t>。</w:t>
      </w:r>
    </w:p>
    <w:p w14:paraId="183A31C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20"/>
          <w:rFonts w:hint="eastAsia" w:ascii="仿宋_GB2312" w:hAnsi="仿宋_GB2312" w:eastAsia="仿宋_GB2312" w:cs="仿宋_GB2312"/>
          <w:b w:val="0"/>
          <w:bCs/>
          <w:color w:val="auto"/>
          <w:sz w:val="32"/>
          <w:szCs w:val="32"/>
          <w:highlight w:val="none"/>
          <w:lang w:val="en-US" w:eastAsia="zh-CN"/>
        </w:rPr>
      </w:pPr>
      <w:r>
        <w:rPr>
          <w:rStyle w:val="20"/>
          <w:rFonts w:hint="eastAsia" w:ascii="仿宋_GB2312" w:hAnsi="仿宋_GB2312" w:eastAsia="仿宋_GB2312" w:cs="仿宋_GB2312"/>
          <w:bCs/>
          <w:color w:val="auto"/>
          <w:sz w:val="32"/>
          <w:szCs w:val="32"/>
          <w:highlight w:val="none"/>
          <w:lang w:val="en-US" w:eastAsia="zh-CN"/>
        </w:rPr>
        <w:t>9.</w:t>
      </w:r>
      <w:r>
        <w:rPr>
          <w:rStyle w:val="20"/>
          <w:rFonts w:hint="eastAsia" w:ascii="仿宋_GB2312" w:hAnsi="仿宋_GB2312" w:eastAsia="仿宋_GB2312" w:cs="仿宋_GB2312"/>
          <w:bCs/>
          <w:color w:val="auto"/>
          <w:sz w:val="32"/>
          <w:szCs w:val="32"/>
          <w:highlight w:val="none"/>
        </w:rPr>
        <w:t>社会保障和就业支出（类）</w:t>
      </w:r>
      <w:r>
        <w:rPr>
          <w:rStyle w:val="20"/>
          <w:rFonts w:hint="eastAsia" w:ascii="仿宋_GB2312" w:hAnsi="仿宋_GB2312" w:eastAsia="仿宋_GB2312" w:cs="仿宋_GB2312"/>
          <w:bCs/>
          <w:color w:val="auto"/>
          <w:sz w:val="32"/>
          <w:szCs w:val="32"/>
          <w:highlight w:val="none"/>
          <w:lang w:eastAsia="zh-CN"/>
        </w:rPr>
        <w:t>退役安置</w:t>
      </w:r>
      <w:r>
        <w:rPr>
          <w:rStyle w:val="20"/>
          <w:rFonts w:hint="eastAsia" w:ascii="仿宋_GB2312" w:hAnsi="仿宋_GB2312" w:eastAsia="仿宋_GB2312" w:cs="仿宋_GB2312"/>
          <w:bCs/>
          <w:color w:val="auto"/>
          <w:sz w:val="32"/>
          <w:szCs w:val="32"/>
          <w:highlight w:val="none"/>
        </w:rPr>
        <w:t>（款）退役士兵管理教育（项）</w:t>
      </w:r>
      <w:r>
        <w:rPr>
          <w:rStyle w:val="20"/>
          <w:rFonts w:hint="eastAsia" w:ascii="仿宋_GB2312" w:hAnsi="仿宋_GB2312" w:eastAsia="仿宋_GB2312" w:cs="仿宋_GB2312"/>
          <w:bCs/>
          <w:color w:val="auto"/>
          <w:sz w:val="32"/>
          <w:szCs w:val="32"/>
          <w:highlight w:val="none"/>
          <w:lang w:eastAsia="zh-CN"/>
        </w:rPr>
        <w:t>：</w:t>
      </w:r>
      <w:r>
        <w:rPr>
          <w:rStyle w:val="20"/>
          <w:rFonts w:hint="eastAsia" w:ascii="仿宋_GB2312" w:hAnsi="仿宋_GB2312" w:eastAsia="仿宋_GB2312" w:cs="仿宋_GB2312"/>
          <w:b w:val="0"/>
          <w:bCs/>
          <w:color w:val="auto"/>
          <w:sz w:val="32"/>
          <w:szCs w:val="32"/>
          <w:highlight w:val="none"/>
        </w:rPr>
        <w:t>支出决算为</w:t>
      </w:r>
      <w:r>
        <w:rPr>
          <w:rStyle w:val="20"/>
          <w:rFonts w:hint="eastAsia" w:ascii="仿宋_GB2312" w:hAnsi="仿宋_GB2312" w:eastAsia="仿宋_GB2312" w:cs="仿宋_GB2312"/>
          <w:b w:val="0"/>
          <w:bCs/>
          <w:color w:val="auto"/>
          <w:sz w:val="32"/>
          <w:szCs w:val="32"/>
          <w:highlight w:val="none"/>
          <w:lang w:val="en-US" w:eastAsia="zh-CN"/>
        </w:rPr>
        <w:t>3</w:t>
      </w:r>
      <w:r>
        <w:rPr>
          <w:rStyle w:val="20"/>
          <w:rFonts w:hint="eastAsia" w:ascii="仿宋_GB2312" w:hAnsi="仿宋_GB2312" w:eastAsia="仿宋_GB2312" w:cs="仿宋_GB2312"/>
          <w:b w:val="0"/>
          <w:bCs/>
          <w:color w:val="auto"/>
          <w:sz w:val="32"/>
          <w:szCs w:val="32"/>
          <w:highlight w:val="none"/>
        </w:rPr>
        <w:t>万元，完成预算</w:t>
      </w:r>
      <w:r>
        <w:rPr>
          <w:rStyle w:val="20"/>
          <w:rFonts w:hint="eastAsia" w:ascii="仿宋_GB2312" w:hAnsi="仿宋_GB2312" w:eastAsia="仿宋_GB2312" w:cs="仿宋_GB2312"/>
          <w:b w:val="0"/>
          <w:bCs/>
          <w:color w:val="auto"/>
          <w:sz w:val="32"/>
          <w:szCs w:val="32"/>
          <w:highlight w:val="none"/>
          <w:lang w:val="en-US" w:eastAsia="zh-CN"/>
        </w:rPr>
        <w:t>100</w:t>
      </w:r>
      <w:r>
        <w:rPr>
          <w:rStyle w:val="20"/>
          <w:rFonts w:hint="eastAsia" w:ascii="仿宋_GB2312" w:hAnsi="仿宋_GB2312" w:eastAsia="仿宋_GB2312" w:cs="仿宋_GB2312"/>
          <w:b w:val="0"/>
          <w:bCs/>
          <w:color w:val="auto"/>
          <w:sz w:val="32"/>
          <w:szCs w:val="32"/>
          <w:highlight w:val="none"/>
        </w:rPr>
        <w:t>%</w:t>
      </w:r>
      <w:r>
        <w:rPr>
          <w:rStyle w:val="20"/>
          <w:rFonts w:hint="eastAsia" w:ascii="仿宋_GB2312" w:hAnsi="仿宋_GB2312" w:eastAsia="仿宋_GB2312" w:cs="仿宋_GB2312"/>
          <w:b w:val="0"/>
          <w:bCs/>
          <w:color w:val="auto"/>
          <w:sz w:val="32"/>
          <w:szCs w:val="32"/>
          <w:highlight w:val="none"/>
          <w:lang w:eastAsia="zh-CN"/>
        </w:rPr>
        <w:t>。</w:t>
      </w:r>
    </w:p>
    <w:p w14:paraId="0AA926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Style w:val="20"/>
          <w:rFonts w:hint="eastAsia" w:ascii="仿宋_GB2312" w:hAnsi="仿宋_GB2312" w:eastAsia="仿宋_GB2312" w:cs="仿宋_GB2312"/>
          <w:bCs/>
          <w:color w:val="auto"/>
          <w:sz w:val="32"/>
          <w:szCs w:val="32"/>
          <w:highlight w:val="none"/>
          <w:lang w:val="en-US" w:eastAsia="zh-CN"/>
        </w:rPr>
        <w:t>10</w:t>
      </w:r>
      <w:r>
        <w:rPr>
          <w:rStyle w:val="20"/>
          <w:rFonts w:hint="eastAsia" w:ascii="仿宋_GB2312" w:hAnsi="仿宋_GB2312" w:eastAsia="仿宋_GB2312" w:cs="仿宋_GB2312"/>
          <w:bCs/>
          <w:color w:val="auto"/>
          <w:sz w:val="32"/>
          <w:szCs w:val="32"/>
          <w:highlight w:val="none"/>
        </w:rPr>
        <w:t>.社会保障和就业支出（类）</w:t>
      </w:r>
      <w:r>
        <w:rPr>
          <w:rStyle w:val="20"/>
          <w:rFonts w:hint="eastAsia" w:ascii="仿宋_GB2312" w:hAnsi="仿宋_GB2312" w:eastAsia="仿宋_GB2312" w:cs="仿宋_GB2312"/>
          <w:bCs/>
          <w:color w:val="auto"/>
          <w:sz w:val="32"/>
          <w:szCs w:val="32"/>
          <w:highlight w:val="none"/>
          <w:lang w:eastAsia="zh-CN"/>
        </w:rPr>
        <w:t>退役安置</w:t>
      </w:r>
      <w:r>
        <w:rPr>
          <w:rStyle w:val="20"/>
          <w:rFonts w:hint="eastAsia" w:ascii="仿宋_GB2312" w:hAnsi="仿宋_GB2312" w:eastAsia="仿宋_GB2312" w:cs="仿宋_GB2312"/>
          <w:bCs/>
          <w:color w:val="auto"/>
          <w:sz w:val="32"/>
          <w:szCs w:val="32"/>
          <w:highlight w:val="none"/>
        </w:rPr>
        <w:t>（款）军队转业干部安置（项）</w:t>
      </w:r>
      <w:r>
        <w:rPr>
          <w:rStyle w:val="20"/>
          <w:rFonts w:hint="eastAsia" w:ascii="仿宋_GB2312" w:hAnsi="仿宋_GB2312" w:eastAsia="仿宋_GB2312" w:cs="仿宋_GB2312"/>
          <w:bCs/>
          <w:color w:val="auto"/>
          <w:sz w:val="32"/>
          <w:szCs w:val="32"/>
          <w:highlight w:val="none"/>
          <w:lang w:eastAsia="zh-CN"/>
        </w:rPr>
        <w:t>：</w:t>
      </w:r>
      <w:r>
        <w:rPr>
          <w:rStyle w:val="20"/>
          <w:rFonts w:hint="eastAsia" w:ascii="仿宋_GB2312" w:hAnsi="仿宋_GB2312" w:eastAsia="仿宋_GB2312" w:cs="仿宋_GB2312"/>
          <w:b w:val="0"/>
          <w:bCs/>
          <w:color w:val="auto"/>
          <w:sz w:val="32"/>
          <w:szCs w:val="32"/>
          <w:highlight w:val="none"/>
        </w:rPr>
        <w:t>支出决算为</w:t>
      </w:r>
      <w:r>
        <w:rPr>
          <w:rStyle w:val="20"/>
          <w:rFonts w:hint="eastAsia" w:ascii="仿宋_GB2312" w:hAnsi="仿宋_GB2312" w:eastAsia="仿宋_GB2312" w:cs="仿宋_GB2312"/>
          <w:b w:val="0"/>
          <w:bCs/>
          <w:color w:val="auto"/>
          <w:sz w:val="32"/>
          <w:szCs w:val="32"/>
          <w:highlight w:val="none"/>
          <w:lang w:val="en-US" w:eastAsia="zh-CN"/>
        </w:rPr>
        <w:t>60.19</w:t>
      </w:r>
      <w:r>
        <w:rPr>
          <w:rStyle w:val="20"/>
          <w:rFonts w:hint="eastAsia" w:ascii="仿宋_GB2312" w:hAnsi="仿宋_GB2312" w:eastAsia="仿宋_GB2312" w:cs="仿宋_GB2312"/>
          <w:b w:val="0"/>
          <w:bCs/>
          <w:color w:val="auto"/>
          <w:sz w:val="32"/>
          <w:szCs w:val="32"/>
          <w:highlight w:val="none"/>
        </w:rPr>
        <w:t>万元，完成预算</w:t>
      </w:r>
      <w:r>
        <w:rPr>
          <w:rStyle w:val="20"/>
          <w:rFonts w:hint="eastAsia" w:ascii="仿宋_GB2312" w:hAnsi="仿宋_GB2312" w:eastAsia="仿宋_GB2312" w:cs="仿宋_GB2312"/>
          <w:b w:val="0"/>
          <w:bCs/>
          <w:color w:val="auto"/>
          <w:sz w:val="32"/>
          <w:szCs w:val="32"/>
          <w:highlight w:val="none"/>
          <w:lang w:val="en-US" w:eastAsia="zh-CN"/>
        </w:rPr>
        <w:t>100</w:t>
      </w:r>
      <w:r>
        <w:rPr>
          <w:rStyle w:val="20"/>
          <w:rFonts w:hint="eastAsia" w:ascii="仿宋_GB2312" w:hAnsi="仿宋_GB2312" w:eastAsia="仿宋_GB2312" w:cs="仿宋_GB2312"/>
          <w:b w:val="0"/>
          <w:bCs/>
          <w:color w:val="auto"/>
          <w:sz w:val="32"/>
          <w:szCs w:val="32"/>
          <w:highlight w:val="none"/>
        </w:rPr>
        <w:t>%</w:t>
      </w:r>
      <w:r>
        <w:rPr>
          <w:rStyle w:val="20"/>
          <w:rFonts w:hint="eastAsia" w:ascii="仿宋_GB2312" w:hAnsi="仿宋_GB2312" w:eastAsia="仿宋_GB2312" w:cs="仿宋_GB2312"/>
          <w:b w:val="0"/>
          <w:bCs/>
          <w:color w:val="auto"/>
          <w:sz w:val="32"/>
          <w:szCs w:val="32"/>
          <w:highlight w:val="none"/>
          <w:lang w:eastAsia="zh-CN"/>
        </w:rPr>
        <w:t>。</w:t>
      </w:r>
    </w:p>
    <w:p w14:paraId="30CA7B0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Style w:val="20"/>
          <w:rFonts w:hint="eastAsia" w:ascii="仿宋_GB2312" w:hAnsi="仿宋_GB2312" w:eastAsia="仿宋_GB2312" w:cs="仿宋_GB2312"/>
          <w:bCs/>
          <w:color w:val="auto"/>
          <w:sz w:val="32"/>
          <w:szCs w:val="32"/>
          <w:highlight w:val="none"/>
          <w:lang w:val="en-US" w:eastAsia="zh-CN"/>
        </w:rPr>
        <w:t>11</w:t>
      </w:r>
      <w:r>
        <w:rPr>
          <w:rStyle w:val="20"/>
          <w:rFonts w:hint="eastAsia" w:ascii="仿宋_GB2312" w:hAnsi="仿宋_GB2312" w:eastAsia="仿宋_GB2312" w:cs="仿宋_GB2312"/>
          <w:bCs/>
          <w:color w:val="auto"/>
          <w:sz w:val="32"/>
          <w:szCs w:val="32"/>
          <w:highlight w:val="none"/>
        </w:rPr>
        <w:t>.社会保障和就业支出（类）</w:t>
      </w:r>
      <w:r>
        <w:rPr>
          <w:rStyle w:val="20"/>
          <w:rFonts w:hint="eastAsia" w:ascii="仿宋_GB2312" w:hAnsi="仿宋_GB2312" w:eastAsia="仿宋_GB2312" w:cs="仿宋_GB2312"/>
          <w:bCs/>
          <w:color w:val="auto"/>
          <w:sz w:val="32"/>
          <w:szCs w:val="32"/>
          <w:highlight w:val="none"/>
          <w:lang w:eastAsia="zh-CN"/>
        </w:rPr>
        <w:t>退役安置</w:t>
      </w:r>
      <w:r>
        <w:rPr>
          <w:rStyle w:val="20"/>
          <w:rFonts w:hint="eastAsia" w:ascii="仿宋_GB2312" w:hAnsi="仿宋_GB2312" w:eastAsia="仿宋_GB2312" w:cs="仿宋_GB2312"/>
          <w:bCs/>
          <w:color w:val="auto"/>
          <w:sz w:val="32"/>
          <w:szCs w:val="32"/>
          <w:highlight w:val="none"/>
        </w:rPr>
        <w:t>（款）其他退役安置支出（项）</w:t>
      </w:r>
      <w:r>
        <w:rPr>
          <w:rStyle w:val="20"/>
          <w:rFonts w:hint="eastAsia" w:ascii="仿宋_GB2312" w:hAnsi="仿宋_GB2312" w:eastAsia="仿宋_GB2312" w:cs="仿宋_GB2312"/>
          <w:bCs/>
          <w:color w:val="auto"/>
          <w:sz w:val="32"/>
          <w:szCs w:val="32"/>
          <w:highlight w:val="none"/>
          <w:lang w:eastAsia="zh-CN"/>
        </w:rPr>
        <w:t>：</w:t>
      </w:r>
      <w:r>
        <w:rPr>
          <w:rStyle w:val="20"/>
          <w:rFonts w:hint="eastAsia" w:ascii="仿宋_GB2312" w:hAnsi="仿宋_GB2312" w:eastAsia="仿宋_GB2312" w:cs="仿宋_GB2312"/>
          <w:b w:val="0"/>
          <w:bCs/>
          <w:color w:val="auto"/>
          <w:sz w:val="32"/>
          <w:szCs w:val="32"/>
          <w:highlight w:val="none"/>
        </w:rPr>
        <w:t>支出决算为</w:t>
      </w:r>
      <w:r>
        <w:rPr>
          <w:rStyle w:val="20"/>
          <w:rFonts w:hint="eastAsia" w:ascii="仿宋_GB2312" w:hAnsi="仿宋_GB2312" w:eastAsia="仿宋_GB2312" w:cs="仿宋_GB2312"/>
          <w:b w:val="0"/>
          <w:bCs/>
          <w:color w:val="auto"/>
          <w:sz w:val="32"/>
          <w:szCs w:val="32"/>
          <w:highlight w:val="none"/>
          <w:lang w:val="en-US" w:eastAsia="zh-CN"/>
        </w:rPr>
        <w:t>34.89</w:t>
      </w:r>
      <w:r>
        <w:rPr>
          <w:rStyle w:val="20"/>
          <w:rFonts w:hint="eastAsia" w:ascii="仿宋_GB2312" w:hAnsi="仿宋_GB2312" w:eastAsia="仿宋_GB2312" w:cs="仿宋_GB2312"/>
          <w:b w:val="0"/>
          <w:bCs/>
          <w:color w:val="auto"/>
          <w:sz w:val="32"/>
          <w:szCs w:val="32"/>
          <w:highlight w:val="none"/>
        </w:rPr>
        <w:t>万元，完成预算</w:t>
      </w:r>
      <w:r>
        <w:rPr>
          <w:rStyle w:val="20"/>
          <w:rFonts w:hint="eastAsia" w:ascii="仿宋_GB2312" w:hAnsi="仿宋_GB2312" w:eastAsia="仿宋_GB2312" w:cs="仿宋_GB2312"/>
          <w:b w:val="0"/>
          <w:bCs/>
          <w:color w:val="auto"/>
          <w:sz w:val="32"/>
          <w:szCs w:val="32"/>
          <w:highlight w:val="none"/>
          <w:lang w:val="en-US" w:eastAsia="zh-CN"/>
        </w:rPr>
        <w:t>100</w:t>
      </w:r>
      <w:r>
        <w:rPr>
          <w:rStyle w:val="20"/>
          <w:rFonts w:hint="eastAsia" w:ascii="仿宋_GB2312" w:hAnsi="仿宋_GB2312" w:eastAsia="仿宋_GB2312" w:cs="仿宋_GB2312"/>
          <w:b w:val="0"/>
          <w:bCs/>
          <w:color w:val="auto"/>
          <w:sz w:val="32"/>
          <w:szCs w:val="32"/>
          <w:highlight w:val="none"/>
        </w:rPr>
        <w:t>%</w:t>
      </w:r>
      <w:r>
        <w:rPr>
          <w:rStyle w:val="20"/>
          <w:rFonts w:hint="eastAsia" w:ascii="仿宋_GB2312" w:hAnsi="仿宋_GB2312" w:eastAsia="仿宋_GB2312" w:cs="仿宋_GB2312"/>
          <w:b w:val="0"/>
          <w:bCs/>
          <w:color w:val="auto"/>
          <w:sz w:val="32"/>
          <w:szCs w:val="32"/>
          <w:highlight w:val="none"/>
          <w:lang w:eastAsia="zh-CN"/>
        </w:rPr>
        <w:t>。</w:t>
      </w:r>
    </w:p>
    <w:p w14:paraId="63608DB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20"/>
          <w:rFonts w:hint="eastAsia" w:ascii="仿宋_GB2312" w:hAnsi="仿宋_GB2312" w:eastAsia="仿宋_GB2312" w:cs="仿宋_GB2312"/>
          <w:b w:val="0"/>
          <w:bCs/>
          <w:color w:val="auto"/>
          <w:sz w:val="32"/>
          <w:szCs w:val="32"/>
          <w:highlight w:val="none"/>
          <w:lang w:val="en-US" w:eastAsia="zh-CN"/>
        </w:rPr>
      </w:pPr>
      <w:r>
        <w:rPr>
          <w:rStyle w:val="20"/>
          <w:rFonts w:hint="eastAsia" w:ascii="仿宋_GB2312" w:hAnsi="仿宋_GB2312" w:eastAsia="仿宋_GB2312" w:cs="仿宋_GB2312"/>
          <w:bCs/>
          <w:color w:val="auto"/>
          <w:sz w:val="32"/>
          <w:szCs w:val="32"/>
          <w:highlight w:val="none"/>
          <w:lang w:val="en-US" w:eastAsia="zh-CN"/>
        </w:rPr>
        <w:t>13</w:t>
      </w:r>
      <w:r>
        <w:rPr>
          <w:rStyle w:val="20"/>
          <w:rFonts w:hint="eastAsia" w:ascii="仿宋_GB2312" w:hAnsi="仿宋_GB2312" w:eastAsia="仿宋_GB2312" w:cs="仿宋_GB2312"/>
          <w:bCs/>
          <w:color w:val="auto"/>
          <w:sz w:val="32"/>
          <w:szCs w:val="32"/>
          <w:highlight w:val="none"/>
        </w:rPr>
        <w:t>.社会保障和就业支出（类）</w:t>
      </w:r>
      <w:r>
        <w:rPr>
          <w:rStyle w:val="20"/>
          <w:rFonts w:hint="eastAsia" w:ascii="仿宋_GB2312" w:hAnsi="仿宋_GB2312" w:eastAsia="仿宋_GB2312" w:cs="仿宋_GB2312"/>
          <w:bCs/>
          <w:color w:val="auto"/>
          <w:sz w:val="32"/>
          <w:szCs w:val="32"/>
          <w:highlight w:val="none"/>
          <w:lang w:eastAsia="zh-CN"/>
        </w:rPr>
        <w:t>退役军人管理事务</w:t>
      </w:r>
      <w:r>
        <w:rPr>
          <w:rStyle w:val="20"/>
          <w:rFonts w:hint="eastAsia" w:ascii="仿宋_GB2312" w:hAnsi="仿宋_GB2312" w:eastAsia="仿宋_GB2312" w:cs="仿宋_GB2312"/>
          <w:bCs/>
          <w:color w:val="auto"/>
          <w:sz w:val="32"/>
          <w:szCs w:val="32"/>
          <w:highlight w:val="none"/>
        </w:rPr>
        <w:t>（款） 行政运行（项）</w:t>
      </w:r>
      <w:r>
        <w:rPr>
          <w:rStyle w:val="20"/>
          <w:rFonts w:hint="eastAsia" w:ascii="仿宋_GB2312" w:hAnsi="仿宋_GB2312" w:eastAsia="仿宋_GB2312" w:cs="仿宋_GB2312"/>
          <w:bCs/>
          <w:color w:val="auto"/>
          <w:sz w:val="32"/>
          <w:szCs w:val="32"/>
          <w:highlight w:val="none"/>
          <w:lang w:eastAsia="zh-CN"/>
        </w:rPr>
        <w:t>：</w:t>
      </w:r>
      <w:r>
        <w:rPr>
          <w:rStyle w:val="20"/>
          <w:rFonts w:hint="eastAsia" w:ascii="仿宋_GB2312" w:hAnsi="仿宋_GB2312" w:eastAsia="仿宋_GB2312" w:cs="仿宋_GB2312"/>
          <w:b w:val="0"/>
          <w:bCs/>
          <w:color w:val="auto"/>
          <w:sz w:val="32"/>
          <w:szCs w:val="32"/>
          <w:highlight w:val="none"/>
        </w:rPr>
        <w:t>支出决算为</w:t>
      </w:r>
      <w:r>
        <w:rPr>
          <w:rStyle w:val="20"/>
          <w:rFonts w:hint="eastAsia" w:ascii="仿宋_GB2312" w:hAnsi="仿宋_GB2312" w:eastAsia="仿宋_GB2312" w:cs="仿宋_GB2312"/>
          <w:b w:val="0"/>
          <w:bCs/>
          <w:color w:val="auto"/>
          <w:sz w:val="32"/>
          <w:szCs w:val="32"/>
          <w:highlight w:val="none"/>
          <w:lang w:val="en-US" w:eastAsia="zh-CN"/>
        </w:rPr>
        <w:t>108.78</w:t>
      </w:r>
      <w:r>
        <w:rPr>
          <w:rStyle w:val="20"/>
          <w:rFonts w:hint="eastAsia" w:ascii="仿宋_GB2312" w:hAnsi="仿宋_GB2312" w:eastAsia="仿宋_GB2312" w:cs="仿宋_GB2312"/>
          <w:b w:val="0"/>
          <w:bCs/>
          <w:color w:val="auto"/>
          <w:sz w:val="32"/>
          <w:szCs w:val="32"/>
          <w:highlight w:val="none"/>
        </w:rPr>
        <w:t>万元，完成预算</w:t>
      </w:r>
      <w:r>
        <w:rPr>
          <w:rStyle w:val="20"/>
          <w:rFonts w:hint="eastAsia" w:ascii="仿宋_GB2312" w:hAnsi="仿宋_GB2312" w:eastAsia="仿宋_GB2312" w:cs="仿宋_GB2312"/>
          <w:b w:val="0"/>
          <w:bCs/>
          <w:color w:val="auto"/>
          <w:sz w:val="32"/>
          <w:szCs w:val="32"/>
          <w:highlight w:val="none"/>
          <w:lang w:val="en-US" w:eastAsia="zh-CN"/>
        </w:rPr>
        <w:t>100</w:t>
      </w:r>
      <w:r>
        <w:rPr>
          <w:rStyle w:val="20"/>
          <w:rFonts w:hint="eastAsia" w:ascii="仿宋_GB2312" w:hAnsi="仿宋_GB2312" w:eastAsia="仿宋_GB2312" w:cs="仿宋_GB2312"/>
          <w:b w:val="0"/>
          <w:bCs/>
          <w:color w:val="auto"/>
          <w:sz w:val="32"/>
          <w:szCs w:val="32"/>
          <w:highlight w:val="none"/>
        </w:rPr>
        <w:t>%</w:t>
      </w:r>
      <w:r>
        <w:rPr>
          <w:rStyle w:val="20"/>
          <w:rFonts w:hint="eastAsia" w:ascii="仿宋_GB2312" w:hAnsi="仿宋_GB2312" w:eastAsia="仿宋_GB2312" w:cs="仿宋_GB2312"/>
          <w:b w:val="0"/>
          <w:bCs/>
          <w:color w:val="auto"/>
          <w:sz w:val="32"/>
          <w:szCs w:val="32"/>
          <w:highlight w:val="none"/>
          <w:lang w:eastAsia="zh-CN"/>
        </w:rPr>
        <w:t>。</w:t>
      </w:r>
      <w:r>
        <w:rPr>
          <w:rStyle w:val="20"/>
          <w:rFonts w:hint="eastAsia" w:ascii="仿宋_GB2312" w:hAnsi="仿宋_GB2312" w:eastAsia="仿宋_GB2312" w:cs="仿宋_GB2312"/>
          <w:b w:val="0"/>
          <w:bCs/>
          <w:color w:val="auto"/>
          <w:sz w:val="32"/>
          <w:szCs w:val="32"/>
          <w:highlight w:val="none"/>
          <w:lang w:val="en-US" w:eastAsia="zh-CN"/>
        </w:rPr>
        <w:t xml:space="preserve">  </w:t>
      </w:r>
    </w:p>
    <w:p w14:paraId="75C907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Style w:val="20"/>
          <w:rFonts w:hint="eastAsia" w:ascii="仿宋_GB2312" w:hAnsi="仿宋_GB2312" w:eastAsia="仿宋_GB2312" w:cs="仿宋_GB2312"/>
          <w:bCs/>
          <w:color w:val="auto"/>
          <w:sz w:val="32"/>
          <w:szCs w:val="32"/>
          <w:highlight w:val="none"/>
          <w:lang w:val="en-US" w:eastAsia="zh-CN"/>
        </w:rPr>
        <w:t>14</w:t>
      </w:r>
      <w:r>
        <w:rPr>
          <w:rStyle w:val="20"/>
          <w:rFonts w:hint="eastAsia" w:ascii="仿宋_GB2312" w:hAnsi="仿宋_GB2312" w:eastAsia="仿宋_GB2312" w:cs="仿宋_GB2312"/>
          <w:bCs/>
          <w:color w:val="auto"/>
          <w:sz w:val="32"/>
          <w:szCs w:val="32"/>
          <w:highlight w:val="none"/>
        </w:rPr>
        <w:t>.社会保障和就业支出（类）</w:t>
      </w:r>
      <w:r>
        <w:rPr>
          <w:rStyle w:val="20"/>
          <w:rFonts w:hint="eastAsia" w:ascii="仿宋_GB2312" w:hAnsi="仿宋_GB2312" w:eastAsia="仿宋_GB2312" w:cs="仿宋_GB2312"/>
          <w:bCs/>
          <w:color w:val="auto"/>
          <w:sz w:val="32"/>
          <w:szCs w:val="32"/>
          <w:highlight w:val="none"/>
          <w:lang w:eastAsia="zh-CN"/>
        </w:rPr>
        <w:t>退役军人管理事务</w:t>
      </w:r>
      <w:r>
        <w:rPr>
          <w:rStyle w:val="20"/>
          <w:rFonts w:hint="eastAsia" w:ascii="仿宋_GB2312" w:hAnsi="仿宋_GB2312" w:eastAsia="仿宋_GB2312" w:cs="仿宋_GB2312"/>
          <w:bCs/>
          <w:color w:val="auto"/>
          <w:sz w:val="32"/>
          <w:szCs w:val="32"/>
          <w:highlight w:val="none"/>
        </w:rPr>
        <w:t>（款） 拥军优属（项）</w:t>
      </w:r>
      <w:r>
        <w:rPr>
          <w:rStyle w:val="20"/>
          <w:rFonts w:hint="eastAsia" w:ascii="仿宋_GB2312" w:hAnsi="仿宋_GB2312" w:eastAsia="仿宋_GB2312" w:cs="仿宋_GB2312"/>
          <w:bCs/>
          <w:color w:val="auto"/>
          <w:sz w:val="32"/>
          <w:szCs w:val="32"/>
          <w:highlight w:val="none"/>
          <w:lang w:eastAsia="zh-CN"/>
        </w:rPr>
        <w:t>：</w:t>
      </w:r>
      <w:r>
        <w:rPr>
          <w:rStyle w:val="20"/>
          <w:rFonts w:hint="eastAsia" w:ascii="仿宋_GB2312" w:hAnsi="仿宋_GB2312" w:eastAsia="仿宋_GB2312" w:cs="仿宋_GB2312"/>
          <w:b w:val="0"/>
          <w:bCs/>
          <w:color w:val="auto"/>
          <w:sz w:val="32"/>
          <w:szCs w:val="32"/>
          <w:highlight w:val="none"/>
        </w:rPr>
        <w:t>支出决算为</w:t>
      </w:r>
      <w:r>
        <w:rPr>
          <w:rStyle w:val="20"/>
          <w:rFonts w:hint="eastAsia" w:ascii="仿宋_GB2312" w:hAnsi="仿宋_GB2312" w:eastAsia="仿宋_GB2312" w:cs="仿宋_GB2312"/>
          <w:b w:val="0"/>
          <w:bCs/>
          <w:color w:val="auto"/>
          <w:sz w:val="32"/>
          <w:szCs w:val="32"/>
          <w:highlight w:val="none"/>
          <w:lang w:val="en-US" w:eastAsia="zh-CN"/>
        </w:rPr>
        <w:t>19.72</w:t>
      </w:r>
      <w:r>
        <w:rPr>
          <w:rStyle w:val="20"/>
          <w:rFonts w:hint="eastAsia" w:ascii="仿宋_GB2312" w:hAnsi="仿宋_GB2312" w:eastAsia="仿宋_GB2312" w:cs="仿宋_GB2312"/>
          <w:b w:val="0"/>
          <w:bCs/>
          <w:color w:val="auto"/>
          <w:sz w:val="32"/>
          <w:szCs w:val="32"/>
          <w:highlight w:val="none"/>
        </w:rPr>
        <w:t>万元，完成预算</w:t>
      </w:r>
      <w:r>
        <w:rPr>
          <w:rStyle w:val="20"/>
          <w:rFonts w:hint="eastAsia" w:ascii="仿宋_GB2312" w:hAnsi="仿宋_GB2312" w:eastAsia="仿宋_GB2312" w:cs="仿宋_GB2312"/>
          <w:b w:val="0"/>
          <w:bCs/>
          <w:color w:val="auto"/>
          <w:sz w:val="32"/>
          <w:szCs w:val="32"/>
          <w:highlight w:val="none"/>
          <w:lang w:val="en-US" w:eastAsia="zh-CN"/>
        </w:rPr>
        <w:t>100</w:t>
      </w:r>
      <w:r>
        <w:rPr>
          <w:rStyle w:val="20"/>
          <w:rFonts w:hint="eastAsia" w:ascii="仿宋_GB2312" w:hAnsi="仿宋_GB2312" w:eastAsia="仿宋_GB2312" w:cs="仿宋_GB2312"/>
          <w:b w:val="0"/>
          <w:bCs/>
          <w:color w:val="auto"/>
          <w:sz w:val="32"/>
          <w:szCs w:val="32"/>
          <w:highlight w:val="none"/>
        </w:rPr>
        <w:t>%</w:t>
      </w:r>
      <w:r>
        <w:rPr>
          <w:rStyle w:val="20"/>
          <w:rFonts w:hint="eastAsia" w:ascii="仿宋_GB2312" w:hAnsi="仿宋_GB2312" w:eastAsia="仿宋_GB2312" w:cs="仿宋_GB2312"/>
          <w:b w:val="0"/>
          <w:bCs/>
          <w:color w:val="auto"/>
          <w:sz w:val="32"/>
          <w:szCs w:val="32"/>
          <w:highlight w:val="none"/>
          <w:lang w:eastAsia="zh-CN"/>
        </w:rPr>
        <w:t>。</w:t>
      </w:r>
    </w:p>
    <w:p w14:paraId="77CA275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Style w:val="20"/>
          <w:rFonts w:hint="eastAsia" w:ascii="仿宋_GB2312" w:hAnsi="仿宋_GB2312" w:eastAsia="仿宋_GB2312" w:cs="仿宋_GB2312"/>
          <w:bCs/>
          <w:color w:val="auto"/>
          <w:sz w:val="32"/>
          <w:szCs w:val="32"/>
          <w:highlight w:val="none"/>
          <w:lang w:val="en-US" w:eastAsia="zh-CN"/>
        </w:rPr>
        <w:t>15</w:t>
      </w:r>
      <w:r>
        <w:rPr>
          <w:rStyle w:val="20"/>
          <w:rFonts w:hint="eastAsia" w:ascii="仿宋_GB2312" w:hAnsi="仿宋_GB2312" w:eastAsia="仿宋_GB2312" w:cs="仿宋_GB2312"/>
          <w:bCs/>
          <w:color w:val="auto"/>
          <w:sz w:val="32"/>
          <w:szCs w:val="32"/>
          <w:highlight w:val="none"/>
        </w:rPr>
        <w:t>.社会保障和就业支出（类）</w:t>
      </w:r>
      <w:r>
        <w:rPr>
          <w:rStyle w:val="20"/>
          <w:rFonts w:hint="eastAsia" w:ascii="仿宋_GB2312" w:hAnsi="仿宋_GB2312" w:eastAsia="仿宋_GB2312" w:cs="仿宋_GB2312"/>
          <w:bCs/>
          <w:color w:val="auto"/>
          <w:sz w:val="32"/>
          <w:szCs w:val="32"/>
          <w:highlight w:val="none"/>
          <w:lang w:eastAsia="zh-CN"/>
        </w:rPr>
        <w:t>退役军人管理事务</w:t>
      </w:r>
      <w:r>
        <w:rPr>
          <w:rStyle w:val="20"/>
          <w:rFonts w:hint="eastAsia" w:ascii="仿宋_GB2312" w:hAnsi="仿宋_GB2312" w:eastAsia="仿宋_GB2312" w:cs="仿宋_GB2312"/>
          <w:bCs/>
          <w:color w:val="auto"/>
          <w:sz w:val="32"/>
          <w:szCs w:val="32"/>
          <w:highlight w:val="none"/>
        </w:rPr>
        <w:t xml:space="preserve">（款） </w:t>
      </w:r>
      <w:r>
        <w:rPr>
          <w:rStyle w:val="20"/>
          <w:rFonts w:hint="eastAsia" w:ascii="仿宋_GB2312" w:hAnsi="仿宋_GB2312" w:eastAsia="仿宋_GB2312" w:cs="仿宋_GB2312"/>
          <w:bCs/>
          <w:color w:val="auto"/>
          <w:sz w:val="32"/>
          <w:szCs w:val="32"/>
          <w:highlight w:val="none"/>
          <w:lang w:eastAsia="zh-CN"/>
        </w:rPr>
        <w:t>事业运行</w:t>
      </w:r>
      <w:r>
        <w:rPr>
          <w:rStyle w:val="20"/>
          <w:rFonts w:hint="eastAsia" w:ascii="仿宋_GB2312" w:hAnsi="仿宋_GB2312" w:eastAsia="仿宋_GB2312" w:cs="仿宋_GB2312"/>
          <w:bCs/>
          <w:color w:val="auto"/>
          <w:sz w:val="32"/>
          <w:szCs w:val="32"/>
          <w:highlight w:val="none"/>
        </w:rPr>
        <w:t>（项）</w:t>
      </w:r>
      <w:r>
        <w:rPr>
          <w:rStyle w:val="20"/>
          <w:rFonts w:hint="eastAsia" w:ascii="仿宋_GB2312" w:hAnsi="仿宋_GB2312" w:eastAsia="仿宋_GB2312" w:cs="仿宋_GB2312"/>
          <w:bCs/>
          <w:color w:val="auto"/>
          <w:sz w:val="32"/>
          <w:szCs w:val="32"/>
          <w:highlight w:val="none"/>
          <w:lang w:eastAsia="zh-CN"/>
        </w:rPr>
        <w:t>：</w:t>
      </w:r>
      <w:r>
        <w:rPr>
          <w:rStyle w:val="20"/>
          <w:rFonts w:hint="eastAsia" w:ascii="仿宋_GB2312" w:hAnsi="仿宋_GB2312" w:eastAsia="仿宋_GB2312" w:cs="仿宋_GB2312"/>
          <w:b w:val="0"/>
          <w:bCs/>
          <w:color w:val="auto"/>
          <w:sz w:val="32"/>
          <w:szCs w:val="32"/>
          <w:highlight w:val="none"/>
        </w:rPr>
        <w:t>支出决算为</w:t>
      </w:r>
      <w:r>
        <w:rPr>
          <w:rStyle w:val="20"/>
          <w:rFonts w:hint="eastAsia" w:ascii="仿宋_GB2312" w:hAnsi="仿宋_GB2312" w:eastAsia="仿宋_GB2312" w:cs="仿宋_GB2312"/>
          <w:b w:val="0"/>
          <w:bCs/>
          <w:color w:val="auto"/>
          <w:sz w:val="32"/>
          <w:szCs w:val="32"/>
          <w:highlight w:val="none"/>
          <w:lang w:val="en-US" w:eastAsia="zh-CN"/>
        </w:rPr>
        <w:t>59.76</w:t>
      </w:r>
      <w:r>
        <w:rPr>
          <w:rStyle w:val="20"/>
          <w:rFonts w:hint="eastAsia" w:ascii="仿宋_GB2312" w:hAnsi="仿宋_GB2312" w:eastAsia="仿宋_GB2312" w:cs="仿宋_GB2312"/>
          <w:b w:val="0"/>
          <w:bCs/>
          <w:color w:val="auto"/>
          <w:sz w:val="32"/>
          <w:szCs w:val="32"/>
          <w:highlight w:val="none"/>
        </w:rPr>
        <w:t>万元，完成预算</w:t>
      </w:r>
      <w:r>
        <w:rPr>
          <w:rStyle w:val="20"/>
          <w:rFonts w:hint="eastAsia" w:ascii="仿宋_GB2312" w:hAnsi="仿宋_GB2312" w:eastAsia="仿宋_GB2312" w:cs="仿宋_GB2312"/>
          <w:b w:val="0"/>
          <w:bCs/>
          <w:color w:val="auto"/>
          <w:sz w:val="32"/>
          <w:szCs w:val="32"/>
          <w:highlight w:val="none"/>
          <w:lang w:val="en-US" w:eastAsia="zh-CN"/>
        </w:rPr>
        <w:t>100</w:t>
      </w:r>
      <w:r>
        <w:rPr>
          <w:rStyle w:val="20"/>
          <w:rFonts w:hint="eastAsia" w:ascii="仿宋_GB2312" w:hAnsi="仿宋_GB2312" w:eastAsia="仿宋_GB2312" w:cs="仿宋_GB2312"/>
          <w:b w:val="0"/>
          <w:bCs/>
          <w:color w:val="auto"/>
          <w:sz w:val="32"/>
          <w:szCs w:val="32"/>
          <w:highlight w:val="none"/>
        </w:rPr>
        <w:t>%</w:t>
      </w:r>
      <w:r>
        <w:rPr>
          <w:rStyle w:val="20"/>
          <w:rFonts w:hint="eastAsia" w:ascii="仿宋_GB2312" w:hAnsi="仿宋_GB2312" w:eastAsia="仿宋_GB2312" w:cs="仿宋_GB2312"/>
          <w:b w:val="0"/>
          <w:bCs/>
          <w:color w:val="auto"/>
          <w:sz w:val="32"/>
          <w:szCs w:val="32"/>
          <w:highlight w:val="none"/>
          <w:lang w:eastAsia="zh-CN"/>
        </w:rPr>
        <w:t>。</w:t>
      </w:r>
    </w:p>
    <w:p w14:paraId="1772DCFD">
      <w:pPr>
        <w:pStyle w:val="17"/>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highlight w:val="none"/>
          <w:lang w:val="en-US" w:eastAsia="zh-CN"/>
        </w:rPr>
      </w:pPr>
      <w:r>
        <w:rPr>
          <w:rStyle w:val="20"/>
          <w:rFonts w:hint="eastAsia" w:ascii="仿宋_GB2312" w:hAnsi="仿宋_GB2312" w:eastAsia="仿宋_GB2312" w:cs="仿宋_GB2312"/>
          <w:bCs/>
          <w:color w:val="auto"/>
          <w:sz w:val="32"/>
          <w:szCs w:val="32"/>
          <w:highlight w:val="none"/>
          <w:lang w:val="en-US" w:eastAsia="zh-CN"/>
        </w:rPr>
        <w:t>16</w:t>
      </w:r>
      <w:r>
        <w:rPr>
          <w:rStyle w:val="20"/>
          <w:rFonts w:hint="eastAsia" w:ascii="仿宋_GB2312" w:hAnsi="仿宋_GB2312" w:eastAsia="仿宋_GB2312" w:cs="仿宋_GB2312"/>
          <w:bCs/>
          <w:color w:val="auto"/>
          <w:sz w:val="32"/>
          <w:szCs w:val="32"/>
          <w:highlight w:val="none"/>
        </w:rPr>
        <w:t>.社会保障和就业支出（类）其他社会保障和就业支出（款） 其他社会保障和就业支出（项）</w:t>
      </w:r>
      <w:r>
        <w:rPr>
          <w:rStyle w:val="20"/>
          <w:rFonts w:hint="eastAsia" w:ascii="仿宋_GB2312" w:hAnsi="仿宋_GB2312" w:eastAsia="仿宋_GB2312" w:cs="仿宋_GB2312"/>
          <w:bCs/>
          <w:color w:val="auto"/>
          <w:sz w:val="32"/>
          <w:szCs w:val="32"/>
          <w:highlight w:val="none"/>
          <w:lang w:eastAsia="zh-CN"/>
        </w:rPr>
        <w:t>：</w:t>
      </w:r>
      <w:r>
        <w:rPr>
          <w:rStyle w:val="20"/>
          <w:rFonts w:hint="eastAsia" w:ascii="仿宋_GB2312" w:hAnsi="仿宋_GB2312" w:eastAsia="仿宋_GB2312" w:cs="仿宋_GB2312"/>
          <w:b w:val="0"/>
          <w:bCs/>
          <w:color w:val="auto"/>
          <w:sz w:val="32"/>
          <w:szCs w:val="32"/>
          <w:highlight w:val="none"/>
        </w:rPr>
        <w:t>支出决算为</w:t>
      </w:r>
      <w:r>
        <w:rPr>
          <w:rStyle w:val="20"/>
          <w:rFonts w:hint="eastAsia" w:ascii="仿宋_GB2312" w:hAnsi="仿宋_GB2312" w:eastAsia="仿宋_GB2312" w:cs="仿宋_GB2312"/>
          <w:b w:val="0"/>
          <w:bCs/>
          <w:color w:val="auto"/>
          <w:sz w:val="32"/>
          <w:szCs w:val="32"/>
          <w:highlight w:val="none"/>
          <w:lang w:val="en-US" w:eastAsia="zh-CN"/>
        </w:rPr>
        <w:t>2.21</w:t>
      </w:r>
      <w:r>
        <w:rPr>
          <w:rStyle w:val="20"/>
          <w:rFonts w:hint="eastAsia" w:ascii="仿宋_GB2312" w:hAnsi="仿宋_GB2312" w:eastAsia="仿宋_GB2312" w:cs="仿宋_GB2312"/>
          <w:b w:val="0"/>
          <w:bCs/>
          <w:color w:val="auto"/>
          <w:sz w:val="32"/>
          <w:szCs w:val="32"/>
          <w:highlight w:val="none"/>
        </w:rPr>
        <w:t>万元，完成预算</w:t>
      </w:r>
      <w:r>
        <w:rPr>
          <w:rStyle w:val="20"/>
          <w:rFonts w:hint="eastAsia" w:ascii="仿宋_GB2312" w:hAnsi="仿宋_GB2312" w:eastAsia="仿宋_GB2312" w:cs="仿宋_GB2312"/>
          <w:b w:val="0"/>
          <w:bCs/>
          <w:color w:val="auto"/>
          <w:sz w:val="32"/>
          <w:szCs w:val="32"/>
          <w:highlight w:val="none"/>
          <w:lang w:val="en-US" w:eastAsia="zh-CN"/>
        </w:rPr>
        <w:t>100</w:t>
      </w:r>
      <w:r>
        <w:rPr>
          <w:rStyle w:val="20"/>
          <w:rFonts w:hint="eastAsia" w:ascii="仿宋_GB2312" w:hAnsi="仿宋_GB2312" w:eastAsia="仿宋_GB2312" w:cs="仿宋_GB2312"/>
          <w:b w:val="0"/>
          <w:bCs/>
          <w:color w:val="auto"/>
          <w:sz w:val="32"/>
          <w:szCs w:val="32"/>
          <w:highlight w:val="none"/>
        </w:rPr>
        <w:t>%</w:t>
      </w:r>
      <w:r>
        <w:rPr>
          <w:rStyle w:val="20"/>
          <w:rFonts w:hint="eastAsia" w:ascii="仿宋_GB2312" w:hAnsi="仿宋_GB2312" w:eastAsia="仿宋_GB2312" w:cs="仿宋_GB2312"/>
          <w:b w:val="0"/>
          <w:bCs/>
          <w:color w:val="auto"/>
          <w:sz w:val="32"/>
          <w:szCs w:val="32"/>
          <w:highlight w:val="none"/>
          <w:lang w:eastAsia="zh-CN"/>
        </w:rPr>
        <w:t>。</w:t>
      </w:r>
    </w:p>
    <w:p w14:paraId="3154AA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20"/>
          <w:rFonts w:hint="eastAsia" w:ascii="仿宋_GB2312" w:hAnsi="仿宋_GB2312" w:eastAsia="仿宋_GB2312" w:cs="仿宋_GB2312"/>
          <w:b w:val="0"/>
          <w:bCs/>
          <w:color w:val="auto"/>
          <w:sz w:val="32"/>
          <w:szCs w:val="32"/>
          <w:highlight w:val="none"/>
          <w:lang w:eastAsia="zh-CN"/>
        </w:rPr>
      </w:pPr>
      <w:r>
        <w:rPr>
          <w:rStyle w:val="20"/>
          <w:rFonts w:hint="eastAsia" w:ascii="仿宋_GB2312" w:hAnsi="仿宋_GB2312" w:eastAsia="仿宋_GB2312" w:cs="仿宋_GB2312"/>
          <w:bCs/>
          <w:color w:val="auto"/>
          <w:sz w:val="32"/>
          <w:szCs w:val="32"/>
          <w:highlight w:val="none"/>
          <w:lang w:val="en-US" w:eastAsia="zh-CN"/>
        </w:rPr>
        <w:t>17</w:t>
      </w:r>
      <w:r>
        <w:rPr>
          <w:rStyle w:val="20"/>
          <w:rFonts w:hint="eastAsia" w:ascii="仿宋_GB2312" w:hAnsi="仿宋_GB2312" w:eastAsia="仿宋_GB2312" w:cs="仿宋_GB2312"/>
          <w:bCs/>
          <w:color w:val="auto"/>
          <w:sz w:val="32"/>
          <w:szCs w:val="32"/>
          <w:highlight w:val="none"/>
        </w:rPr>
        <w:t>.卫生健康支出（类）</w:t>
      </w:r>
      <w:r>
        <w:rPr>
          <w:rStyle w:val="20"/>
          <w:rFonts w:hint="eastAsia" w:ascii="仿宋_GB2312" w:hAnsi="仿宋_GB2312" w:eastAsia="仿宋_GB2312" w:cs="仿宋_GB2312"/>
          <w:bCs/>
          <w:color w:val="auto"/>
          <w:sz w:val="32"/>
          <w:szCs w:val="32"/>
          <w:highlight w:val="none"/>
          <w:lang w:eastAsia="zh-CN"/>
        </w:rPr>
        <w:t>行政事业单位医疗</w:t>
      </w:r>
      <w:r>
        <w:rPr>
          <w:rStyle w:val="20"/>
          <w:rFonts w:hint="eastAsia" w:ascii="仿宋_GB2312" w:hAnsi="仿宋_GB2312" w:eastAsia="仿宋_GB2312" w:cs="仿宋_GB2312"/>
          <w:bCs/>
          <w:color w:val="auto"/>
          <w:sz w:val="32"/>
          <w:szCs w:val="32"/>
          <w:highlight w:val="none"/>
        </w:rPr>
        <w:t>（款）行政单位医疗（项）</w:t>
      </w:r>
      <w:r>
        <w:rPr>
          <w:rStyle w:val="20"/>
          <w:rFonts w:hint="eastAsia" w:ascii="仿宋_GB2312" w:hAnsi="仿宋_GB2312" w:eastAsia="仿宋_GB2312" w:cs="仿宋_GB2312"/>
          <w:bCs/>
          <w:color w:val="auto"/>
          <w:sz w:val="32"/>
          <w:szCs w:val="32"/>
          <w:highlight w:val="none"/>
          <w:lang w:eastAsia="zh-CN"/>
        </w:rPr>
        <w:t>：</w:t>
      </w:r>
      <w:r>
        <w:rPr>
          <w:rStyle w:val="20"/>
          <w:rFonts w:hint="eastAsia" w:ascii="仿宋_GB2312" w:hAnsi="仿宋_GB2312" w:eastAsia="仿宋_GB2312" w:cs="仿宋_GB2312"/>
          <w:b w:val="0"/>
          <w:bCs/>
          <w:color w:val="auto"/>
          <w:sz w:val="32"/>
          <w:szCs w:val="32"/>
          <w:highlight w:val="none"/>
        </w:rPr>
        <w:t>支出决算为</w:t>
      </w:r>
      <w:r>
        <w:rPr>
          <w:rStyle w:val="20"/>
          <w:rFonts w:hint="eastAsia" w:ascii="仿宋_GB2312" w:hAnsi="仿宋_GB2312" w:eastAsia="仿宋_GB2312" w:cs="仿宋_GB2312"/>
          <w:b w:val="0"/>
          <w:bCs/>
          <w:color w:val="auto"/>
          <w:sz w:val="32"/>
          <w:szCs w:val="32"/>
          <w:highlight w:val="none"/>
          <w:lang w:val="en-US" w:eastAsia="zh-CN"/>
        </w:rPr>
        <w:t>5.34</w:t>
      </w:r>
      <w:r>
        <w:rPr>
          <w:rStyle w:val="20"/>
          <w:rFonts w:hint="eastAsia" w:ascii="仿宋_GB2312" w:hAnsi="仿宋_GB2312" w:eastAsia="仿宋_GB2312" w:cs="仿宋_GB2312"/>
          <w:b w:val="0"/>
          <w:bCs/>
          <w:color w:val="auto"/>
          <w:sz w:val="32"/>
          <w:szCs w:val="32"/>
          <w:highlight w:val="none"/>
        </w:rPr>
        <w:t>万元，完成预算</w:t>
      </w:r>
      <w:r>
        <w:rPr>
          <w:rStyle w:val="20"/>
          <w:rFonts w:hint="eastAsia" w:ascii="仿宋_GB2312" w:hAnsi="仿宋_GB2312" w:eastAsia="仿宋_GB2312" w:cs="仿宋_GB2312"/>
          <w:b w:val="0"/>
          <w:bCs/>
          <w:color w:val="auto"/>
          <w:sz w:val="32"/>
          <w:szCs w:val="32"/>
          <w:highlight w:val="none"/>
          <w:lang w:val="en-US" w:eastAsia="zh-CN"/>
        </w:rPr>
        <w:t>100</w:t>
      </w:r>
      <w:r>
        <w:rPr>
          <w:rStyle w:val="20"/>
          <w:rFonts w:hint="eastAsia" w:ascii="仿宋_GB2312" w:hAnsi="仿宋_GB2312" w:eastAsia="仿宋_GB2312" w:cs="仿宋_GB2312"/>
          <w:b w:val="0"/>
          <w:bCs/>
          <w:color w:val="auto"/>
          <w:sz w:val="32"/>
          <w:szCs w:val="32"/>
          <w:highlight w:val="none"/>
        </w:rPr>
        <w:t>%</w:t>
      </w:r>
      <w:r>
        <w:rPr>
          <w:rStyle w:val="20"/>
          <w:rFonts w:hint="eastAsia" w:ascii="仿宋_GB2312" w:hAnsi="仿宋_GB2312" w:eastAsia="仿宋_GB2312" w:cs="仿宋_GB2312"/>
          <w:b w:val="0"/>
          <w:bCs/>
          <w:color w:val="auto"/>
          <w:sz w:val="32"/>
          <w:szCs w:val="32"/>
          <w:highlight w:val="none"/>
          <w:lang w:eastAsia="zh-CN"/>
        </w:rPr>
        <w:t>。</w:t>
      </w:r>
    </w:p>
    <w:p w14:paraId="3945AB9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Style w:val="20"/>
          <w:rFonts w:hint="eastAsia" w:ascii="仿宋_GB2312" w:hAnsi="仿宋_GB2312" w:eastAsia="仿宋_GB2312" w:cs="仿宋_GB2312"/>
          <w:bCs/>
          <w:color w:val="auto"/>
          <w:sz w:val="32"/>
          <w:szCs w:val="32"/>
          <w:highlight w:val="none"/>
          <w:lang w:val="en-US" w:eastAsia="zh-CN"/>
        </w:rPr>
        <w:t>18</w:t>
      </w:r>
      <w:r>
        <w:rPr>
          <w:rStyle w:val="20"/>
          <w:rFonts w:hint="eastAsia" w:ascii="仿宋_GB2312" w:hAnsi="仿宋_GB2312" w:eastAsia="仿宋_GB2312" w:cs="仿宋_GB2312"/>
          <w:bCs/>
          <w:color w:val="auto"/>
          <w:sz w:val="32"/>
          <w:szCs w:val="32"/>
          <w:highlight w:val="none"/>
        </w:rPr>
        <w:t>.卫生健康支出（类）</w:t>
      </w:r>
      <w:r>
        <w:rPr>
          <w:rStyle w:val="20"/>
          <w:rFonts w:hint="eastAsia" w:ascii="仿宋_GB2312" w:hAnsi="仿宋_GB2312" w:eastAsia="仿宋_GB2312" w:cs="仿宋_GB2312"/>
          <w:bCs/>
          <w:color w:val="auto"/>
          <w:sz w:val="32"/>
          <w:szCs w:val="32"/>
          <w:highlight w:val="none"/>
          <w:lang w:eastAsia="zh-CN"/>
        </w:rPr>
        <w:t>优抚对象医疗</w:t>
      </w:r>
      <w:r>
        <w:rPr>
          <w:rStyle w:val="20"/>
          <w:rFonts w:hint="eastAsia" w:ascii="仿宋_GB2312" w:hAnsi="仿宋_GB2312" w:eastAsia="仿宋_GB2312" w:cs="仿宋_GB2312"/>
          <w:bCs/>
          <w:color w:val="auto"/>
          <w:sz w:val="32"/>
          <w:szCs w:val="32"/>
          <w:highlight w:val="none"/>
        </w:rPr>
        <w:t>（款）优抚对象医疗补助（项）</w:t>
      </w:r>
      <w:r>
        <w:rPr>
          <w:rStyle w:val="20"/>
          <w:rFonts w:hint="eastAsia" w:ascii="仿宋_GB2312" w:hAnsi="仿宋_GB2312" w:eastAsia="仿宋_GB2312" w:cs="仿宋_GB2312"/>
          <w:bCs/>
          <w:color w:val="auto"/>
          <w:sz w:val="32"/>
          <w:szCs w:val="32"/>
          <w:highlight w:val="none"/>
          <w:lang w:eastAsia="zh-CN"/>
        </w:rPr>
        <w:t>：</w:t>
      </w:r>
      <w:r>
        <w:rPr>
          <w:rStyle w:val="20"/>
          <w:rFonts w:hint="eastAsia" w:ascii="仿宋_GB2312" w:hAnsi="仿宋_GB2312" w:eastAsia="仿宋_GB2312" w:cs="仿宋_GB2312"/>
          <w:b w:val="0"/>
          <w:bCs/>
          <w:color w:val="auto"/>
          <w:sz w:val="32"/>
          <w:szCs w:val="32"/>
          <w:highlight w:val="none"/>
        </w:rPr>
        <w:t>支出决算为</w:t>
      </w:r>
      <w:r>
        <w:rPr>
          <w:rStyle w:val="20"/>
          <w:rFonts w:hint="eastAsia" w:ascii="仿宋_GB2312" w:hAnsi="仿宋_GB2312" w:eastAsia="仿宋_GB2312" w:cs="仿宋_GB2312"/>
          <w:b w:val="0"/>
          <w:bCs/>
          <w:color w:val="auto"/>
          <w:sz w:val="32"/>
          <w:szCs w:val="32"/>
          <w:highlight w:val="none"/>
          <w:lang w:val="en-US" w:eastAsia="zh-CN"/>
        </w:rPr>
        <w:t>12.66</w:t>
      </w:r>
      <w:r>
        <w:rPr>
          <w:rStyle w:val="20"/>
          <w:rFonts w:hint="eastAsia" w:ascii="仿宋_GB2312" w:hAnsi="仿宋_GB2312" w:eastAsia="仿宋_GB2312" w:cs="仿宋_GB2312"/>
          <w:b w:val="0"/>
          <w:bCs/>
          <w:color w:val="auto"/>
          <w:sz w:val="32"/>
          <w:szCs w:val="32"/>
          <w:highlight w:val="none"/>
        </w:rPr>
        <w:t>万元，完成预算</w:t>
      </w:r>
      <w:r>
        <w:rPr>
          <w:rStyle w:val="20"/>
          <w:rFonts w:hint="eastAsia" w:ascii="仿宋_GB2312" w:hAnsi="仿宋_GB2312" w:eastAsia="仿宋_GB2312" w:cs="仿宋_GB2312"/>
          <w:b w:val="0"/>
          <w:bCs/>
          <w:color w:val="auto"/>
          <w:sz w:val="32"/>
          <w:szCs w:val="32"/>
          <w:highlight w:val="none"/>
          <w:lang w:val="en-US" w:eastAsia="zh-CN"/>
        </w:rPr>
        <w:t>100</w:t>
      </w:r>
      <w:r>
        <w:rPr>
          <w:rStyle w:val="20"/>
          <w:rFonts w:hint="eastAsia" w:ascii="仿宋_GB2312" w:hAnsi="仿宋_GB2312" w:eastAsia="仿宋_GB2312" w:cs="仿宋_GB2312"/>
          <w:b w:val="0"/>
          <w:bCs/>
          <w:color w:val="auto"/>
          <w:sz w:val="32"/>
          <w:szCs w:val="32"/>
          <w:highlight w:val="none"/>
        </w:rPr>
        <w:t>%</w:t>
      </w:r>
      <w:r>
        <w:rPr>
          <w:rStyle w:val="20"/>
          <w:rFonts w:hint="eastAsia" w:ascii="仿宋_GB2312" w:hAnsi="仿宋_GB2312" w:eastAsia="仿宋_GB2312" w:cs="仿宋_GB2312"/>
          <w:b w:val="0"/>
          <w:bCs/>
          <w:color w:val="auto"/>
          <w:sz w:val="32"/>
          <w:szCs w:val="32"/>
          <w:highlight w:val="none"/>
          <w:lang w:eastAsia="zh-CN"/>
        </w:rPr>
        <w:t>。</w:t>
      </w:r>
    </w:p>
    <w:p w14:paraId="42907F5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20"/>
          <w:rFonts w:hint="eastAsia" w:ascii="仿宋_GB2312" w:hAnsi="仿宋_GB2312" w:eastAsia="仿宋_GB2312" w:cs="仿宋_GB2312"/>
          <w:b w:val="0"/>
          <w:bCs/>
          <w:color w:val="auto"/>
          <w:sz w:val="32"/>
          <w:szCs w:val="32"/>
          <w:highlight w:val="none"/>
          <w:lang w:eastAsia="zh-CN"/>
        </w:rPr>
      </w:pPr>
      <w:r>
        <w:rPr>
          <w:rStyle w:val="20"/>
          <w:rFonts w:hint="eastAsia" w:ascii="仿宋_GB2312" w:hAnsi="仿宋_GB2312" w:eastAsia="仿宋_GB2312" w:cs="仿宋_GB2312"/>
          <w:bCs/>
          <w:color w:val="auto"/>
          <w:sz w:val="32"/>
          <w:szCs w:val="32"/>
          <w:highlight w:val="none"/>
          <w:lang w:val="en-US" w:eastAsia="zh-CN"/>
        </w:rPr>
        <w:t>19</w:t>
      </w:r>
      <w:r>
        <w:rPr>
          <w:rStyle w:val="20"/>
          <w:rFonts w:hint="eastAsia" w:ascii="仿宋_GB2312" w:hAnsi="仿宋_GB2312" w:eastAsia="仿宋_GB2312" w:cs="仿宋_GB2312"/>
          <w:bCs/>
          <w:color w:val="auto"/>
          <w:sz w:val="32"/>
          <w:szCs w:val="32"/>
          <w:highlight w:val="none"/>
        </w:rPr>
        <w:t>.住房保障支出（类）</w:t>
      </w:r>
      <w:r>
        <w:rPr>
          <w:rStyle w:val="20"/>
          <w:rFonts w:hint="eastAsia" w:ascii="仿宋_GB2312" w:hAnsi="仿宋_GB2312" w:eastAsia="仿宋_GB2312" w:cs="仿宋_GB2312"/>
          <w:bCs/>
          <w:color w:val="auto"/>
          <w:sz w:val="32"/>
          <w:szCs w:val="32"/>
          <w:highlight w:val="none"/>
          <w:lang w:eastAsia="zh-CN"/>
        </w:rPr>
        <w:t>住房改革支出</w:t>
      </w:r>
      <w:r>
        <w:rPr>
          <w:rStyle w:val="20"/>
          <w:rFonts w:hint="eastAsia" w:ascii="仿宋_GB2312" w:hAnsi="仿宋_GB2312" w:eastAsia="仿宋_GB2312" w:cs="仿宋_GB2312"/>
          <w:bCs/>
          <w:color w:val="auto"/>
          <w:sz w:val="32"/>
          <w:szCs w:val="32"/>
          <w:highlight w:val="none"/>
        </w:rPr>
        <w:t>（款）住房公积金（项）</w:t>
      </w:r>
      <w:r>
        <w:rPr>
          <w:rStyle w:val="20"/>
          <w:rFonts w:hint="eastAsia" w:ascii="仿宋_GB2312" w:hAnsi="仿宋_GB2312" w:eastAsia="仿宋_GB2312" w:cs="仿宋_GB2312"/>
          <w:bCs/>
          <w:color w:val="auto"/>
          <w:sz w:val="32"/>
          <w:szCs w:val="32"/>
          <w:highlight w:val="none"/>
          <w:lang w:eastAsia="zh-CN"/>
        </w:rPr>
        <w:t>：</w:t>
      </w:r>
      <w:r>
        <w:rPr>
          <w:rStyle w:val="20"/>
          <w:rFonts w:hint="eastAsia" w:ascii="仿宋_GB2312" w:hAnsi="仿宋_GB2312" w:eastAsia="仿宋_GB2312" w:cs="仿宋_GB2312"/>
          <w:b w:val="0"/>
          <w:bCs/>
          <w:color w:val="auto"/>
          <w:sz w:val="32"/>
          <w:szCs w:val="32"/>
          <w:highlight w:val="none"/>
        </w:rPr>
        <w:t>支出决算为</w:t>
      </w:r>
      <w:r>
        <w:rPr>
          <w:rStyle w:val="20"/>
          <w:rFonts w:hint="eastAsia" w:ascii="仿宋_GB2312" w:hAnsi="仿宋_GB2312" w:eastAsia="仿宋_GB2312" w:cs="仿宋_GB2312"/>
          <w:b w:val="0"/>
          <w:bCs/>
          <w:color w:val="auto"/>
          <w:sz w:val="32"/>
          <w:szCs w:val="32"/>
          <w:highlight w:val="none"/>
          <w:lang w:val="en-US" w:eastAsia="zh-CN"/>
        </w:rPr>
        <w:t>15.86</w:t>
      </w:r>
      <w:r>
        <w:rPr>
          <w:rStyle w:val="20"/>
          <w:rFonts w:hint="eastAsia" w:ascii="仿宋_GB2312" w:hAnsi="仿宋_GB2312" w:eastAsia="仿宋_GB2312" w:cs="仿宋_GB2312"/>
          <w:b w:val="0"/>
          <w:bCs/>
          <w:color w:val="auto"/>
          <w:sz w:val="32"/>
          <w:szCs w:val="32"/>
          <w:highlight w:val="none"/>
        </w:rPr>
        <w:t>万元，完成预算</w:t>
      </w:r>
      <w:r>
        <w:rPr>
          <w:rStyle w:val="20"/>
          <w:rFonts w:hint="eastAsia" w:ascii="仿宋_GB2312" w:hAnsi="仿宋_GB2312" w:eastAsia="仿宋_GB2312" w:cs="仿宋_GB2312"/>
          <w:b w:val="0"/>
          <w:bCs/>
          <w:color w:val="auto"/>
          <w:sz w:val="32"/>
          <w:szCs w:val="32"/>
          <w:highlight w:val="none"/>
          <w:lang w:val="en-US" w:eastAsia="zh-CN"/>
        </w:rPr>
        <w:t>100</w:t>
      </w:r>
      <w:r>
        <w:rPr>
          <w:rStyle w:val="20"/>
          <w:rFonts w:hint="eastAsia" w:ascii="仿宋_GB2312" w:hAnsi="仿宋_GB2312" w:eastAsia="仿宋_GB2312" w:cs="仿宋_GB2312"/>
          <w:b w:val="0"/>
          <w:bCs/>
          <w:color w:val="auto"/>
          <w:sz w:val="32"/>
          <w:szCs w:val="32"/>
          <w:highlight w:val="none"/>
        </w:rPr>
        <w:t>%</w:t>
      </w:r>
      <w:r>
        <w:rPr>
          <w:rStyle w:val="20"/>
          <w:rFonts w:hint="eastAsia" w:ascii="仿宋_GB2312" w:hAnsi="仿宋_GB2312" w:eastAsia="仿宋_GB2312" w:cs="仿宋_GB2312"/>
          <w:b w:val="0"/>
          <w:bCs/>
          <w:color w:val="auto"/>
          <w:sz w:val="32"/>
          <w:szCs w:val="32"/>
          <w:highlight w:val="none"/>
          <w:lang w:eastAsia="zh-CN"/>
        </w:rPr>
        <w:t>。</w:t>
      </w:r>
    </w:p>
    <w:p w14:paraId="059D90E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red"/>
          <w:lang w:val="en-US" w:eastAsia="zh-CN"/>
        </w:rPr>
      </w:pPr>
      <w:r>
        <w:rPr>
          <w:rStyle w:val="20"/>
          <w:rFonts w:hint="eastAsia" w:ascii="仿宋_GB2312" w:hAnsi="仿宋_GB2312" w:eastAsia="仿宋_GB2312" w:cs="仿宋_GB2312"/>
          <w:b/>
          <w:bCs/>
          <w:color w:val="auto"/>
          <w:sz w:val="32"/>
          <w:szCs w:val="32"/>
          <w:highlight w:val="none"/>
          <w:lang w:val="en-US" w:eastAsia="zh-CN"/>
        </w:rPr>
        <w:t>20</w:t>
      </w:r>
      <w:r>
        <w:rPr>
          <w:rStyle w:val="20"/>
          <w:rFonts w:hint="eastAsia" w:ascii="仿宋_GB2312" w:hAnsi="仿宋_GB2312" w:eastAsia="仿宋_GB2312" w:cs="仿宋_GB2312"/>
          <w:b/>
          <w:bCs/>
          <w:color w:val="auto"/>
          <w:sz w:val="32"/>
          <w:szCs w:val="32"/>
          <w:highlight w:val="none"/>
        </w:rPr>
        <w:t>.</w:t>
      </w:r>
      <w:r>
        <w:rPr>
          <w:rStyle w:val="20"/>
          <w:rFonts w:hint="eastAsia" w:ascii="仿宋_GB2312" w:hAnsi="仿宋_GB2312" w:eastAsia="仿宋_GB2312" w:cs="仿宋_GB2312"/>
          <w:b/>
          <w:bCs/>
          <w:color w:val="auto"/>
          <w:sz w:val="32"/>
          <w:szCs w:val="32"/>
          <w:highlight w:val="none"/>
          <w:lang w:eastAsia="zh-CN"/>
        </w:rPr>
        <w:t>农林水支出</w:t>
      </w:r>
      <w:r>
        <w:rPr>
          <w:rStyle w:val="20"/>
          <w:rFonts w:hint="eastAsia" w:ascii="仿宋_GB2312" w:hAnsi="仿宋_GB2312" w:eastAsia="仿宋_GB2312" w:cs="仿宋_GB2312"/>
          <w:b/>
          <w:bCs/>
          <w:color w:val="auto"/>
          <w:sz w:val="32"/>
          <w:szCs w:val="32"/>
          <w:highlight w:val="none"/>
        </w:rPr>
        <w:t>（</w:t>
      </w:r>
      <w:r>
        <w:rPr>
          <w:rStyle w:val="20"/>
          <w:rFonts w:hint="eastAsia" w:ascii="仿宋_GB2312" w:hAnsi="仿宋_GB2312" w:eastAsia="仿宋_GB2312" w:cs="仿宋_GB2312"/>
          <w:b/>
          <w:bCs/>
          <w:color w:val="auto"/>
          <w:sz w:val="32"/>
          <w:szCs w:val="32"/>
          <w:highlight w:val="none"/>
          <w:lang w:eastAsia="zh-CN"/>
        </w:rPr>
        <w:t>类</w:t>
      </w:r>
      <w:r>
        <w:rPr>
          <w:rStyle w:val="20"/>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rPr>
        <w:t>巩固脱贫攻坚成果衔接乡村振兴</w:t>
      </w:r>
      <w:r>
        <w:rPr>
          <w:rStyle w:val="20"/>
          <w:rFonts w:hint="eastAsia" w:ascii="仿宋_GB2312" w:hAnsi="仿宋_GB2312" w:eastAsia="仿宋_GB2312" w:cs="仿宋_GB2312"/>
          <w:b/>
          <w:bCs/>
          <w:color w:val="auto"/>
          <w:sz w:val="32"/>
          <w:szCs w:val="32"/>
          <w:highlight w:val="none"/>
        </w:rPr>
        <w:t>（</w:t>
      </w:r>
      <w:r>
        <w:rPr>
          <w:rStyle w:val="20"/>
          <w:rFonts w:hint="eastAsia" w:ascii="仿宋_GB2312" w:hAnsi="仿宋_GB2312" w:eastAsia="仿宋_GB2312" w:cs="仿宋_GB2312"/>
          <w:b/>
          <w:bCs/>
          <w:color w:val="auto"/>
          <w:sz w:val="32"/>
          <w:szCs w:val="32"/>
          <w:highlight w:val="none"/>
          <w:lang w:eastAsia="zh-CN"/>
        </w:rPr>
        <w:t>款</w:t>
      </w:r>
      <w:r>
        <w:rPr>
          <w:rStyle w:val="20"/>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rPr>
        <w:t>其他巩固脱贫攻坚成果衔接乡村振兴支出</w:t>
      </w:r>
      <w:r>
        <w:rPr>
          <w:rFonts w:hint="eastAsia" w:ascii="仿宋_GB2312" w:hAnsi="仿宋_GB2312" w:eastAsia="仿宋_GB2312" w:cs="仿宋_GB2312"/>
          <w:b/>
          <w:bCs/>
          <w:color w:val="auto"/>
          <w:sz w:val="32"/>
          <w:szCs w:val="32"/>
          <w:lang w:eastAsia="zh-CN"/>
        </w:rPr>
        <w:t>（项）：</w:t>
      </w:r>
      <w:r>
        <w:rPr>
          <w:rStyle w:val="20"/>
          <w:rFonts w:hint="eastAsia" w:ascii="仿宋_GB2312" w:hAnsi="仿宋_GB2312" w:eastAsia="仿宋_GB2312" w:cs="仿宋_GB2312"/>
          <w:b w:val="0"/>
          <w:bCs/>
          <w:color w:val="auto"/>
          <w:sz w:val="32"/>
          <w:szCs w:val="32"/>
          <w:highlight w:val="none"/>
        </w:rPr>
        <w:t>支出决算为</w:t>
      </w:r>
      <w:r>
        <w:rPr>
          <w:rStyle w:val="20"/>
          <w:rFonts w:hint="eastAsia" w:ascii="仿宋_GB2312" w:hAnsi="仿宋_GB2312" w:eastAsia="仿宋_GB2312" w:cs="仿宋_GB2312"/>
          <w:b w:val="0"/>
          <w:bCs/>
          <w:color w:val="auto"/>
          <w:sz w:val="32"/>
          <w:szCs w:val="32"/>
          <w:highlight w:val="none"/>
          <w:lang w:val="en-US" w:eastAsia="zh-CN"/>
        </w:rPr>
        <w:t>3</w:t>
      </w:r>
      <w:r>
        <w:rPr>
          <w:rStyle w:val="20"/>
          <w:rFonts w:hint="eastAsia" w:ascii="仿宋_GB2312" w:hAnsi="仿宋_GB2312" w:eastAsia="仿宋_GB2312" w:cs="仿宋_GB2312"/>
          <w:b w:val="0"/>
          <w:bCs/>
          <w:color w:val="auto"/>
          <w:sz w:val="32"/>
          <w:szCs w:val="32"/>
          <w:highlight w:val="none"/>
        </w:rPr>
        <w:t>万元，完成预算</w:t>
      </w:r>
      <w:r>
        <w:rPr>
          <w:rStyle w:val="20"/>
          <w:rFonts w:hint="eastAsia" w:ascii="仿宋_GB2312" w:hAnsi="仿宋_GB2312" w:eastAsia="仿宋_GB2312" w:cs="仿宋_GB2312"/>
          <w:b w:val="0"/>
          <w:bCs/>
          <w:color w:val="auto"/>
          <w:sz w:val="32"/>
          <w:szCs w:val="32"/>
          <w:highlight w:val="none"/>
          <w:lang w:val="en-US" w:eastAsia="zh-CN"/>
        </w:rPr>
        <w:t>100</w:t>
      </w:r>
      <w:r>
        <w:rPr>
          <w:rStyle w:val="20"/>
          <w:rFonts w:hint="eastAsia" w:ascii="仿宋_GB2312" w:hAnsi="仿宋_GB2312" w:eastAsia="仿宋_GB2312" w:cs="仿宋_GB2312"/>
          <w:b w:val="0"/>
          <w:bCs/>
          <w:color w:val="auto"/>
          <w:sz w:val="32"/>
          <w:szCs w:val="32"/>
          <w:highlight w:val="none"/>
        </w:rPr>
        <w:t>%</w:t>
      </w:r>
      <w:r>
        <w:rPr>
          <w:rStyle w:val="20"/>
          <w:rFonts w:hint="eastAsia" w:ascii="仿宋_GB2312" w:hAnsi="仿宋_GB2312" w:eastAsia="仿宋_GB2312" w:cs="仿宋_GB2312"/>
          <w:b w:val="0"/>
          <w:bCs/>
          <w:color w:val="auto"/>
          <w:sz w:val="32"/>
          <w:szCs w:val="32"/>
          <w:highlight w:val="none"/>
          <w:lang w:eastAsia="zh-CN"/>
        </w:rPr>
        <w:t>。</w:t>
      </w:r>
    </w:p>
    <w:p w14:paraId="596CCFF1">
      <w:pPr>
        <w:keepNext w:val="0"/>
        <w:keepLines w:val="0"/>
        <w:pageBreakBefore w:val="0"/>
        <w:widowControl w:val="0"/>
        <w:tabs>
          <w:tab w:val="right" w:pos="8306"/>
        </w:tabs>
        <w:kinsoku/>
        <w:wordWrap/>
        <w:overflowPunct/>
        <w:topLinePunct w:val="0"/>
        <w:autoSpaceDE/>
        <w:autoSpaceDN/>
        <w:bidi w:val="0"/>
        <w:adjustRightInd/>
        <w:snapToGrid/>
        <w:spacing w:line="560" w:lineRule="exact"/>
        <w:ind w:firstLine="640" w:firstLineChars="200"/>
        <w:textAlignment w:val="auto"/>
        <w:outlineLvl w:val="1"/>
        <w:rPr>
          <w:rStyle w:val="31"/>
          <w:color w:val="auto"/>
          <w:highlight w:val="none"/>
        </w:rPr>
      </w:pPr>
      <w:bookmarkStart w:id="48" w:name="_Toc15377214"/>
      <w:bookmarkStart w:id="49" w:name="_Toc18120"/>
      <w:bookmarkStart w:id="50" w:name="_Toc15396608"/>
      <w:r>
        <w:rPr>
          <w:rStyle w:val="36"/>
          <w:rFonts w:hint="eastAsia" w:ascii="黑体" w:hAnsi="黑体" w:eastAsia="黑体" w:cs="黑体"/>
          <w:b w:val="0"/>
          <w:bCs w:val="0"/>
        </w:rPr>
        <w:t>六、一般公共预算财政拨款基本支出决算情况说明</w:t>
      </w:r>
      <w:bookmarkEnd w:id="48"/>
      <w:bookmarkEnd w:id="49"/>
      <w:bookmarkEnd w:id="50"/>
      <w:r>
        <w:rPr>
          <w:rStyle w:val="31"/>
          <w:rFonts w:ascii="黑体" w:hAnsi="黑体" w:eastAsia="黑体"/>
          <w:b w:val="0"/>
          <w:color w:val="auto"/>
          <w:highlight w:val="none"/>
        </w:rPr>
        <w:tab/>
      </w:r>
    </w:p>
    <w:p w14:paraId="37C5CAA0">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zh-CN"/>
        </w:rPr>
        <w:t>年一般公共预算财政拨款基本支出</w:t>
      </w:r>
      <w:r>
        <w:rPr>
          <w:rFonts w:hint="eastAsia" w:ascii="仿宋_GB2312" w:hAnsi="仿宋_GB2312" w:eastAsia="仿宋_GB2312"/>
          <w:color w:val="auto"/>
          <w:kern w:val="2"/>
          <w:sz w:val="32"/>
          <w:szCs w:val="24"/>
          <w:lang w:val="en-US" w:eastAsia="zh-CN"/>
        </w:rPr>
        <w:t>222.7</w:t>
      </w:r>
      <w:r>
        <w:rPr>
          <w:rFonts w:hint="eastAsia" w:ascii="仿宋_GB2312" w:hAnsi="仿宋_GB2312" w:eastAsia="仿宋_GB2312"/>
          <w:color w:val="000000"/>
          <w:kern w:val="2"/>
          <w:sz w:val="32"/>
          <w:szCs w:val="24"/>
          <w:lang w:val="zh-CN"/>
        </w:rPr>
        <w:t>万元，其中：</w:t>
      </w:r>
    </w:p>
    <w:p w14:paraId="5A9ADCCD">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jc w:val="both"/>
        <w:textAlignment w:val="auto"/>
        <w:rPr>
          <w:rFonts w:hint="eastAsia" w:ascii="仿宋_GB2312" w:hAnsi="仿宋_GB2312" w:eastAsia="仿宋_GB2312"/>
          <w:color w:val="auto"/>
          <w:kern w:val="2"/>
          <w:sz w:val="32"/>
          <w:szCs w:val="24"/>
          <w:lang w:val="zh-CN"/>
        </w:rPr>
      </w:pPr>
      <w:r>
        <w:rPr>
          <w:rFonts w:hint="eastAsia" w:ascii="仿宋_GB2312" w:hAnsi="仿宋_GB2312" w:eastAsia="仿宋_GB2312"/>
          <w:b/>
          <w:color w:val="auto"/>
          <w:kern w:val="2"/>
          <w:sz w:val="32"/>
          <w:szCs w:val="24"/>
          <w:lang w:val="zh-CN"/>
        </w:rPr>
        <w:t>人员经费</w:t>
      </w:r>
      <w:r>
        <w:rPr>
          <w:rFonts w:hint="eastAsia" w:ascii="仿宋_GB2312" w:hAnsi="仿宋_GB2312" w:eastAsia="仿宋_GB2312"/>
          <w:color w:val="auto"/>
          <w:kern w:val="2"/>
          <w:sz w:val="32"/>
          <w:szCs w:val="24"/>
          <w:lang w:val="en-US" w:eastAsia="zh-CN"/>
        </w:rPr>
        <w:t>196.52</w:t>
      </w:r>
      <w:r>
        <w:rPr>
          <w:rFonts w:hint="eastAsia" w:ascii="仿宋_GB2312" w:hAnsi="仿宋_GB2312" w:eastAsia="仿宋_GB2312"/>
          <w:color w:val="auto"/>
          <w:kern w:val="2"/>
          <w:sz w:val="32"/>
          <w:szCs w:val="24"/>
          <w:lang w:val="zh-CN"/>
        </w:rPr>
        <w:t>万元，主要包括：</w:t>
      </w:r>
      <w:r>
        <w:rPr>
          <w:rFonts w:hint="eastAsia" w:ascii="仿宋" w:hAnsi="仿宋" w:eastAsia="仿宋"/>
          <w:color w:val="auto"/>
          <w:kern w:val="2"/>
          <w:sz w:val="32"/>
          <w:szCs w:val="24"/>
          <w:lang w:val="en-US"/>
        </w:rPr>
        <w:t>基本工资、津贴补贴、奖金、伙食补助费、绩效工资、机关事业单位基本养老保险缴费、职业年金缴费、</w:t>
      </w:r>
      <w:r>
        <w:rPr>
          <w:rFonts w:hint="eastAsia" w:ascii="仿宋" w:hAnsi="仿宋" w:eastAsia="仿宋"/>
          <w:color w:val="auto"/>
          <w:kern w:val="2"/>
          <w:sz w:val="32"/>
          <w:szCs w:val="24"/>
          <w:lang w:val="en-US" w:eastAsia="zh-CN"/>
        </w:rPr>
        <w:t>职工基本医疗保险缴费、</w:t>
      </w:r>
      <w:r>
        <w:rPr>
          <w:rFonts w:hint="eastAsia" w:ascii="仿宋" w:hAnsi="仿宋" w:eastAsia="仿宋"/>
          <w:color w:val="auto"/>
          <w:kern w:val="2"/>
          <w:sz w:val="32"/>
          <w:szCs w:val="24"/>
          <w:lang w:val="en-US"/>
        </w:rPr>
        <w:t>其他社会保障缴费、其他工资福利支出、住房公积金等</w:t>
      </w:r>
      <w:r>
        <w:rPr>
          <w:rFonts w:hint="eastAsia" w:ascii="仿宋_GB2312" w:hAnsi="仿宋_GB2312" w:eastAsia="仿宋_GB2312"/>
          <w:color w:val="auto"/>
          <w:kern w:val="2"/>
          <w:sz w:val="32"/>
          <w:szCs w:val="24"/>
          <w:lang w:val="zh-CN"/>
        </w:rPr>
        <w:t>。</w:t>
      </w:r>
    </w:p>
    <w:p w14:paraId="31EC190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olor w:val="auto"/>
          <w:kern w:val="2"/>
          <w:sz w:val="32"/>
          <w:szCs w:val="24"/>
          <w:lang w:val="en-US" w:eastAsia="zh-CN"/>
        </w:rPr>
      </w:pPr>
      <w:r>
        <w:rPr>
          <w:rFonts w:hint="eastAsia" w:ascii="仿宋_GB2312" w:hAnsi="仿宋_GB2312" w:eastAsia="仿宋_GB2312"/>
          <w:b/>
          <w:color w:val="auto"/>
          <w:kern w:val="2"/>
          <w:sz w:val="32"/>
          <w:szCs w:val="24"/>
          <w:lang w:val="zh-CN"/>
        </w:rPr>
        <w:t>公用经费</w:t>
      </w:r>
      <w:r>
        <w:rPr>
          <w:rFonts w:hint="eastAsia" w:ascii="仿宋_GB2312" w:hAnsi="仿宋_GB2312" w:eastAsia="仿宋_GB2312"/>
          <w:color w:val="auto"/>
          <w:kern w:val="2"/>
          <w:sz w:val="32"/>
          <w:szCs w:val="24"/>
          <w:lang w:val="en-US" w:eastAsia="zh-CN"/>
        </w:rPr>
        <w:t>26.17</w:t>
      </w:r>
      <w:r>
        <w:rPr>
          <w:rFonts w:hint="eastAsia" w:ascii="仿宋_GB2312" w:hAnsi="仿宋_GB2312" w:eastAsia="仿宋_GB2312"/>
          <w:color w:val="auto"/>
          <w:kern w:val="2"/>
          <w:sz w:val="32"/>
          <w:szCs w:val="24"/>
          <w:lang w:val="zh-CN"/>
        </w:rPr>
        <w:t>万元，主要包括：</w:t>
      </w:r>
      <w:r>
        <w:rPr>
          <w:rFonts w:hint="eastAsia" w:ascii="仿宋" w:hAnsi="仿宋" w:eastAsia="仿宋"/>
          <w:color w:val="auto"/>
          <w:kern w:val="2"/>
          <w:sz w:val="32"/>
          <w:szCs w:val="24"/>
          <w:lang w:val="en-US"/>
        </w:rPr>
        <w:t>办公费、电费、邮电费、差旅费、公务接待费、工会经费、福利费、其他交通费、其他商品和服务支出</w:t>
      </w:r>
      <w:r>
        <w:rPr>
          <w:rFonts w:hint="eastAsia" w:ascii="仿宋" w:hAnsi="仿宋" w:eastAsia="仿宋"/>
          <w:color w:val="auto"/>
          <w:kern w:val="2"/>
          <w:sz w:val="32"/>
          <w:szCs w:val="24"/>
          <w:lang w:val="en-US" w:eastAsia="zh-CN"/>
        </w:rPr>
        <w:t>等。</w:t>
      </w:r>
      <w:bookmarkStart w:id="51" w:name="_Toc15377215"/>
      <w:bookmarkStart w:id="52" w:name="_Toc15396609"/>
      <w:bookmarkStart w:id="53" w:name="_Toc22868"/>
    </w:p>
    <w:p w14:paraId="704BF7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七、“三公”经费财政拨款支出决算情况说明</w:t>
      </w:r>
      <w:bookmarkEnd w:id="51"/>
      <w:bookmarkEnd w:id="52"/>
      <w:bookmarkEnd w:id="53"/>
    </w:p>
    <w:p w14:paraId="4CE62A27">
      <w:pPr>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楷体_GB2312" w:hAnsi="楷体_GB2312" w:eastAsia="楷体_GB2312" w:cs="楷体_GB2312"/>
          <w:b/>
          <w:bCs w:val="0"/>
          <w:color w:val="auto"/>
          <w:sz w:val="32"/>
          <w:szCs w:val="32"/>
          <w:highlight w:val="none"/>
        </w:rPr>
      </w:pPr>
      <w:bookmarkStart w:id="54" w:name="_Toc15377216"/>
      <w:r>
        <w:rPr>
          <w:rFonts w:hint="eastAsia" w:ascii="楷体_GB2312" w:hAnsi="楷体_GB2312" w:eastAsia="楷体_GB2312" w:cs="楷体_GB2312"/>
          <w:b/>
          <w:bCs w:val="0"/>
          <w:color w:val="auto"/>
          <w:sz w:val="32"/>
          <w:szCs w:val="32"/>
          <w:highlight w:val="none"/>
        </w:rPr>
        <w:t>（一）“三公”经费财政拨款支出决算总体情况说明</w:t>
      </w:r>
      <w:bookmarkEnd w:id="54"/>
    </w:p>
    <w:p w14:paraId="64828D5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highlight w:val="none"/>
          <w:lang w:eastAsia="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zh-CN"/>
        </w:rPr>
        <w:t>年</w:t>
      </w:r>
      <w:r>
        <w:rPr>
          <w:rFonts w:hint="default"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zh-CN"/>
        </w:rPr>
        <w:t>三公</w:t>
      </w:r>
      <w:r>
        <w:rPr>
          <w:rFonts w:hint="default"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zh-CN"/>
        </w:rPr>
        <w:t>经费财政拨款支出决算为</w:t>
      </w:r>
      <w:r>
        <w:rPr>
          <w:rFonts w:hint="eastAsia" w:ascii="仿宋_GB2312" w:hAnsi="仿宋_GB2312" w:eastAsia="仿宋_GB2312"/>
          <w:color w:val="000000"/>
          <w:kern w:val="2"/>
          <w:sz w:val="32"/>
          <w:szCs w:val="24"/>
          <w:lang w:val="en-US" w:eastAsia="zh-CN"/>
        </w:rPr>
        <w:t>0.6</w:t>
      </w:r>
      <w:r>
        <w:rPr>
          <w:rFonts w:hint="eastAsia" w:ascii="仿宋_GB2312" w:hAnsi="仿宋_GB2312" w:eastAsia="仿宋_GB2312"/>
          <w:color w:val="000000"/>
          <w:kern w:val="2"/>
          <w:sz w:val="32"/>
          <w:szCs w:val="24"/>
          <w:lang w:val="zh-CN"/>
        </w:rPr>
        <w:t>万元，完成预算100%；较上年</w:t>
      </w:r>
      <w:r>
        <w:rPr>
          <w:rFonts w:hint="eastAsia" w:ascii="仿宋_GB2312" w:hAnsi="仿宋_GB2312" w:eastAsia="仿宋_GB2312"/>
          <w:color w:val="000000"/>
          <w:kern w:val="2"/>
          <w:sz w:val="32"/>
          <w:szCs w:val="24"/>
          <w:lang w:val="en-US" w:eastAsia="zh-CN"/>
        </w:rPr>
        <w:t>减少0.2</w:t>
      </w:r>
      <w:r>
        <w:rPr>
          <w:rFonts w:hint="eastAsia" w:ascii="仿宋_GB2312" w:hAnsi="仿宋_GB2312" w:eastAsia="仿宋_GB2312"/>
          <w:color w:val="000000"/>
          <w:kern w:val="2"/>
          <w:sz w:val="32"/>
          <w:szCs w:val="24"/>
          <w:lang w:val="zh-CN"/>
        </w:rPr>
        <w:t>7万元，</w:t>
      </w:r>
      <w:r>
        <w:rPr>
          <w:rFonts w:hint="eastAsia" w:ascii="仿宋_GB2312" w:hAnsi="仿宋_GB2312" w:eastAsia="仿宋_GB2312"/>
          <w:color w:val="000000"/>
          <w:kern w:val="2"/>
          <w:sz w:val="32"/>
          <w:szCs w:val="24"/>
          <w:lang w:val="en-US" w:eastAsia="zh-CN"/>
        </w:rPr>
        <w:t>下降31.03</w:t>
      </w:r>
      <w:r>
        <w:rPr>
          <w:rFonts w:hint="eastAsia" w:ascii="仿宋_GB2312" w:hAnsi="仿宋_GB2312" w:eastAsia="仿宋_GB2312"/>
          <w:color w:val="000000"/>
          <w:kern w:val="2"/>
          <w:sz w:val="32"/>
          <w:szCs w:val="24"/>
          <w:lang w:val="zh-CN"/>
        </w:rPr>
        <w:t>%。主要原因是公务接待</w:t>
      </w:r>
      <w:r>
        <w:rPr>
          <w:rFonts w:hint="eastAsia" w:ascii="仿宋_GB2312" w:hAnsi="仿宋_GB2312" w:eastAsia="仿宋_GB2312"/>
          <w:color w:val="000000"/>
          <w:kern w:val="2"/>
          <w:sz w:val="32"/>
          <w:szCs w:val="24"/>
          <w:lang w:val="en-US" w:eastAsia="zh-CN"/>
        </w:rPr>
        <w:t>减少</w:t>
      </w:r>
      <w:r>
        <w:rPr>
          <w:rFonts w:hint="eastAsia" w:ascii="仿宋_GB2312" w:hAnsi="仿宋_GB2312" w:eastAsia="仿宋_GB2312"/>
          <w:color w:val="000000"/>
          <w:kern w:val="2"/>
          <w:sz w:val="32"/>
          <w:szCs w:val="24"/>
          <w:lang w:val="zh-CN"/>
        </w:rPr>
        <w:t>。</w:t>
      </w:r>
    </w:p>
    <w:p w14:paraId="15F14744">
      <w:pPr>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楷体_GB2312" w:hAnsi="楷体_GB2312" w:eastAsia="楷体_GB2312" w:cs="楷体_GB2312"/>
          <w:b/>
          <w:bCs w:val="0"/>
          <w:color w:val="auto"/>
          <w:sz w:val="32"/>
          <w:szCs w:val="32"/>
          <w:highlight w:val="none"/>
        </w:rPr>
      </w:pPr>
      <w:bookmarkStart w:id="55" w:name="_Toc15377217"/>
      <w:r>
        <w:rPr>
          <w:rFonts w:hint="eastAsia" w:ascii="楷体_GB2312" w:hAnsi="楷体_GB2312" w:eastAsia="楷体_GB2312" w:cs="楷体_GB2312"/>
          <w:b/>
          <w:bCs w:val="0"/>
          <w:color w:val="auto"/>
          <w:sz w:val="32"/>
          <w:szCs w:val="32"/>
          <w:highlight w:val="none"/>
        </w:rPr>
        <w:t>（二）“三公”经费财政拨款支出决算具体情况说明</w:t>
      </w:r>
      <w:bookmarkEnd w:id="55"/>
    </w:p>
    <w:p w14:paraId="43A4A59A">
      <w:pPr>
        <w:keepNext/>
        <w:keepLines/>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 w:hAnsi="仿宋" w:eastAsia="仿宋"/>
          <w:color w:val="auto"/>
          <w:sz w:val="32"/>
          <w:szCs w:val="32"/>
          <w:highlight w:val="none"/>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zh-CN"/>
        </w:rPr>
        <w:t>年</w:t>
      </w:r>
      <w:r>
        <w:rPr>
          <w:rFonts w:hint="default"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zh-CN"/>
        </w:rPr>
        <w:t>三公</w:t>
      </w:r>
      <w:r>
        <w:rPr>
          <w:rFonts w:hint="default"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zh-CN"/>
        </w:rPr>
        <w:t>经费财政拨款支出决算中，因公出国（境）费支出决算0万元，占0%；公务用车购置及运行维护费支出决算0万元，占0%；公务接待费支出决算0.</w:t>
      </w:r>
      <w:r>
        <w:rPr>
          <w:rFonts w:hint="eastAsia" w:ascii="仿宋_GB2312" w:hAnsi="仿宋_GB2312" w:eastAsia="仿宋_GB2312"/>
          <w:color w:val="000000"/>
          <w:kern w:val="2"/>
          <w:sz w:val="32"/>
          <w:szCs w:val="24"/>
          <w:lang w:val="en-US" w:eastAsia="zh-CN"/>
        </w:rPr>
        <w:t>6</w:t>
      </w:r>
      <w:r>
        <w:rPr>
          <w:rFonts w:hint="eastAsia" w:ascii="仿宋_GB2312" w:hAnsi="仿宋_GB2312" w:eastAsia="仿宋_GB2312"/>
          <w:color w:val="000000"/>
          <w:kern w:val="2"/>
          <w:sz w:val="32"/>
          <w:szCs w:val="24"/>
          <w:lang w:val="zh-CN"/>
        </w:rPr>
        <w:t>万元，占100%。具体情况如下：</w:t>
      </w:r>
    </w:p>
    <w:p w14:paraId="17A7FE63">
      <w:pPr>
        <w:pageBreakBefore w:val="0"/>
        <w:widowControl w:val="0"/>
        <w:kinsoku/>
        <w:wordWrap/>
        <w:overflowPunct/>
        <w:topLinePunct w:val="0"/>
        <w:bidi w:val="0"/>
        <w:snapToGrid/>
        <w:spacing w:line="560" w:lineRule="exact"/>
        <w:ind w:firstLine="420" w:firstLineChars="200"/>
        <w:textAlignment w:val="auto"/>
        <w:rPr>
          <w:rFonts w:hint="eastAsia" w:eastAsia="仿宋"/>
          <w:lang w:eastAsia="zh-CN"/>
        </w:rPr>
      </w:pPr>
      <w:r>
        <w:drawing>
          <wp:anchor distT="0" distB="0" distL="114300" distR="114300" simplePos="0" relativeHeight="251661312" behindDoc="1" locked="0" layoutInCell="1" allowOverlap="1">
            <wp:simplePos x="0" y="0"/>
            <wp:positionH relativeFrom="column">
              <wp:posOffset>191770</wp:posOffset>
            </wp:positionH>
            <wp:positionV relativeFrom="paragraph">
              <wp:posOffset>173990</wp:posOffset>
            </wp:positionV>
            <wp:extent cx="5126990" cy="1991360"/>
            <wp:effectExtent l="4445" t="4445" r="12065" b="23495"/>
            <wp:wrapNone/>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7A0B5235">
      <w:pPr>
        <w:pStyle w:val="17"/>
        <w:pageBreakBefore w:val="0"/>
        <w:widowControl w:val="0"/>
        <w:kinsoku/>
        <w:wordWrap/>
        <w:overflowPunct/>
        <w:topLinePunct w:val="0"/>
        <w:bidi w:val="0"/>
        <w:snapToGrid/>
        <w:spacing w:line="560" w:lineRule="exact"/>
        <w:ind w:firstLine="880" w:firstLineChars="200"/>
        <w:textAlignment w:val="auto"/>
        <w:rPr>
          <w:rFonts w:hint="eastAsia" w:eastAsia="仿宋"/>
          <w:lang w:eastAsia="zh-CN"/>
        </w:rPr>
      </w:pPr>
    </w:p>
    <w:p w14:paraId="200066D8">
      <w:pPr>
        <w:pageBreakBefore w:val="0"/>
        <w:widowControl w:val="0"/>
        <w:kinsoku/>
        <w:wordWrap/>
        <w:overflowPunct/>
        <w:topLinePunct w:val="0"/>
        <w:bidi w:val="0"/>
        <w:snapToGrid/>
        <w:spacing w:line="560" w:lineRule="exact"/>
        <w:ind w:firstLine="420" w:firstLineChars="200"/>
        <w:textAlignment w:val="auto"/>
        <w:rPr>
          <w:rFonts w:hint="eastAsia" w:eastAsia="仿宋"/>
          <w:lang w:eastAsia="zh-CN"/>
        </w:rPr>
      </w:pPr>
    </w:p>
    <w:p w14:paraId="4EA2E61D">
      <w:pPr>
        <w:pStyle w:val="17"/>
        <w:pageBreakBefore w:val="0"/>
        <w:widowControl w:val="0"/>
        <w:kinsoku/>
        <w:wordWrap/>
        <w:overflowPunct/>
        <w:topLinePunct w:val="0"/>
        <w:bidi w:val="0"/>
        <w:snapToGrid/>
        <w:spacing w:line="560" w:lineRule="exact"/>
        <w:ind w:firstLine="880" w:firstLineChars="200"/>
        <w:textAlignment w:val="auto"/>
        <w:rPr>
          <w:rFonts w:hint="eastAsia" w:eastAsia="仿宋"/>
          <w:lang w:eastAsia="zh-CN"/>
        </w:rPr>
      </w:pPr>
    </w:p>
    <w:p w14:paraId="5F7D7C29">
      <w:pPr>
        <w:pStyle w:val="17"/>
        <w:pageBreakBefore w:val="0"/>
        <w:widowControl w:val="0"/>
        <w:kinsoku/>
        <w:wordWrap/>
        <w:overflowPunct/>
        <w:topLinePunct w:val="0"/>
        <w:bidi w:val="0"/>
        <w:snapToGrid/>
        <w:spacing w:line="560" w:lineRule="exact"/>
        <w:jc w:val="both"/>
        <w:textAlignment w:val="auto"/>
        <w:rPr>
          <w:rFonts w:hint="eastAsia"/>
          <w:lang w:eastAsia="zh-CN"/>
        </w:rPr>
      </w:pPr>
    </w:p>
    <w:p w14:paraId="361B1102">
      <w:pPr>
        <w:pageBreakBefore w:val="0"/>
        <w:widowControl w:val="0"/>
        <w:kinsoku/>
        <w:wordWrap/>
        <w:overflowPunct/>
        <w:topLinePunct w:val="0"/>
        <w:bidi w:val="0"/>
        <w:snapToGrid/>
        <w:spacing w:line="560" w:lineRule="exact"/>
        <w:ind w:firstLine="640" w:firstLineChars="200"/>
        <w:jc w:val="center"/>
        <w:textAlignment w:val="auto"/>
        <w:rPr>
          <w:rFonts w:hint="eastAsia" w:ascii="仿宋" w:hAnsi="仿宋" w:eastAsia="仿宋"/>
          <w:color w:val="auto"/>
          <w:sz w:val="32"/>
          <w:szCs w:val="32"/>
          <w:highlight w:val="none"/>
        </w:rPr>
      </w:pPr>
    </w:p>
    <w:p w14:paraId="7DF662D8">
      <w:pPr>
        <w:pageBreakBefore w:val="0"/>
        <w:widowControl w:val="0"/>
        <w:kinsoku/>
        <w:wordWrap/>
        <w:overflowPunct/>
        <w:topLinePunct w:val="0"/>
        <w:bidi w:val="0"/>
        <w:snapToGrid/>
        <w:spacing w:line="560" w:lineRule="exact"/>
        <w:ind w:firstLine="640" w:firstLineChars="200"/>
        <w:jc w:val="center"/>
        <w:textAlignment w:val="auto"/>
      </w:pPr>
      <w:r>
        <w:rPr>
          <w:rFonts w:hint="eastAsia" w:ascii="仿宋" w:hAnsi="仿宋" w:eastAsia="仿宋"/>
          <w:color w:val="auto"/>
          <w:sz w:val="32"/>
          <w:szCs w:val="32"/>
          <w:highlight w:val="none"/>
        </w:rPr>
        <w:t>（图7：“三公”经费财政拨款支出结构）</w:t>
      </w:r>
    </w:p>
    <w:p w14:paraId="72825A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auto"/>
          <w:sz w:val="32"/>
          <w:szCs w:val="32"/>
          <w:highlight w:val="none"/>
          <w:lang w:eastAsia="zh-CN"/>
        </w:rPr>
      </w:pPr>
      <w:r>
        <w:rPr>
          <w:rFonts w:hint="eastAsia" w:ascii="仿宋_GB2312" w:eastAsia="仿宋_GB2312"/>
          <w:b/>
          <w:color w:val="auto"/>
          <w:sz w:val="32"/>
          <w:szCs w:val="32"/>
          <w:highlight w:val="none"/>
          <w:lang w:val="en-US" w:eastAsia="zh-CN"/>
        </w:rPr>
        <w:t>1.</w:t>
      </w:r>
      <w:r>
        <w:rPr>
          <w:rFonts w:hint="eastAsia" w:ascii="仿宋_GB2312" w:eastAsia="仿宋_GB2312"/>
          <w:b/>
          <w:bCs w:val="0"/>
          <w:color w:val="auto"/>
          <w:sz w:val="32"/>
          <w:szCs w:val="32"/>
          <w:highlight w:val="none"/>
        </w:rPr>
        <w:t>因公出国（境）经费支出</w:t>
      </w:r>
      <w:r>
        <w:rPr>
          <w:rFonts w:hint="eastAsia" w:ascii="仿宋_GB2312" w:eastAsia="仿宋_GB2312"/>
          <w:b/>
          <w:bCs w:val="0"/>
          <w:color w:val="auto"/>
          <w:sz w:val="32"/>
          <w:szCs w:val="32"/>
          <w:highlight w:val="none"/>
          <w:lang w:val="en-US" w:eastAsia="zh-CN"/>
        </w:rPr>
        <w:t>0</w:t>
      </w:r>
      <w:r>
        <w:rPr>
          <w:rFonts w:hint="eastAsia" w:ascii="仿宋_GB2312" w:eastAsia="仿宋_GB2312"/>
          <w:b/>
          <w:bCs w:val="0"/>
          <w:color w:val="auto"/>
          <w:sz w:val="32"/>
          <w:szCs w:val="32"/>
          <w:highlight w:val="none"/>
        </w:rPr>
        <w:t>万元，</w:t>
      </w:r>
      <w:r>
        <w:rPr>
          <w:rStyle w:val="20"/>
          <w:rFonts w:hint="eastAsia" w:ascii="仿宋" w:hAnsi="仿宋" w:eastAsia="仿宋"/>
          <w:b/>
          <w:bCs w:val="0"/>
          <w:color w:val="auto"/>
          <w:sz w:val="32"/>
          <w:szCs w:val="32"/>
          <w:highlight w:val="none"/>
        </w:rPr>
        <w:t>完成预算</w:t>
      </w:r>
      <w:r>
        <w:rPr>
          <w:rStyle w:val="20"/>
          <w:rFonts w:hint="eastAsia" w:ascii="仿宋" w:hAnsi="仿宋" w:eastAsia="仿宋"/>
          <w:b/>
          <w:bCs w:val="0"/>
          <w:color w:val="auto"/>
          <w:sz w:val="32"/>
          <w:szCs w:val="32"/>
          <w:highlight w:val="none"/>
          <w:lang w:val="en-US" w:eastAsia="zh-CN"/>
        </w:rPr>
        <w:t>0</w:t>
      </w:r>
      <w:r>
        <w:rPr>
          <w:rStyle w:val="20"/>
          <w:rFonts w:ascii="仿宋" w:hAnsi="仿宋" w:eastAsia="仿宋"/>
          <w:b/>
          <w:bCs w:val="0"/>
          <w:color w:val="auto"/>
          <w:sz w:val="32"/>
          <w:szCs w:val="32"/>
          <w:highlight w:val="none"/>
        </w:rPr>
        <w:t>%</w:t>
      </w:r>
      <w:r>
        <w:rPr>
          <w:rStyle w:val="20"/>
          <w:rFonts w:hint="eastAsia" w:ascii="仿宋" w:hAnsi="仿宋" w:eastAsia="仿宋"/>
          <w:b/>
          <w:bCs w:val="0"/>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p>
    <w:p w14:paraId="518443F3">
      <w:pPr>
        <w:pageBreakBefore w:val="0"/>
        <w:widowControl w:val="0"/>
        <w:numPr>
          <w:ilvl w:val="0"/>
          <w:numId w:val="0"/>
        </w:numPr>
        <w:kinsoku/>
        <w:wordWrap/>
        <w:overflowPunct/>
        <w:topLinePunct w:val="0"/>
        <w:bidi w:val="0"/>
        <w:snapToGrid/>
        <w:spacing w:line="560" w:lineRule="exact"/>
        <w:ind w:firstLine="643" w:firstLineChars="200"/>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b/>
          <w:color w:val="auto"/>
          <w:sz w:val="32"/>
          <w:szCs w:val="32"/>
          <w:highlight w:val="none"/>
          <w:lang w:val="en-US" w:eastAsia="zh-CN"/>
        </w:rPr>
        <w:t>0</w:t>
      </w:r>
      <w:r>
        <w:rPr>
          <w:rFonts w:hint="eastAsia" w:ascii="仿宋_GB2312" w:eastAsia="仿宋_GB2312"/>
          <w:b/>
          <w:bCs/>
          <w:color w:val="auto"/>
          <w:sz w:val="32"/>
          <w:szCs w:val="32"/>
          <w:highlight w:val="none"/>
        </w:rPr>
        <w:t>万元</w:t>
      </w:r>
      <w:r>
        <w:rPr>
          <w:rFonts w:hint="eastAsia" w:ascii="仿宋_GB2312" w:eastAsia="仿宋_GB2312"/>
          <w:b/>
          <w:bCs/>
          <w:color w:val="auto"/>
          <w:sz w:val="32"/>
          <w:szCs w:val="32"/>
          <w:highlight w:val="none"/>
          <w:lang w:eastAsia="zh-CN"/>
        </w:rPr>
        <w:t>，</w:t>
      </w:r>
      <w:r>
        <w:rPr>
          <w:rStyle w:val="20"/>
          <w:rFonts w:hint="eastAsia" w:ascii="仿宋" w:hAnsi="仿宋" w:eastAsia="仿宋"/>
          <w:b/>
          <w:bCs/>
          <w:color w:val="auto"/>
          <w:sz w:val="32"/>
          <w:szCs w:val="32"/>
          <w:highlight w:val="none"/>
        </w:rPr>
        <w:t>完成预算</w:t>
      </w:r>
      <w:r>
        <w:rPr>
          <w:rStyle w:val="20"/>
          <w:rFonts w:hint="eastAsia" w:ascii="仿宋" w:hAnsi="仿宋" w:eastAsia="仿宋"/>
          <w:b/>
          <w:bCs/>
          <w:color w:val="auto"/>
          <w:sz w:val="32"/>
          <w:szCs w:val="32"/>
          <w:highlight w:val="none"/>
          <w:lang w:val="en-US" w:eastAsia="zh-CN"/>
        </w:rPr>
        <w:t>0</w:t>
      </w:r>
      <w:r>
        <w:rPr>
          <w:rStyle w:val="20"/>
          <w:rFonts w:ascii="仿宋" w:hAnsi="仿宋" w:eastAsia="仿宋"/>
          <w:b/>
          <w:bCs/>
          <w:color w:val="auto"/>
          <w:sz w:val="32"/>
          <w:szCs w:val="32"/>
          <w:highlight w:val="none"/>
        </w:rPr>
        <w:t>%</w:t>
      </w:r>
      <w:r>
        <w:rPr>
          <w:rStyle w:val="20"/>
          <w:rFonts w:hint="eastAsia" w:ascii="仿宋" w:hAnsi="仿宋" w:eastAsia="仿宋"/>
          <w:b/>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hint="eastAsia" w:ascii="仿宋_GB2312" w:eastAsia="仿宋_GB2312"/>
          <w:color w:val="auto"/>
          <w:sz w:val="32"/>
          <w:szCs w:val="32"/>
          <w:highlight w:val="none"/>
          <w:lang w:val="en-US" w:eastAsia="zh-CN"/>
        </w:rPr>
        <w:t>2023年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rPr>
        <w:t>。</w:t>
      </w:r>
    </w:p>
    <w:p w14:paraId="3A709D5F">
      <w:pPr>
        <w:pageBreakBefore w:val="0"/>
        <w:widowControl w:val="0"/>
        <w:kinsoku/>
        <w:wordWrap/>
        <w:overflowPunct/>
        <w:topLinePunct w:val="0"/>
        <w:bidi w:val="0"/>
        <w:snapToGrid/>
        <w:spacing w:line="560"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val="0"/>
          <w:bCs/>
          <w:color w:val="auto"/>
          <w:sz w:val="32"/>
          <w:szCs w:val="32"/>
          <w:highlight w:val="none"/>
        </w:rPr>
        <w:t>公务用车购置支出</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万元</w:t>
      </w:r>
      <w:r>
        <w:rPr>
          <w:rFonts w:hint="eastAsia" w:ascii="仿宋_GB2312" w:eastAsia="仿宋_GB2312"/>
          <w:color w:val="auto"/>
          <w:sz w:val="32"/>
          <w:szCs w:val="32"/>
          <w:highlight w:val="none"/>
        </w:rPr>
        <w:t>。全年按规定更新购置公务用车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767F6CE0">
      <w:pPr>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b w:val="0"/>
          <w:bCs/>
          <w:color w:val="auto"/>
          <w:sz w:val="32"/>
          <w:szCs w:val="32"/>
          <w:highlight w:val="none"/>
        </w:rPr>
      </w:pPr>
      <w:r>
        <w:rPr>
          <w:rFonts w:hint="eastAsia" w:ascii="仿宋_GB2312" w:eastAsia="仿宋_GB2312"/>
          <w:b w:val="0"/>
          <w:bCs/>
          <w:color w:val="auto"/>
          <w:sz w:val="32"/>
          <w:szCs w:val="32"/>
          <w:highlight w:val="none"/>
        </w:rPr>
        <w:t>公务用车运行维护费支出</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万元。</w:t>
      </w:r>
    </w:p>
    <w:p w14:paraId="1B4C944B">
      <w:pPr>
        <w:pageBreakBefore w:val="0"/>
        <w:widowControl w:val="0"/>
        <w:kinsoku/>
        <w:wordWrap/>
        <w:overflowPunct/>
        <w:topLinePunct w:val="0"/>
        <w:bidi w:val="0"/>
        <w:snapToGrid/>
        <w:spacing w:line="560" w:lineRule="exact"/>
        <w:ind w:firstLine="643" w:firstLineChars="200"/>
        <w:textAlignment w:val="auto"/>
        <w:rPr>
          <w:rFonts w:hint="eastAsia" w:ascii="仿宋_GB2312" w:eastAsia="仿宋_GB2312"/>
          <w:color w:val="auto"/>
          <w:sz w:val="32"/>
          <w:szCs w:val="32"/>
          <w:highlight w:val="none"/>
          <w:lang w:eastAsia="zh-CN"/>
        </w:rPr>
      </w:pPr>
      <w:r>
        <w:rPr>
          <w:rFonts w:ascii="仿宋_GB2312" w:eastAsia="仿宋_GB2312"/>
          <w:b/>
          <w:bCs w:val="0"/>
          <w:color w:val="auto"/>
          <w:sz w:val="32"/>
          <w:szCs w:val="32"/>
          <w:highlight w:val="none"/>
        </w:rPr>
        <w:t>3.</w:t>
      </w:r>
      <w:r>
        <w:rPr>
          <w:rFonts w:hint="eastAsia" w:ascii="仿宋_GB2312" w:eastAsia="仿宋_GB2312"/>
          <w:b/>
          <w:bCs w:val="0"/>
          <w:color w:val="auto"/>
          <w:sz w:val="32"/>
          <w:szCs w:val="32"/>
          <w:highlight w:val="none"/>
        </w:rPr>
        <w:t>公务接待费</w:t>
      </w:r>
      <w:r>
        <w:rPr>
          <w:rFonts w:hint="eastAsia" w:ascii="仿宋_GB2312" w:eastAsia="仿宋_GB2312"/>
          <w:b/>
          <w:bCs w:val="0"/>
          <w:color w:val="auto"/>
          <w:sz w:val="32"/>
          <w:szCs w:val="32"/>
          <w:highlight w:val="none"/>
          <w:lang w:eastAsia="zh-CN"/>
        </w:rPr>
        <w:t>支出</w:t>
      </w:r>
      <w:r>
        <w:rPr>
          <w:rFonts w:hint="eastAsia" w:ascii="仿宋_GB2312" w:hAnsi="仿宋_GB2312" w:eastAsia="仿宋_GB2312"/>
          <w:b/>
          <w:bCs w:val="0"/>
          <w:color w:val="000000"/>
          <w:kern w:val="2"/>
          <w:sz w:val="32"/>
          <w:szCs w:val="24"/>
          <w:lang w:val="zh-CN"/>
        </w:rPr>
        <w:t>0.</w:t>
      </w:r>
      <w:r>
        <w:rPr>
          <w:rFonts w:hint="eastAsia" w:ascii="仿宋_GB2312" w:hAnsi="仿宋_GB2312" w:eastAsia="仿宋_GB2312"/>
          <w:b/>
          <w:bCs w:val="0"/>
          <w:color w:val="000000"/>
          <w:kern w:val="2"/>
          <w:sz w:val="32"/>
          <w:szCs w:val="24"/>
          <w:lang w:val="en-US" w:eastAsia="zh-CN"/>
        </w:rPr>
        <w:t>6</w:t>
      </w:r>
      <w:r>
        <w:rPr>
          <w:rFonts w:hint="eastAsia" w:ascii="仿宋_GB2312" w:hAnsi="仿宋_GB2312" w:eastAsia="仿宋_GB2312"/>
          <w:b/>
          <w:bCs w:val="0"/>
          <w:color w:val="000000"/>
          <w:kern w:val="2"/>
          <w:sz w:val="32"/>
          <w:szCs w:val="24"/>
          <w:lang w:val="zh-CN"/>
        </w:rPr>
        <w:t>万元，完成预算100%。</w:t>
      </w:r>
      <w:r>
        <w:rPr>
          <w:rFonts w:hint="eastAsia" w:ascii="仿宋_GB2312" w:hAnsi="仿宋_GB2312" w:eastAsia="仿宋_GB2312"/>
          <w:color w:val="000000"/>
          <w:kern w:val="2"/>
          <w:sz w:val="32"/>
          <w:szCs w:val="24"/>
          <w:lang w:val="zh-CN"/>
        </w:rPr>
        <w:t>公务接待费支出决算比202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w:t>
      </w:r>
      <w:r>
        <w:rPr>
          <w:rFonts w:hint="eastAsia" w:ascii="仿宋_GB2312" w:hAnsi="仿宋_GB2312" w:eastAsia="仿宋_GB2312"/>
          <w:color w:val="000000"/>
          <w:kern w:val="2"/>
          <w:sz w:val="32"/>
          <w:szCs w:val="24"/>
          <w:lang w:val="en-US" w:eastAsia="zh-CN"/>
        </w:rPr>
        <w:t>减少0.27</w:t>
      </w:r>
      <w:r>
        <w:rPr>
          <w:rFonts w:hint="eastAsia" w:ascii="仿宋_GB2312" w:hAnsi="仿宋_GB2312" w:eastAsia="仿宋_GB2312"/>
          <w:color w:val="000000"/>
          <w:kern w:val="2"/>
          <w:sz w:val="32"/>
          <w:szCs w:val="24"/>
          <w:lang w:val="zh-CN"/>
        </w:rPr>
        <w:t>万元，下降</w:t>
      </w:r>
      <w:r>
        <w:rPr>
          <w:rFonts w:hint="eastAsia" w:ascii="仿宋_GB2312" w:hAnsi="仿宋_GB2312" w:eastAsia="仿宋_GB2312"/>
          <w:color w:val="000000"/>
          <w:kern w:val="2"/>
          <w:sz w:val="32"/>
          <w:szCs w:val="24"/>
          <w:lang w:val="en-US" w:eastAsia="zh-CN"/>
        </w:rPr>
        <w:t>31.03</w:t>
      </w:r>
      <w:r>
        <w:rPr>
          <w:rFonts w:hint="eastAsia" w:ascii="仿宋_GB2312" w:hAnsi="仿宋_GB2312" w:eastAsia="仿宋_GB2312"/>
          <w:color w:val="000000"/>
          <w:kern w:val="2"/>
          <w:sz w:val="32"/>
          <w:szCs w:val="24"/>
          <w:lang w:val="zh-CN"/>
        </w:rPr>
        <w:t>%。主要原因是公务接待</w:t>
      </w:r>
      <w:r>
        <w:rPr>
          <w:rFonts w:hint="eastAsia" w:ascii="仿宋_GB2312" w:hAnsi="仿宋_GB2312" w:eastAsia="仿宋_GB2312"/>
          <w:color w:val="000000"/>
          <w:kern w:val="2"/>
          <w:sz w:val="32"/>
          <w:szCs w:val="24"/>
          <w:lang w:val="en-US" w:eastAsia="zh-CN"/>
        </w:rPr>
        <w:t>减少</w:t>
      </w:r>
      <w:r>
        <w:rPr>
          <w:rFonts w:hint="eastAsia" w:ascii="仿宋_GB2312" w:hAnsi="仿宋_GB2312" w:eastAsia="仿宋_GB2312"/>
          <w:color w:val="000000"/>
          <w:kern w:val="2"/>
          <w:sz w:val="32"/>
          <w:szCs w:val="24"/>
          <w:lang w:val="zh-CN"/>
        </w:rPr>
        <w:t>。</w:t>
      </w:r>
    </w:p>
    <w:p w14:paraId="541E6172">
      <w:pPr>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auto"/>
          <w:sz w:val="32"/>
          <w:szCs w:val="32"/>
          <w:highlight w:val="none"/>
        </w:rPr>
      </w:pPr>
      <w:r>
        <w:rPr>
          <w:rFonts w:hint="eastAsia" w:ascii="仿宋" w:hAnsi="仿宋" w:eastAsia="仿宋"/>
          <w:b w:val="0"/>
          <w:bCs/>
          <w:color w:val="auto"/>
          <w:sz w:val="32"/>
          <w:szCs w:val="32"/>
          <w:highlight w:val="none"/>
        </w:rPr>
        <w:t>国内公务接待</w:t>
      </w:r>
      <w:r>
        <w:rPr>
          <w:rFonts w:hint="eastAsia" w:ascii="仿宋" w:hAnsi="仿宋" w:eastAsia="仿宋"/>
          <w:b w:val="0"/>
          <w:bCs/>
          <w:color w:val="auto"/>
          <w:sz w:val="32"/>
          <w:szCs w:val="32"/>
          <w:highlight w:val="none"/>
          <w:lang w:eastAsia="zh-CN"/>
        </w:rPr>
        <w:t>支出</w:t>
      </w:r>
      <w:r>
        <w:rPr>
          <w:rFonts w:hint="eastAsia" w:ascii="仿宋_GB2312" w:hAnsi="仿宋_GB2312" w:eastAsia="仿宋_GB2312"/>
          <w:b w:val="0"/>
          <w:bCs/>
          <w:color w:val="000000"/>
          <w:kern w:val="2"/>
          <w:sz w:val="32"/>
          <w:szCs w:val="24"/>
          <w:lang w:val="zh-CN"/>
        </w:rPr>
        <w:t>0.</w:t>
      </w:r>
      <w:r>
        <w:rPr>
          <w:rFonts w:hint="eastAsia" w:ascii="仿宋_GB2312" w:hAnsi="仿宋_GB2312" w:eastAsia="仿宋_GB2312"/>
          <w:b w:val="0"/>
          <w:bCs/>
          <w:color w:val="000000"/>
          <w:kern w:val="2"/>
          <w:sz w:val="32"/>
          <w:szCs w:val="24"/>
          <w:lang w:val="en-US" w:eastAsia="zh-CN"/>
        </w:rPr>
        <w:t>6</w:t>
      </w:r>
      <w:r>
        <w:rPr>
          <w:rFonts w:hint="eastAsia" w:ascii="仿宋_GB2312" w:hAnsi="仿宋_GB2312" w:eastAsia="仿宋_GB2312"/>
          <w:b w:val="0"/>
          <w:bCs/>
          <w:color w:val="000000"/>
          <w:kern w:val="2"/>
          <w:sz w:val="32"/>
          <w:szCs w:val="24"/>
          <w:lang w:val="zh-CN"/>
        </w:rPr>
        <w:t>万元。</w:t>
      </w:r>
      <w:r>
        <w:rPr>
          <w:rFonts w:hint="eastAsia" w:ascii="仿宋_GB2312" w:hAnsi="仿宋_GB2312" w:eastAsia="仿宋_GB2312"/>
          <w:color w:val="000000"/>
          <w:kern w:val="2"/>
          <w:sz w:val="32"/>
          <w:szCs w:val="24"/>
          <w:lang w:val="zh-CN"/>
        </w:rPr>
        <w:t>主要用于</w:t>
      </w:r>
      <w:r>
        <w:rPr>
          <w:rFonts w:hint="eastAsia" w:ascii="仿宋_GB2312" w:eastAsia="仿宋_GB2312"/>
          <w:color w:val="auto"/>
          <w:sz w:val="32"/>
          <w:szCs w:val="32"/>
          <w:highlight w:val="none"/>
        </w:rPr>
        <w:t>执行公务、开展业务活动开支的用餐费</w:t>
      </w:r>
      <w:r>
        <w:rPr>
          <w:rFonts w:hint="eastAsia" w:ascii="仿宋_GB2312" w:hAnsi="仿宋_GB2312" w:eastAsia="仿宋_GB2312"/>
          <w:color w:val="000000"/>
          <w:kern w:val="2"/>
          <w:sz w:val="32"/>
          <w:szCs w:val="24"/>
          <w:highlight w:val="white"/>
          <w:lang w:val="en-US"/>
        </w:rPr>
        <w:t>。</w:t>
      </w:r>
      <w:r>
        <w:rPr>
          <w:rFonts w:hint="eastAsia" w:ascii="仿宋_GB2312" w:hAnsi="仿宋_GB2312" w:eastAsia="仿宋_GB2312"/>
          <w:color w:val="000000"/>
          <w:kern w:val="2"/>
          <w:sz w:val="32"/>
          <w:szCs w:val="24"/>
          <w:lang w:val="zh-CN"/>
        </w:rPr>
        <w:t>国内公务接待</w:t>
      </w:r>
      <w:r>
        <w:rPr>
          <w:rFonts w:hint="eastAsia" w:ascii="仿宋_GB2312" w:hAnsi="仿宋_GB2312" w:eastAsia="仿宋_GB2312"/>
          <w:color w:val="000000"/>
          <w:kern w:val="2"/>
          <w:sz w:val="32"/>
          <w:szCs w:val="24"/>
          <w:lang w:val="en-US" w:eastAsia="zh-CN"/>
        </w:rPr>
        <w:t>8</w:t>
      </w:r>
      <w:r>
        <w:rPr>
          <w:rFonts w:hint="eastAsia" w:ascii="仿宋_GB2312" w:hAnsi="仿宋_GB2312" w:eastAsia="仿宋_GB2312"/>
          <w:color w:val="000000"/>
          <w:kern w:val="2"/>
          <w:sz w:val="32"/>
          <w:szCs w:val="24"/>
          <w:lang w:val="zh-CN"/>
        </w:rPr>
        <w:t>批次</w:t>
      </w:r>
      <w:r>
        <w:rPr>
          <w:rFonts w:hint="eastAsia" w:ascii="仿宋_GB2312" w:hAnsi="仿宋_GB2312" w:eastAsia="仿宋_GB2312"/>
          <w:color w:val="000000"/>
          <w:kern w:val="2"/>
          <w:sz w:val="32"/>
          <w:szCs w:val="24"/>
          <w:lang w:val="en-US" w:eastAsia="zh-CN"/>
        </w:rPr>
        <w:t>59</w:t>
      </w:r>
      <w:r>
        <w:rPr>
          <w:rFonts w:hint="eastAsia" w:ascii="仿宋_GB2312" w:hAnsi="仿宋_GB2312" w:eastAsia="仿宋_GB2312"/>
          <w:color w:val="000000"/>
          <w:kern w:val="2"/>
          <w:sz w:val="32"/>
          <w:szCs w:val="24"/>
          <w:lang w:val="zh-CN"/>
        </w:rPr>
        <w:t>人次，共计支出0.</w:t>
      </w:r>
      <w:r>
        <w:rPr>
          <w:rFonts w:hint="eastAsia" w:ascii="仿宋_GB2312" w:hAnsi="仿宋_GB2312" w:eastAsia="仿宋_GB2312"/>
          <w:color w:val="000000"/>
          <w:kern w:val="2"/>
          <w:sz w:val="32"/>
          <w:szCs w:val="24"/>
          <w:lang w:val="en-US" w:eastAsia="zh-CN"/>
        </w:rPr>
        <w:t>6</w:t>
      </w:r>
      <w:r>
        <w:rPr>
          <w:rFonts w:hint="eastAsia" w:ascii="仿宋_GB2312" w:hAnsi="仿宋_GB2312" w:eastAsia="仿宋_GB2312"/>
          <w:color w:val="000000"/>
          <w:kern w:val="2"/>
          <w:sz w:val="32"/>
          <w:szCs w:val="24"/>
          <w:lang w:val="zh-CN"/>
        </w:rPr>
        <w:t>万元，</w:t>
      </w:r>
      <w:r>
        <w:rPr>
          <w:rFonts w:hint="eastAsia" w:ascii="仿宋_GB2312" w:eastAsia="仿宋_GB2312"/>
          <w:color w:val="auto"/>
          <w:sz w:val="32"/>
          <w:szCs w:val="32"/>
          <w:highlight w:val="none"/>
        </w:rPr>
        <w:t>具体内容包括：</w:t>
      </w:r>
      <w:r>
        <w:rPr>
          <w:rFonts w:hint="eastAsia" w:ascii="仿宋_GB2312" w:eastAsia="仿宋_GB2312"/>
          <w:color w:val="auto"/>
          <w:sz w:val="32"/>
          <w:szCs w:val="32"/>
          <w:highlight w:val="none"/>
          <w:lang w:eastAsia="zh-CN"/>
        </w:rPr>
        <w:t>接待上级部门来我县开展烈士纪念设施三年提升行动验收、检查退役军人就业创业工作落实情况等</w:t>
      </w:r>
      <w:r>
        <w:rPr>
          <w:rFonts w:hint="eastAsia" w:ascii="仿宋_GB2312" w:eastAsia="仿宋_GB2312"/>
          <w:color w:val="auto"/>
          <w:sz w:val="32"/>
          <w:szCs w:val="32"/>
          <w:highlight w:val="none"/>
        </w:rPr>
        <w:t>。</w:t>
      </w:r>
    </w:p>
    <w:p w14:paraId="35CFD117">
      <w:pPr>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 w:hAnsi="仿宋" w:eastAsia="仿宋"/>
          <w:b w:val="0"/>
          <w:bCs/>
          <w:color w:val="auto"/>
          <w:sz w:val="32"/>
          <w:szCs w:val="32"/>
          <w:highlight w:val="none"/>
        </w:rPr>
        <w:t>外事接待支出</w:t>
      </w:r>
      <w:r>
        <w:rPr>
          <w:rFonts w:hint="eastAsia" w:ascii="仿宋" w:hAnsi="仿宋" w:eastAsia="仿宋"/>
          <w:b w:val="0"/>
          <w:bCs/>
          <w:color w:val="auto"/>
          <w:sz w:val="32"/>
          <w:szCs w:val="32"/>
          <w:highlight w:val="none"/>
          <w:lang w:val="en-US" w:eastAsia="zh-CN"/>
        </w:rPr>
        <w:t>0</w:t>
      </w:r>
      <w:r>
        <w:rPr>
          <w:rFonts w:hint="eastAsia" w:ascii="仿宋_GB2312" w:eastAsia="仿宋_GB2312"/>
          <w:b w:val="0"/>
          <w:bCs/>
          <w:color w:val="auto"/>
          <w:sz w:val="32"/>
          <w:szCs w:val="32"/>
          <w:highlight w:val="none"/>
        </w:rPr>
        <w:t>万元，</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bookmarkStart w:id="56" w:name="_Toc15377218"/>
      <w:bookmarkStart w:id="57" w:name="_Toc15396610"/>
      <w:bookmarkStart w:id="58" w:name="_Toc19459"/>
    </w:p>
    <w:p w14:paraId="587C0BAA">
      <w:pPr>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政府性基金预算支出决算情况说明</w:t>
      </w:r>
      <w:bookmarkEnd w:id="56"/>
      <w:bookmarkEnd w:id="57"/>
      <w:bookmarkEnd w:id="58"/>
    </w:p>
    <w:p w14:paraId="7FB9191F">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zh-CN"/>
        </w:rPr>
        <w:t>年政府性基金预算拨款支出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281.16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项目减少</w:t>
      </w:r>
      <w:r>
        <w:rPr>
          <w:rFonts w:hint="eastAsia" w:ascii="仿宋_GB2312" w:hAnsi="仿宋_GB2312" w:eastAsia="仿宋_GB2312"/>
          <w:color w:val="000000"/>
          <w:kern w:val="2"/>
          <w:sz w:val="32"/>
          <w:szCs w:val="24"/>
          <w:lang w:val="en-US" w:eastAsia="zh-CN"/>
        </w:rPr>
        <w:t>。</w:t>
      </w:r>
      <w:bookmarkStart w:id="59" w:name="_Toc22318"/>
      <w:bookmarkStart w:id="60" w:name="_Toc15377219"/>
      <w:bookmarkStart w:id="61" w:name="_Toc15396611"/>
    </w:p>
    <w:p w14:paraId="2DEE3BC5">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国有资本经营预算支出决算情况说明</w:t>
      </w:r>
      <w:bookmarkEnd w:id="59"/>
      <w:bookmarkEnd w:id="60"/>
      <w:bookmarkEnd w:id="61"/>
    </w:p>
    <w:p w14:paraId="209857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zh-CN"/>
        </w:rPr>
        <w:t>年国有资本经营预算拨款支出0万元，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zh-CN"/>
        </w:rPr>
        <w:t>与上年持平。</w:t>
      </w:r>
      <w:bookmarkStart w:id="62" w:name="_Toc15396612"/>
      <w:bookmarkStart w:id="63" w:name="_Toc15377221"/>
      <w:bookmarkStart w:id="64" w:name="_Toc9590"/>
    </w:p>
    <w:p w14:paraId="3ABA32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color w:val="000000"/>
          <w:kern w:val="2"/>
          <w:sz w:val="32"/>
          <w:szCs w:val="32"/>
          <w:lang w:val="zh-CN"/>
        </w:rPr>
        <w:t>十、</w:t>
      </w:r>
      <w:r>
        <w:rPr>
          <w:rFonts w:hint="eastAsia" w:ascii="黑体" w:hAnsi="黑体" w:eastAsia="黑体" w:cs="黑体"/>
          <w:sz w:val="32"/>
          <w:szCs w:val="32"/>
        </w:rPr>
        <w:t>其他重要事项的情况说明</w:t>
      </w:r>
      <w:bookmarkEnd w:id="62"/>
      <w:bookmarkEnd w:id="63"/>
      <w:bookmarkEnd w:id="64"/>
    </w:p>
    <w:p w14:paraId="4139298E">
      <w:pPr>
        <w:pageBreakBefore w:val="0"/>
        <w:widowControl w:val="0"/>
        <w:kinsoku/>
        <w:wordWrap/>
        <w:overflowPunct/>
        <w:topLinePunct w:val="0"/>
        <w:bidi w:val="0"/>
        <w:snapToGrid/>
        <w:spacing w:line="560" w:lineRule="exact"/>
        <w:ind w:firstLine="643" w:firstLineChars="200"/>
        <w:textAlignment w:val="auto"/>
        <w:outlineLvl w:val="2"/>
        <w:rPr>
          <w:rFonts w:hint="eastAsia" w:ascii="楷体_GB2312" w:hAnsi="楷体_GB2312" w:eastAsia="楷体_GB2312" w:cs="楷体_GB2312"/>
          <w:b/>
          <w:bCs w:val="0"/>
          <w:color w:val="auto"/>
          <w:sz w:val="32"/>
          <w:szCs w:val="32"/>
          <w:highlight w:val="none"/>
        </w:rPr>
      </w:pPr>
      <w:bookmarkStart w:id="65" w:name="_Toc15377222"/>
      <w:r>
        <w:rPr>
          <w:rFonts w:hint="eastAsia" w:ascii="楷体_GB2312" w:hAnsi="楷体_GB2312" w:eastAsia="楷体_GB2312" w:cs="楷体_GB2312"/>
          <w:b/>
          <w:bCs w:val="0"/>
          <w:color w:val="auto"/>
          <w:sz w:val="32"/>
          <w:szCs w:val="32"/>
          <w:highlight w:val="none"/>
        </w:rPr>
        <w:t>（一）机关运行经费支出情况</w:t>
      </w:r>
      <w:bookmarkEnd w:id="65"/>
    </w:p>
    <w:p w14:paraId="2BC61EEC">
      <w:pPr>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hAnsi="仿宋_GB2312" w:eastAsia="仿宋_GB2312"/>
          <w:color w:val="auto"/>
          <w:kern w:val="2"/>
          <w:sz w:val="32"/>
          <w:szCs w:val="24"/>
          <w:lang w:val="zh-CN"/>
        </w:rPr>
        <w:t>202</w:t>
      </w:r>
      <w:r>
        <w:rPr>
          <w:rFonts w:hint="eastAsia" w:ascii="仿宋_GB2312" w:hAnsi="仿宋_GB2312" w:eastAsia="仿宋_GB2312"/>
          <w:color w:val="auto"/>
          <w:kern w:val="2"/>
          <w:sz w:val="32"/>
          <w:szCs w:val="24"/>
          <w:lang w:val="en-US" w:eastAsia="zh-CN"/>
        </w:rPr>
        <w:t>4</w:t>
      </w:r>
      <w:r>
        <w:rPr>
          <w:rFonts w:hint="eastAsia" w:ascii="仿宋_GB2312" w:hAnsi="仿宋_GB2312" w:eastAsia="仿宋_GB2312"/>
          <w:color w:val="auto"/>
          <w:kern w:val="2"/>
          <w:sz w:val="32"/>
          <w:szCs w:val="24"/>
          <w:lang w:val="zh-CN"/>
        </w:rPr>
        <w:t>年，峨边彝族自治县退役军人事务局机关运行经费支出</w:t>
      </w:r>
      <w:r>
        <w:rPr>
          <w:rFonts w:hint="eastAsia" w:ascii="仿宋_GB2312" w:hAnsi="仿宋_GB2312" w:eastAsia="仿宋_GB2312"/>
          <w:color w:val="auto"/>
          <w:kern w:val="2"/>
          <w:sz w:val="32"/>
          <w:szCs w:val="24"/>
          <w:lang w:val="en-US" w:eastAsia="zh-CN"/>
        </w:rPr>
        <w:t>26.17</w:t>
      </w:r>
      <w:r>
        <w:rPr>
          <w:rFonts w:hint="eastAsia" w:ascii="仿宋_GB2312" w:hAnsi="仿宋_GB2312" w:eastAsia="仿宋_GB2312"/>
          <w:color w:val="auto"/>
          <w:kern w:val="2"/>
          <w:sz w:val="32"/>
          <w:szCs w:val="24"/>
          <w:lang w:val="zh-CN"/>
        </w:rPr>
        <w:t>万元，比202</w:t>
      </w:r>
      <w:r>
        <w:rPr>
          <w:rFonts w:hint="eastAsia" w:ascii="仿宋_GB2312" w:hAnsi="仿宋_GB2312" w:eastAsia="仿宋_GB2312"/>
          <w:color w:val="auto"/>
          <w:kern w:val="2"/>
          <w:sz w:val="32"/>
          <w:szCs w:val="24"/>
          <w:lang w:val="en-US" w:eastAsia="zh-CN"/>
        </w:rPr>
        <w:t>3</w:t>
      </w:r>
      <w:r>
        <w:rPr>
          <w:rFonts w:hint="eastAsia" w:ascii="仿宋_GB2312" w:hAnsi="仿宋_GB2312" w:eastAsia="仿宋_GB2312"/>
          <w:color w:val="auto"/>
          <w:kern w:val="2"/>
          <w:sz w:val="32"/>
          <w:szCs w:val="24"/>
          <w:lang w:val="zh-CN"/>
        </w:rPr>
        <w:t>年减少</w:t>
      </w:r>
      <w:r>
        <w:rPr>
          <w:rFonts w:hint="eastAsia" w:ascii="仿宋_GB2312" w:hAnsi="仿宋_GB2312" w:eastAsia="仿宋_GB2312"/>
          <w:color w:val="auto"/>
          <w:kern w:val="2"/>
          <w:sz w:val="32"/>
          <w:szCs w:val="24"/>
          <w:lang w:val="en-US" w:eastAsia="zh-CN"/>
        </w:rPr>
        <w:t>3.75</w:t>
      </w:r>
      <w:r>
        <w:rPr>
          <w:rFonts w:hint="eastAsia" w:ascii="仿宋_GB2312" w:hAnsi="仿宋_GB2312" w:eastAsia="仿宋_GB2312"/>
          <w:color w:val="auto"/>
          <w:kern w:val="2"/>
          <w:sz w:val="32"/>
          <w:szCs w:val="24"/>
          <w:lang w:val="zh-CN"/>
        </w:rPr>
        <w:t>万元，下降</w:t>
      </w:r>
      <w:r>
        <w:rPr>
          <w:rFonts w:hint="eastAsia" w:ascii="仿宋_GB2312" w:hAnsi="仿宋_GB2312" w:eastAsia="仿宋_GB2312"/>
          <w:color w:val="auto"/>
          <w:kern w:val="2"/>
          <w:sz w:val="32"/>
          <w:szCs w:val="24"/>
          <w:lang w:val="en-US" w:eastAsia="zh-CN"/>
        </w:rPr>
        <w:t>12.53</w:t>
      </w:r>
      <w:r>
        <w:rPr>
          <w:rFonts w:hint="eastAsia" w:ascii="仿宋_GB2312" w:hAnsi="仿宋_GB2312" w:eastAsia="仿宋_GB2312"/>
          <w:color w:val="auto"/>
          <w:kern w:val="2"/>
          <w:sz w:val="32"/>
          <w:szCs w:val="24"/>
          <w:lang w:val="zh-CN"/>
        </w:rPr>
        <w:t>%，主要原因是</w:t>
      </w:r>
      <w:r>
        <w:rPr>
          <w:rFonts w:hint="eastAsia" w:ascii="仿宋_GB2312" w:eastAsia="仿宋_GB2312"/>
          <w:color w:val="auto"/>
          <w:sz w:val="32"/>
          <w:szCs w:val="32"/>
          <w:highlight w:val="none"/>
          <w:lang w:eastAsia="zh-CN"/>
        </w:rPr>
        <w:t>办公费减少。</w:t>
      </w:r>
    </w:p>
    <w:p w14:paraId="5527D603">
      <w:pPr>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hint="eastAsia" w:ascii="楷体_GB2312" w:hAnsi="楷体_GB2312" w:eastAsia="楷体_GB2312" w:cs="楷体_GB2312"/>
          <w:b/>
          <w:bCs w:val="0"/>
          <w:color w:val="auto"/>
          <w:sz w:val="32"/>
          <w:szCs w:val="32"/>
          <w:highlight w:val="none"/>
        </w:rPr>
      </w:pPr>
      <w:bookmarkStart w:id="66" w:name="_Toc15377223"/>
      <w:r>
        <w:rPr>
          <w:rFonts w:hint="eastAsia" w:ascii="楷体_GB2312" w:hAnsi="楷体_GB2312" w:eastAsia="楷体_GB2312" w:cs="楷体_GB2312"/>
          <w:b/>
          <w:bCs w:val="0"/>
          <w:color w:val="auto"/>
          <w:sz w:val="32"/>
          <w:szCs w:val="32"/>
          <w:highlight w:val="none"/>
        </w:rPr>
        <w:t>（二）政府采购支出情况</w:t>
      </w:r>
      <w:bookmarkEnd w:id="66"/>
    </w:p>
    <w:p w14:paraId="17C8D305">
      <w:pPr>
        <w:pageBreakBefore w:val="0"/>
        <w:widowControl w:val="0"/>
        <w:kinsoku/>
        <w:wordWrap/>
        <w:overflowPunct/>
        <w:topLinePunct w:val="0"/>
        <w:bidi w:val="0"/>
        <w:snapToGrid/>
        <w:spacing w:beforeLines="0" w:afterLines="0" w:line="560" w:lineRule="exact"/>
        <w:ind w:firstLine="640" w:firstLineChars="200"/>
        <w:jc w:val="both"/>
        <w:textAlignment w:val="auto"/>
        <w:rPr>
          <w:rFonts w:ascii="仿宋_GB2312" w:eastAsia="仿宋_GB2312"/>
          <w:color w:val="auto"/>
          <w:sz w:val="32"/>
          <w:szCs w:val="32"/>
          <w:highlight w:val="none"/>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zh-CN"/>
        </w:rPr>
        <w:t>年度，政府采购支出总额0万元，其中：政府采购货物支出0万元、政府采购工程支出0万元、政府采购服务支出0万元。授予中小企业合同金额0万元，占政府采购支出总额的0%，其中：授予小微企业合同金额0万元，</w:t>
      </w:r>
      <w:r>
        <w:rPr>
          <w:rFonts w:hint="eastAsia" w:ascii="仿宋_GB2312" w:hAnsi="仿宋_GB2312" w:eastAsia="仿宋_GB2312"/>
          <w:color w:val="auto"/>
          <w:kern w:val="2"/>
          <w:sz w:val="32"/>
          <w:szCs w:val="24"/>
          <w:lang w:val="en-US"/>
        </w:rPr>
        <w:t>占政府采购支出总额的</w:t>
      </w:r>
      <w:r>
        <w:rPr>
          <w:rFonts w:hint="eastAsia" w:ascii="仿宋_GB2312" w:hAnsi="仿宋_GB2312" w:eastAsia="仿宋_GB2312"/>
          <w:color w:val="000000"/>
          <w:kern w:val="2"/>
          <w:sz w:val="32"/>
          <w:szCs w:val="24"/>
          <w:lang w:val="zh-CN"/>
        </w:rPr>
        <w:t>0%</w:t>
      </w:r>
      <w:r>
        <w:rPr>
          <w:rFonts w:hint="eastAsia" w:ascii="仿宋_GB2312" w:eastAsia="仿宋_GB2312"/>
          <w:color w:val="auto"/>
          <w:sz w:val="32"/>
          <w:szCs w:val="32"/>
          <w:highlight w:val="none"/>
        </w:rPr>
        <w:t>。</w:t>
      </w:r>
    </w:p>
    <w:p w14:paraId="2A719B89">
      <w:pPr>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hint="eastAsia" w:ascii="楷体_GB2312" w:hAnsi="楷体_GB2312" w:eastAsia="楷体_GB2312" w:cs="楷体_GB2312"/>
          <w:b/>
          <w:bCs w:val="0"/>
          <w:color w:val="auto"/>
          <w:sz w:val="32"/>
          <w:szCs w:val="32"/>
          <w:highlight w:val="none"/>
        </w:rPr>
      </w:pPr>
      <w:bookmarkStart w:id="67" w:name="_Toc15377224"/>
      <w:r>
        <w:rPr>
          <w:rFonts w:hint="eastAsia" w:ascii="楷体_GB2312" w:hAnsi="楷体_GB2312" w:eastAsia="楷体_GB2312" w:cs="楷体_GB2312"/>
          <w:b/>
          <w:bCs w:val="0"/>
          <w:color w:val="auto"/>
          <w:sz w:val="32"/>
          <w:szCs w:val="32"/>
          <w:highlight w:val="none"/>
        </w:rPr>
        <w:t>（三）国有资产占有使用情况</w:t>
      </w:r>
      <w:bookmarkEnd w:id="67"/>
    </w:p>
    <w:p w14:paraId="655C984A">
      <w:pPr>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olor w:val="auto"/>
          <w:sz w:val="32"/>
          <w:szCs w:val="32"/>
          <w:highlight w:val="none"/>
        </w:rPr>
      </w:pPr>
      <w:r>
        <w:rPr>
          <w:rFonts w:hint="eastAsia" w:ascii="仿宋_GB2312" w:hAnsi="仿宋_GB2312" w:eastAsia="仿宋_GB2312"/>
          <w:color w:val="000000"/>
          <w:kern w:val="2"/>
          <w:sz w:val="32"/>
          <w:szCs w:val="24"/>
          <w:lang w:val="zh-CN"/>
        </w:rPr>
        <w:t>截至202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zh-CN"/>
        </w:rPr>
        <w:t>年12月31日，共有车辆0辆，其中：副部（省）级及以上领导用车0辆、主要领导干部用车0辆、机要通信用车0辆、应急保障用车0辆、执法执勤用车0辆、特种专业技术用车0辆、离退休干部用车0辆、其他用车0辆</w:t>
      </w:r>
      <w:r>
        <w:rPr>
          <w:rFonts w:hint="eastAsia" w:ascii="仿宋_GB2312" w:eastAsia="仿宋_GB2312"/>
          <w:color w:val="auto"/>
          <w:sz w:val="32"/>
          <w:szCs w:val="32"/>
          <w:highlight w:val="none"/>
        </w:rPr>
        <w:t>。</w:t>
      </w:r>
      <w:r>
        <w:rPr>
          <w:rFonts w:hint="eastAsia" w:ascii="仿宋_GB2312" w:hAnsi="仿宋_GB2312" w:eastAsia="仿宋_GB2312"/>
          <w:color w:val="000000"/>
          <w:kern w:val="2"/>
          <w:sz w:val="32"/>
          <w:szCs w:val="24"/>
          <w:lang w:val="zh-CN"/>
        </w:rPr>
        <w:t>单价100万元（含）以上设备0台（套）。</w:t>
      </w:r>
    </w:p>
    <w:p w14:paraId="67082B6F">
      <w:pPr>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hint="eastAsia" w:ascii="楷体_GB2312" w:hAnsi="楷体_GB2312" w:eastAsia="楷体_GB2312" w:cs="楷体_GB2312"/>
          <w:b/>
          <w:bCs w:val="0"/>
          <w:color w:val="auto"/>
          <w:sz w:val="32"/>
          <w:szCs w:val="32"/>
          <w:highlight w:val="none"/>
        </w:rPr>
      </w:pPr>
      <w:r>
        <w:rPr>
          <w:rFonts w:hint="eastAsia" w:ascii="楷体_GB2312" w:hAnsi="楷体_GB2312" w:eastAsia="楷体_GB2312" w:cs="楷体_GB2312"/>
          <w:b/>
          <w:bCs w:val="0"/>
          <w:color w:val="auto"/>
          <w:sz w:val="32"/>
          <w:szCs w:val="32"/>
          <w:highlight w:val="none"/>
        </w:rPr>
        <w:t>（四）预算绩效管理情况</w:t>
      </w:r>
    </w:p>
    <w:p w14:paraId="28A530E1">
      <w:pPr>
        <w:pageBreakBefore w:val="0"/>
        <w:widowControl w:val="0"/>
        <w:kinsoku/>
        <w:wordWrap/>
        <w:overflowPunct/>
        <w:topLinePunct w:val="0"/>
        <w:bidi w:val="0"/>
        <w:snapToGrid/>
        <w:spacing w:line="560" w:lineRule="exact"/>
        <w:ind w:firstLine="640" w:firstLineChars="200"/>
        <w:textAlignment w:val="auto"/>
        <w:rPr>
          <w:rFonts w:hint="eastAsia" w:eastAsia="方正小标宋简体"/>
          <w:lang w:eastAsia="zh-CN"/>
        </w:rPr>
      </w:pPr>
      <w:r>
        <w:rPr>
          <w:rFonts w:hint="eastAsia" w:ascii="仿宋_GB2312" w:hAnsi="仿宋_GB2312" w:eastAsia="仿宋_GB2312" w:cs="仿宋_GB2312"/>
          <w:color w:val="auto"/>
          <w:sz w:val="32"/>
          <w:szCs w:val="32"/>
          <w:highlight w:val="none"/>
        </w:rPr>
        <w:t>根据预算绩效管理要求，</w:t>
      </w:r>
      <w:r>
        <w:rPr>
          <w:rFonts w:hint="eastAsia" w:ascii="仿宋_GB2312" w:hAnsi="仿宋_GB2312" w:eastAsia="仿宋_GB2312" w:cs="仿宋_GB2312"/>
          <w:color w:val="auto"/>
          <w:sz w:val="32"/>
          <w:szCs w:val="32"/>
          <w:highlight w:val="none"/>
          <w:lang w:eastAsia="zh-CN"/>
        </w:rPr>
        <w:t>我单位</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2024年度</w:t>
      </w:r>
      <w:r>
        <w:rPr>
          <w:rFonts w:hint="eastAsia" w:ascii="仿宋_GB2312" w:hAnsi="仿宋_GB2312" w:eastAsia="仿宋_GB2312" w:cs="仿宋_GB2312"/>
          <w:color w:val="auto"/>
          <w:sz w:val="32"/>
          <w:szCs w:val="32"/>
          <w:highlight w:val="none"/>
        </w:rPr>
        <w:t>预算编制阶段，组织对</w:t>
      </w:r>
      <w:r>
        <w:rPr>
          <w:rFonts w:hint="eastAsia" w:ascii="仿宋_GB2312" w:eastAsia="仿宋_GB2312" w:cs="仿宋_GB2312"/>
          <w:i w:val="0"/>
          <w:iCs w:val="0"/>
          <w:caps w:val="0"/>
          <w:color w:val="auto"/>
          <w:spacing w:val="0"/>
          <w:kern w:val="2"/>
          <w:sz w:val="32"/>
          <w:szCs w:val="32"/>
          <w:lang w:val="en-US" w:eastAsia="zh-CN" w:bidi="ar-SA"/>
        </w:rPr>
        <w:t>武警中队日常保障经费</w:t>
      </w:r>
      <w:r>
        <w:rPr>
          <w:rFonts w:hint="eastAsia" w:ascii="仿宋_GB2312" w:hAnsi="仿宋_GB2312" w:eastAsia="仿宋_GB2312" w:cs="仿宋_GB2312"/>
          <w:i w:val="0"/>
          <w:color w:val="auto"/>
          <w:kern w:val="0"/>
          <w:sz w:val="32"/>
          <w:szCs w:val="32"/>
          <w:u w:val="none"/>
          <w:lang w:val="en-US" w:eastAsia="zh-CN" w:bidi="ar"/>
        </w:rPr>
        <w:t>1</w:t>
      </w:r>
      <w:r>
        <w:rPr>
          <w:rFonts w:hint="eastAsia" w:ascii="仿宋_GB2312" w:hAnsi="仿宋_GB2312" w:eastAsia="仿宋_GB2312" w:cs="仿宋_GB2312"/>
          <w:color w:val="auto"/>
          <w:sz w:val="32"/>
          <w:szCs w:val="32"/>
          <w:highlight w:val="none"/>
          <w:lang w:val="en-US" w:eastAsia="zh-CN"/>
        </w:rPr>
        <w:t>个项目</w:t>
      </w:r>
      <w:r>
        <w:rPr>
          <w:rFonts w:hint="eastAsia" w:ascii="仿宋_GB2312" w:hAnsi="仿宋_GB2312" w:eastAsia="仿宋_GB2312" w:cs="仿宋_GB2312"/>
          <w:color w:val="auto"/>
          <w:sz w:val="32"/>
          <w:szCs w:val="32"/>
          <w:highlight w:val="none"/>
        </w:rPr>
        <w:t>开展了预算事前绩效评估，</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个项目编制了绩效目标</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rPr>
        <w:t>预算执行过程中，</w:t>
      </w:r>
      <w:r>
        <w:rPr>
          <w:rFonts w:hint="eastAsia" w:ascii="仿宋_GB2312" w:hAnsi="仿宋_GB2312" w:eastAsia="仿宋_GB2312" w:cs="仿宋_GB2312"/>
          <w:color w:val="auto"/>
          <w:sz w:val="32"/>
          <w:szCs w:val="32"/>
          <w:highlight w:val="none"/>
          <w:lang w:eastAsia="zh-CN"/>
        </w:rPr>
        <w:t>选取</w:t>
      </w:r>
      <w:r>
        <w:rPr>
          <w:rFonts w:hint="eastAsia" w:ascii="仿宋_GB2312" w:hAnsi="仿宋_GB2312" w:eastAsia="仿宋_GB2312" w:cs="仿宋_GB2312"/>
          <w:color w:val="auto"/>
          <w:sz w:val="32"/>
          <w:szCs w:val="32"/>
          <w:highlight w:val="none"/>
          <w:lang w:val="en-US" w:eastAsia="zh-CN"/>
        </w:rPr>
        <w:t>36</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p>
    <w:p w14:paraId="453F48A9">
      <w:pPr>
        <w:pStyle w:val="5"/>
        <w:numPr>
          <w:ilvl w:val="0"/>
          <w:numId w:val="2"/>
        </w:numPr>
        <w:bidi w:val="0"/>
        <w:jc w:val="center"/>
        <w:rPr>
          <w:rFonts w:hint="eastAsia" w:ascii="方正小标宋简体" w:hAnsi="方正小标宋简体" w:eastAsia="方正小标宋简体" w:cs="方正小标宋简体"/>
          <w:b w:val="0"/>
          <w:bCs w:val="0"/>
        </w:rPr>
      </w:pPr>
      <w:bookmarkStart w:id="68" w:name="_Toc15396613"/>
      <w:bookmarkStart w:id="69" w:name="_Toc15377225"/>
      <w:bookmarkStart w:id="70" w:name="_Toc24307"/>
      <w:r>
        <w:rPr>
          <w:rFonts w:hint="eastAsia" w:ascii="方正小标宋简体" w:hAnsi="方正小标宋简体" w:eastAsia="方正小标宋简体" w:cs="方正小标宋简体"/>
          <w:b w:val="0"/>
          <w:bCs w:val="0"/>
        </w:rPr>
        <w:t>名词解释</w:t>
      </w:r>
      <w:bookmarkEnd w:id="68"/>
      <w:bookmarkEnd w:id="69"/>
      <w:bookmarkEnd w:id="70"/>
    </w:p>
    <w:p w14:paraId="5653D789">
      <w:pPr>
        <w:spacing w:line="600" w:lineRule="exact"/>
        <w:jc w:val="left"/>
        <w:rPr>
          <w:rFonts w:ascii="宋体"/>
          <w:b/>
          <w:color w:val="auto"/>
          <w:sz w:val="44"/>
          <w:szCs w:val="44"/>
          <w:highlight w:val="none"/>
        </w:rPr>
      </w:pPr>
    </w:p>
    <w:p w14:paraId="03708401">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14:paraId="6864E525">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w:t>
      </w:r>
    </w:p>
    <w:p w14:paraId="4B3107CD">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w:t>
      </w:r>
    </w:p>
    <w:p w14:paraId="253785D9">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4.其他收入：指单位取得的除上述收入以外的各项收入。 </w:t>
      </w:r>
    </w:p>
    <w:p w14:paraId="2255754E">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5.使用非财政拨款结余：指事业单位使用以前年度积累的非财政拨款结余弥补当年收支差额的金额。 </w:t>
      </w:r>
    </w:p>
    <w:p w14:paraId="6A989009">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6.年初结转和结余：指以前年度尚未完成、结转到本年按有关规定继续使用的资金。 </w:t>
      </w:r>
    </w:p>
    <w:p w14:paraId="182AF895">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7.结余分配：指事业单位按照会计制度规定缴纳的所得税、提取的专用结余以及转入非财政拨款结余的金额等。</w:t>
      </w:r>
    </w:p>
    <w:p w14:paraId="08E92B26">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8.</w:t>
      </w:r>
      <w:r>
        <w:rPr>
          <w:rFonts w:hint="eastAsia" w:ascii="仿宋_GB2312" w:hAnsi="仿宋_GB2312" w:eastAsia="仿宋_GB2312" w:cs="仿宋_GB2312"/>
          <w:sz w:val="32"/>
          <w:szCs w:val="32"/>
        </w:rPr>
        <w:t>年末结转和结余：指单位按有关规定结转到下年或以后年度继续使用的资金。</w:t>
      </w:r>
    </w:p>
    <w:p w14:paraId="0712B07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社会保障和就业（类）行政事业单位养老支出（款）机关事业单位基本养老保险缴费支出（项）：指机关事业单位基本养老保险缴费支出，反映机关事业单位实施养老保险制度由单位缴纳的基本养老保险费支出。</w:t>
      </w:r>
    </w:p>
    <w:p w14:paraId="7A074AE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.社会保障和就业（类）行政事业单位养老支出（款）机关事业单位职业年金缴费支出（项）：指机关事业单位职业年金缴费支出，反映机关事业单位实施养老保险制度由单位缴纳的职业年金支出。</w:t>
      </w:r>
    </w:p>
    <w:p w14:paraId="1F0277F8">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社会保障和就业（类）抚恤（款）</w:t>
      </w:r>
      <w:r>
        <w:rPr>
          <w:rFonts w:hint="eastAsia" w:ascii="仿宋_GB2312" w:hAnsi="仿宋_GB2312" w:eastAsia="仿宋_GB2312" w:cs="仿宋_GB2312"/>
          <w:color w:val="000000"/>
          <w:sz w:val="32"/>
          <w:szCs w:val="32"/>
          <w:lang w:eastAsia="zh-CN"/>
        </w:rPr>
        <w:t>死亡</w:t>
      </w:r>
      <w:r>
        <w:rPr>
          <w:rFonts w:hint="eastAsia" w:ascii="仿宋_GB2312" w:hAnsi="仿宋_GB2312" w:eastAsia="仿宋_GB2312" w:cs="仿宋_GB2312"/>
          <w:color w:val="000000"/>
          <w:sz w:val="32"/>
          <w:szCs w:val="32"/>
        </w:rPr>
        <w:t>抚恤（项）</w:t>
      </w:r>
      <w:r>
        <w:rPr>
          <w:rFonts w:hint="eastAsia" w:ascii="仿宋_GB2312" w:hAnsi="仿宋_GB2312" w:eastAsia="仿宋_GB2312" w:cs="仿宋_GB2312"/>
          <w:color w:val="000000"/>
          <w:sz w:val="32"/>
          <w:szCs w:val="32"/>
          <w:lang w:eastAsia="zh-CN"/>
        </w:rPr>
        <w:t>：</w:t>
      </w:r>
    </w:p>
    <w:p w14:paraId="6572378F">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反映按规定用于</w:t>
      </w:r>
      <w:r>
        <w:rPr>
          <w:rFonts w:hint="eastAsia" w:ascii="仿宋_GB2312" w:hAnsi="仿宋_GB2312" w:eastAsia="仿宋_GB2312" w:cs="仿宋_GB2312"/>
          <w:color w:val="000000"/>
          <w:sz w:val="32"/>
          <w:szCs w:val="32"/>
          <w:lang w:eastAsia="zh-CN"/>
        </w:rPr>
        <w:t>烈士和牺牲、病故人员家属的一次性和定期抚恤金以及丧葬</w:t>
      </w:r>
      <w:r>
        <w:rPr>
          <w:rFonts w:hint="eastAsia" w:ascii="仿宋_GB2312" w:hAnsi="仿宋_GB2312" w:eastAsia="仿宋_GB2312" w:cs="仿宋_GB2312"/>
          <w:color w:val="000000"/>
          <w:sz w:val="32"/>
          <w:szCs w:val="32"/>
        </w:rPr>
        <w:t>补助费。</w:t>
      </w:r>
    </w:p>
    <w:p w14:paraId="1243CFD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社会保障和就业（类）抚恤（款）伤残抚恤（项）</w:t>
      </w:r>
      <w:r>
        <w:rPr>
          <w:rFonts w:hint="eastAsia" w:ascii="仿宋_GB2312" w:hAnsi="仿宋_GB2312" w:eastAsia="仿宋_GB2312" w:cs="仿宋_GB2312"/>
          <w:color w:val="000000"/>
          <w:sz w:val="32"/>
          <w:szCs w:val="32"/>
          <w:lang w:eastAsia="zh-CN"/>
        </w:rPr>
        <w:t>：</w:t>
      </w:r>
    </w:p>
    <w:p w14:paraId="0DEF70FE">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反映按规定用于伤残人员的抚恤金和按规定开支的各种伤残补助费。</w:t>
      </w:r>
    </w:p>
    <w:p w14:paraId="6B1B9533">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社会保障和就业（类）抚恤（款）在乡复员、退伍军人生活补助（项）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反映在乡退伍红军老战士（含西路军红军老战士、红军失散人员）、1954年10月31日前入伍的在乡老复员军人、按规定办理带病回乡手续的退伍军人生活补助。</w:t>
      </w:r>
    </w:p>
    <w:p w14:paraId="2B03F333">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社会保障和就业（类）抚恤（款）</w:t>
      </w:r>
      <w:r>
        <w:rPr>
          <w:rFonts w:hint="eastAsia" w:ascii="仿宋_GB2312" w:hAnsi="仿宋_GB2312" w:eastAsia="仿宋_GB2312" w:cs="仿宋_GB2312"/>
          <w:color w:val="000000"/>
          <w:sz w:val="32"/>
          <w:szCs w:val="32"/>
          <w:lang w:eastAsia="zh-CN"/>
        </w:rPr>
        <w:t>优抚事业单位支出</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eastAsia="zh-CN"/>
        </w:rPr>
        <w:t>：反映退役军人事务部门管理的优抚事业单位支出，对集体优抚事业单位的补助，对烈士纪念设施的维修改造和管理保护支出，以及军供站设施维修改造和设备更新支出。</w:t>
      </w:r>
    </w:p>
    <w:p w14:paraId="49936F71">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社会保障和就业（类）抚恤（款）义务兵优待（项）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反映用于义务兵优待方面的支出。</w:t>
      </w:r>
    </w:p>
    <w:p w14:paraId="5D6FE1AA">
      <w:pPr>
        <w:pStyle w:val="17"/>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16.</w:t>
      </w:r>
      <w:r>
        <w:rPr>
          <w:rFonts w:hint="eastAsia" w:ascii="仿宋_GB2312" w:hAnsi="仿宋_GB2312" w:eastAsia="仿宋_GB2312" w:cs="仿宋_GB2312"/>
          <w:color w:val="000000"/>
          <w:sz w:val="32"/>
          <w:szCs w:val="32"/>
        </w:rPr>
        <w:t>社会保障和就业（类）抚恤（款）</w:t>
      </w:r>
      <w:r>
        <w:rPr>
          <w:rFonts w:hint="eastAsia" w:ascii="仿宋_GB2312" w:hAnsi="仿宋_GB2312" w:eastAsia="仿宋_GB2312" w:cs="仿宋_GB2312"/>
          <w:color w:val="000000"/>
          <w:sz w:val="32"/>
          <w:szCs w:val="32"/>
          <w:lang w:eastAsia="zh-CN"/>
        </w:rPr>
        <w:t>农村籍退役士兵老年生活补助</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eastAsia="zh-CN"/>
        </w:rPr>
        <w:t>：用于</w:t>
      </w:r>
      <w:r>
        <w:rPr>
          <w:rFonts w:hint="eastAsia" w:ascii="仿宋_GB2312" w:hAnsi="仿宋_GB2312" w:eastAsia="仿宋_GB2312" w:cs="仿宋_GB2312"/>
          <w:color w:val="000000"/>
          <w:sz w:val="32"/>
          <w:szCs w:val="32"/>
          <w:lang w:val="en-US" w:eastAsia="zh-CN"/>
        </w:rPr>
        <w:t>1954年11月1日试行义务兵役制后至《退役士兵安置条例》实施前入伍、年龄在60周岁以上（含60岁）、未享受到国家定期抚恤补助的农村籍退役士兵的老年生活补助。</w:t>
      </w:r>
    </w:p>
    <w:p w14:paraId="6429D91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.社会保障和就业（类）抚恤（款）其他优抚支出（项）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反映除上述项目以外其他用于优抚方面的支出</w:t>
      </w:r>
      <w:r>
        <w:rPr>
          <w:rFonts w:hint="eastAsia" w:ascii="仿宋_GB2312" w:hAnsi="仿宋_GB2312" w:eastAsia="仿宋_GB2312" w:cs="仿宋_GB2312"/>
          <w:color w:val="000000"/>
          <w:sz w:val="32"/>
          <w:szCs w:val="32"/>
          <w:lang w:eastAsia="zh-CN"/>
        </w:rPr>
        <w:t>。</w:t>
      </w:r>
    </w:p>
    <w:p w14:paraId="0694321E">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.社会保障和就业（类）退役安置（款）退役士兵安置（项）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反映按规定用于伤残义务兵的一次性建房补助，对符合条件的退役士兵，转业士官的安置支出。</w:t>
      </w:r>
    </w:p>
    <w:p w14:paraId="0744785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.社会保障和就业（类）退役安置（款）军队移交政府的离退休人员安置（项）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反映移交政府的军队离退休人员安置支出。</w:t>
      </w:r>
    </w:p>
    <w:p w14:paraId="69EC5153">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.社会保障和就业（类）退役安置（款）军队移交政府离退休干部管理机构（项）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反映管理的军队移交政府安置的离退休干部管理机构列入事业编制的人员经费、公用经费以及管理机构用房建设经费等开支。</w:t>
      </w:r>
    </w:p>
    <w:p w14:paraId="7B0552CD">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.社会保障和就业（类）退役安置（款）退役士兵管理教育（项）：反映退役士兵职业教育、转业士官待分配期间管理教育、医疗等支出。</w:t>
      </w:r>
    </w:p>
    <w:p w14:paraId="633DEE0C">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.社会保障和就业（类）退役安置（款）军队转业干部安置（项）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反映军转干部安置、人员经费、自主择业退役金等方面的支出。</w:t>
      </w:r>
    </w:p>
    <w:p w14:paraId="6DF1F5CD">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社会保障和就业（类）退役安置（款）</w:t>
      </w:r>
      <w:r>
        <w:rPr>
          <w:rFonts w:hint="eastAsia" w:ascii="仿宋_GB2312" w:hAnsi="仿宋_GB2312" w:eastAsia="仿宋_GB2312" w:cs="仿宋_GB2312"/>
          <w:color w:val="000000"/>
          <w:sz w:val="32"/>
          <w:szCs w:val="32"/>
          <w:lang w:eastAsia="zh-CN"/>
        </w:rPr>
        <w:t>其他退役安置支出</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eastAsia="zh-CN"/>
        </w:rPr>
        <w:t>：其他用于退役安置方面的支出。</w:t>
      </w:r>
    </w:p>
    <w:p w14:paraId="2830D7E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社会保障和就业（类）退役军人管理事务（款）行政运行（项）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反映行政单位（包括</w:t>
      </w:r>
      <w:r>
        <w:rPr>
          <w:rFonts w:hint="eastAsia" w:ascii="仿宋_GB2312" w:hAnsi="仿宋_GB2312" w:eastAsia="仿宋_GB2312" w:cs="仿宋_GB2312"/>
          <w:color w:val="000000"/>
          <w:sz w:val="32"/>
          <w:szCs w:val="32"/>
          <w:lang w:eastAsia="zh-CN"/>
        </w:rPr>
        <w:t>实行</w:t>
      </w:r>
      <w:r>
        <w:rPr>
          <w:rFonts w:hint="eastAsia" w:ascii="仿宋_GB2312" w:hAnsi="仿宋_GB2312" w:eastAsia="仿宋_GB2312" w:cs="仿宋_GB2312"/>
          <w:color w:val="000000"/>
          <w:sz w:val="32"/>
          <w:szCs w:val="32"/>
        </w:rPr>
        <w:t>公务员管理的事业单位）的基本支出。</w:t>
      </w:r>
    </w:p>
    <w:p w14:paraId="45F8CEB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.社会保障和就业（类）退役军人管理事务（款）一般行政管理事务（项）：反映行政单位（包括</w:t>
      </w:r>
      <w:r>
        <w:rPr>
          <w:rFonts w:hint="eastAsia" w:ascii="仿宋_GB2312" w:hAnsi="仿宋_GB2312" w:eastAsia="仿宋_GB2312" w:cs="仿宋_GB2312"/>
          <w:color w:val="000000"/>
          <w:sz w:val="32"/>
          <w:szCs w:val="32"/>
          <w:lang w:eastAsia="zh-CN"/>
        </w:rPr>
        <w:t>实行</w:t>
      </w:r>
      <w:r>
        <w:rPr>
          <w:rFonts w:hint="eastAsia" w:ascii="仿宋_GB2312" w:hAnsi="仿宋_GB2312" w:eastAsia="仿宋_GB2312" w:cs="仿宋_GB2312"/>
          <w:color w:val="000000"/>
          <w:sz w:val="32"/>
          <w:szCs w:val="32"/>
        </w:rPr>
        <w:t>公务员管理的事业单位）未单独设置项级科目的其他项目支出。</w:t>
      </w:r>
    </w:p>
    <w:p w14:paraId="60ACE50D">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.社会保障和就业（类）退役军人管理事务（款）</w:t>
      </w:r>
      <w:r>
        <w:rPr>
          <w:rFonts w:hint="eastAsia" w:ascii="仿宋_GB2312" w:hAnsi="仿宋_GB2312" w:eastAsia="仿宋_GB2312" w:cs="仿宋_GB2312"/>
          <w:color w:val="000000"/>
          <w:sz w:val="32"/>
          <w:szCs w:val="32"/>
          <w:lang w:eastAsia="zh-CN"/>
        </w:rPr>
        <w:t>机关服务</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eastAsia="zh-CN"/>
        </w:rPr>
        <w:t>反映行政单位</w:t>
      </w:r>
      <w:r>
        <w:rPr>
          <w:rFonts w:hint="eastAsia" w:ascii="仿宋_GB2312" w:hAnsi="仿宋_GB2312" w:eastAsia="仿宋_GB2312" w:cs="仿宋_GB2312"/>
          <w:color w:val="000000"/>
          <w:sz w:val="32"/>
          <w:szCs w:val="32"/>
        </w:rPr>
        <w:t>（包括实现公务员管理的事业单位）</w:t>
      </w:r>
      <w:r>
        <w:rPr>
          <w:rFonts w:hint="eastAsia" w:ascii="仿宋_GB2312" w:hAnsi="仿宋_GB2312" w:eastAsia="仿宋_GB2312" w:cs="仿宋_GB2312"/>
          <w:color w:val="000000"/>
          <w:sz w:val="32"/>
          <w:szCs w:val="32"/>
          <w:lang w:eastAsia="zh-CN"/>
        </w:rPr>
        <w:t>提供后勤服务的各类附属事业单位的支出。</w:t>
      </w:r>
    </w:p>
    <w:p w14:paraId="6DA486D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.社会保障和就业（类）退役军人管理事务（款）拥军优属（项）：反映开展拥军优属活动的支出。</w:t>
      </w:r>
    </w:p>
    <w:p w14:paraId="774A1A33">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.社会保障和就业（类）退役军人管理事务（款）</w:t>
      </w:r>
      <w:r>
        <w:rPr>
          <w:rFonts w:hint="eastAsia" w:ascii="仿宋_GB2312" w:hAnsi="仿宋_GB2312" w:eastAsia="仿宋_GB2312" w:cs="仿宋_GB2312"/>
          <w:color w:val="000000"/>
          <w:sz w:val="32"/>
          <w:szCs w:val="32"/>
          <w:lang w:eastAsia="zh-CN"/>
        </w:rPr>
        <w:t>事业运行</w:t>
      </w:r>
      <w:r>
        <w:rPr>
          <w:rFonts w:hint="eastAsia" w:ascii="仿宋_GB2312" w:hAnsi="仿宋_GB2312" w:eastAsia="仿宋_GB2312" w:cs="仿宋_GB2312"/>
          <w:color w:val="000000"/>
          <w:sz w:val="32"/>
          <w:szCs w:val="32"/>
        </w:rPr>
        <w:t>（项）：反映</w:t>
      </w:r>
      <w:r>
        <w:rPr>
          <w:rFonts w:hint="eastAsia" w:ascii="仿宋_GB2312" w:hAnsi="仿宋_GB2312" w:eastAsia="仿宋_GB2312" w:cs="仿宋_GB2312"/>
          <w:color w:val="000000"/>
          <w:sz w:val="32"/>
          <w:szCs w:val="32"/>
          <w:lang w:eastAsia="zh-CN"/>
        </w:rPr>
        <w:t>事业单位</w:t>
      </w:r>
      <w:r>
        <w:rPr>
          <w:rFonts w:hint="eastAsia" w:ascii="仿宋_GB2312" w:hAnsi="仿宋_GB2312" w:eastAsia="仿宋_GB2312" w:cs="仿宋_GB2312"/>
          <w:color w:val="000000"/>
          <w:sz w:val="32"/>
          <w:szCs w:val="32"/>
        </w:rPr>
        <w:t>的支出。</w:t>
      </w:r>
    </w:p>
    <w:p w14:paraId="4061A45A">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.社会保障和就业（类）其他社会保障和就业支出（款）其他社会保障和就业支出（项）：反映除上述项目以外其他用于社会保障和就业方面的支出。</w:t>
      </w:r>
    </w:p>
    <w:p w14:paraId="570216B9">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rPr>
        <w:t>.卫生健康（类）行政事业单位医疗（款）行政单位医疗（项）：反映财政部门安排的行政单位基本医疗保险缴费经费，未参加医疗保险的行政单位的公费医疗经费，按国家规定享受离休人员、红军老战士待遇人员的医疗经费。</w:t>
      </w:r>
    </w:p>
    <w:p w14:paraId="17D8470C">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31</w:t>
      </w:r>
      <w:r>
        <w:rPr>
          <w:rFonts w:hint="eastAsia" w:ascii="仿宋_GB2312" w:hAnsi="仿宋_GB2312" w:eastAsia="仿宋_GB2312" w:cs="仿宋_GB2312"/>
          <w:color w:val="000000"/>
          <w:sz w:val="32"/>
          <w:szCs w:val="32"/>
        </w:rPr>
        <w:t>.卫生健康（类）优抚对象医疗（款）优抚对象医疗补助（项）：反映财政部门安排的事业单位基本医疗保险缴费经费，未参加医疗保险的事业单位公费医疗经费，按国家规定享受离休人员待遇的医疗经费。</w:t>
      </w:r>
    </w:p>
    <w:p w14:paraId="784CC0F8">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32</w:t>
      </w:r>
      <w:r>
        <w:rPr>
          <w:rFonts w:hint="eastAsia" w:ascii="仿宋_GB2312" w:hAnsi="仿宋_GB2312" w:eastAsia="仿宋_GB2312" w:cs="仿宋_GB2312"/>
          <w:color w:val="000000"/>
          <w:sz w:val="32"/>
          <w:szCs w:val="32"/>
        </w:rPr>
        <w:t>.住房保障支出（类）住房改革支出（款）住房公积金（项）：反映行政事业单位按照人力资源和社会保障部、财政部规定的基本工资和津贴补贴以及规定比例为职工缴纳的住房公积金。</w:t>
      </w:r>
    </w:p>
    <w:p w14:paraId="58CDC2F4">
      <w:pPr>
        <w:pStyle w:val="17"/>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33.卫生健康（类）行政事业单位医疗（款）公务员医疗补助（项）：</w:t>
      </w:r>
      <w:r>
        <w:rPr>
          <w:rFonts w:hint="eastAsia" w:ascii="仿宋_GB2312" w:hAnsi="仿宋_GB2312" w:eastAsia="仿宋_GB2312" w:cs="仿宋_GB2312"/>
          <w:color w:val="auto"/>
          <w:sz w:val="32"/>
          <w:szCs w:val="32"/>
        </w:rPr>
        <w:t>指财政部门集中安排的</w:t>
      </w:r>
      <w:r>
        <w:rPr>
          <w:rFonts w:hint="eastAsia" w:ascii="仿宋_GB2312" w:hAnsi="仿宋_GB2312" w:eastAsia="仿宋_GB2312" w:cs="仿宋_GB2312"/>
          <w:color w:val="auto"/>
          <w:sz w:val="32"/>
          <w:szCs w:val="32"/>
          <w:lang w:val="en-US" w:eastAsia="zh-CN"/>
        </w:rPr>
        <w:t>可享受公务员医疗补助单位为职工缴纳的公务员</w:t>
      </w:r>
      <w:r>
        <w:rPr>
          <w:rFonts w:hint="eastAsia" w:ascii="仿宋_GB2312" w:hAnsi="仿宋_GB2312" w:eastAsia="仿宋_GB2312" w:cs="仿宋_GB2312"/>
          <w:color w:val="auto"/>
          <w:sz w:val="32"/>
          <w:szCs w:val="32"/>
        </w:rPr>
        <w:t>医疗</w:t>
      </w:r>
      <w:r>
        <w:rPr>
          <w:rFonts w:hint="eastAsia" w:ascii="仿宋_GB2312" w:hAnsi="仿宋_GB2312" w:eastAsia="仿宋_GB2312" w:cs="仿宋_GB2312"/>
          <w:color w:val="auto"/>
          <w:sz w:val="32"/>
          <w:szCs w:val="32"/>
          <w:lang w:val="en-US" w:eastAsia="zh-CN"/>
        </w:rPr>
        <w:t>补助费。</w:t>
      </w:r>
    </w:p>
    <w:p w14:paraId="262C9B7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000000"/>
          <w:sz w:val="32"/>
          <w:szCs w:val="32"/>
          <w:lang w:val="en-US" w:eastAsia="zh-CN"/>
        </w:rPr>
        <w:t>34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lang w:eastAsia="zh-CN"/>
        </w:rPr>
        <w:t>城乡社区支出（类）国有土地使用权出让收入安排的支出（款）其他国有土地使用权出让收入安排的支出：反映土地出让收入用于其他方面的支出。不包括市县级政府当年按规定用土地出让收入向中央和省级政府缴纳的新增建设用地土地有偿使用费的支出。</w:t>
      </w:r>
      <w:r>
        <w:rPr>
          <w:rFonts w:hint="eastAsia" w:ascii="仿宋_GB2312" w:hAnsi="仿宋_GB2312" w:eastAsia="仿宋_GB2312" w:cs="仿宋_GB2312"/>
          <w:color w:val="auto"/>
          <w:sz w:val="32"/>
          <w:szCs w:val="32"/>
          <w:highlight w:val="none"/>
        </w:rPr>
        <w:t>基本支出：指为保障机构正常运转、完成日常工作任务而发生的人员支出和公用支出。</w:t>
      </w:r>
    </w:p>
    <w:p w14:paraId="164E2BA3">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35.</w:t>
      </w:r>
      <w:r>
        <w:rPr>
          <w:rFonts w:hint="eastAsia" w:ascii="仿宋_GB2312" w:hAnsi="仿宋_GB2312" w:eastAsia="仿宋_GB2312" w:cs="仿宋_GB2312"/>
          <w:color w:val="000000"/>
          <w:sz w:val="32"/>
          <w:szCs w:val="32"/>
        </w:rPr>
        <w:t>基本支出：指为保障机构正常运转、完成日常工作任务而发生的人员支出和公用支出。</w:t>
      </w:r>
    </w:p>
    <w:p w14:paraId="07FF4997">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36</w:t>
      </w:r>
      <w:r>
        <w:rPr>
          <w:rFonts w:hint="eastAsia" w:ascii="仿宋_GB2312" w:hAnsi="仿宋_GB2312" w:eastAsia="仿宋_GB2312" w:cs="仿宋_GB2312"/>
          <w:color w:val="000000"/>
          <w:sz w:val="32"/>
          <w:szCs w:val="32"/>
        </w:rPr>
        <w:t xml:space="preserve">.项目支出：指在基本支出之外为完成特定行政任务和事业发展目标所发生的支出。 </w:t>
      </w:r>
    </w:p>
    <w:p w14:paraId="087F7EFA">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37</w:t>
      </w:r>
      <w:r>
        <w:rPr>
          <w:rFonts w:hint="eastAsia" w:ascii="仿宋_GB2312" w:hAnsi="仿宋_GB2312" w:eastAsia="仿宋_GB2312" w:cs="仿宋_GB2312"/>
          <w:color w:val="000000"/>
          <w:sz w:val="32"/>
          <w:szCs w:val="32"/>
        </w:rPr>
        <w:t>.经营支出：指事业单位在专业业务活动及其辅助活动之外开展非独立核算经营活动发生的支出。</w:t>
      </w:r>
    </w:p>
    <w:p w14:paraId="3EE481FE">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3B68C46">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sectPr>
          <w:footerReference r:id="rId5" w:type="first"/>
          <w:headerReference r:id="rId3" w:type="default"/>
          <w:footerReference r:id="rId4" w:type="default"/>
          <w:pgSz w:w="11906" w:h="16838"/>
          <w:pgMar w:top="1440" w:right="1800" w:bottom="1440" w:left="1800" w:header="851" w:footer="992" w:gutter="0"/>
          <w:pgNumType w:fmt="decimal"/>
          <w:cols w:space="425" w:num="1"/>
          <w:titlePg/>
          <w:docGrid w:type="lines" w:linePitch="312" w:charSpace="0"/>
        </w:sectPr>
      </w:pP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71" w:name="_Toc15396614"/>
      <w:bookmarkStart w:id="72" w:name="_Toc15377226"/>
    </w:p>
    <w:p w14:paraId="4CA80631">
      <w:pPr>
        <w:pStyle w:val="5"/>
        <w:bidi w:val="0"/>
        <w:jc w:val="center"/>
        <w:rPr>
          <w:rFonts w:hint="eastAsia" w:ascii="方正小标宋简体" w:hAnsi="宋体" w:eastAsia="方正小标宋简体"/>
          <w:color w:val="auto"/>
          <w:kern w:val="0"/>
          <w:sz w:val="40"/>
          <w:szCs w:val="44"/>
          <w:highlight w:val="none"/>
          <w:lang w:eastAsia="zh-CN"/>
        </w:rPr>
      </w:pPr>
      <w:bookmarkStart w:id="73" w:name="_Toc10862"/>
      <w:r>
        <w:rPr>
          <w:rFonts w:hint="eastAsia"/>
          <w:color w:val="auto"/>
          <w:highlight w:val="none"/>
          <w:lang w:val="zh-CN"/>
        </w:rPr>
        <w:drawing>
          <wp:anchor distT="0" distB="0" distL="114300" distR="114300" simplePos="0" relativeHeight="251666432" behindDoc="1" locked="0" layoutInCell="1" allowOverlap="1">
            <wp:simplePos x="0" y="0"/>
            <wp:positionH relativeFrom="column">
              <wp:posOffset>114300</wp:posOffset>
            </wp:positionH>
            <wp:positionV relativeFrom="paragraph">
              <wp:posOffset>624205</wp:posOffset>
            </wp:positionV>
            <wp:extent cx="5266690" cy="4086860"/>
            <wp:effectExtent l="0" t="0" r="10160" b="8890"/>
            <wp:wrapNone/>
            <wp:docPr id="11" name="图片 11" descr="{a773767b-f11e-43e2-8e2d-ef5112c0cc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a773767b-f11e-43e2-8e2d-ef5112c0cc82}"/>
                    <pic:cNvPicPr>
                      <a:picLocks noChangeAspect="1"/>
                    </pic:cNvPicPr>
                  </pic:nvPicPr>
                  <pic:blipFill>
                    <a:blip r:embed="rId14"/>
                    <a:stretch>
                      <a:fillRect/>
                    </a:stretch>
                  </pic:blipFill>
                  <pic:spPr>
                    <a:xfrm>
                      <a:off x="0" y="0"/>
                      <a:ext cx="5266690" cy="4086860"/>
                    </a:xfrm>
                    <a:prstGeom prst="rect">
                      <a:avLst/>
                    </a:prstGeom>
                  </pic:spPr>
                </pic:pic>
              </a:graphicData>
            </a:graphic>
          </wp:anchor>
        </w:drawing>
      </w:r>
      <w:r>
        <w:rPr>
          <w:rFonts w:hint="eastAsia"/>
        </w:rPr>
        <w:t>第四部分 附件</w:t>
      </w:r>
      <w:bookmarkEnd w:id="71"/>
      <w:bookmarkEnd w:id="73"/>
    </w:p>
    <w:p w14:paraId="2159A206">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30176B9E">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0E76E8EC">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27D46DEE">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48D19B71">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36D31A37">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73655145">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5D14935E">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00D2AA2A">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6A7A27CD">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r>
        <w:rPr>
          <w:rFonts w:hint="eastAsia"/>
          <w:color w:val="auto"/>
          <w:highlight w:val="none"/>
          <w:lang w:val="zh-CN"/>
        </w:rPr>
        <w:drawing>
          <wp:anchor distT="0" distB="0" distL="114300" distR="114300" simplePos="0" relativeHeight="251665408" behindDoc="1" locked="0" layoutInCell="1" allowOverlap="1">
            <wp:simplePos x="0" y="0"/>
            <wp:positionH relativeFrom="column">
              <wp:posOffset>114300</wp:posOffset>
            </wp:positionH>
            <wp:positionV relativeFrom="paragraph">
              <wp:posOffset>41275</wp:posOffset>
            </wp:positionV>
            <wp:extent cx="5265420" cy="4067810"/>
            <wp:effectExtent l="0" t="0" r="11430" b="8890"/>
            <wp:wrapNone/>
            <wp:docPr id="9" name="图片 9" descr="{5679e71e-1088-4b8c-83fb-129df1430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679e71e-1088-4b8c-83fb-129df1430898}"/>
                    <pic:cNvPicPr>
                      <a:picLocks noChangeAspect="1"/>
                    </pic:cNvPicPr>
                  </pic:nvPicPr>
                  <pic:blipFill>
                    <a:blip r:embed="rId15"/>
                    <a:stretch>
                      <a:fillRect/>
                    </a:stretch>
                  </pic:blipFill>
                  <pic:spPr>
                    <a:xfrm>
                      <a:off x="0" y="0"/>
                      <a:ext cx="5265420" cy="4067810"/>
                    </a:xfrm>
                    <a:prstGeom prst="rect">
                      <a:avLst/>
                    </a:prstGeom>
                  </pic:spPr>
                </pic:pic>
              </a:graphicData>
            </a:graphic>
          </wp:anchor>
        </w:drawing>
      </w:r>
    </w:p>
    <w:p w14:paraId="709EB558">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63885787">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428778F9">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3DF30726">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67C567FA">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673928C7">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4FE4B6F2">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25C24668">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080E8020">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138B7F42">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r>
        <w:rPr>
          <w:rFonts w:hint="eastAsia"/>
          <w:color w:val="auto"/>
          <w:highlight w:val="none"/>
          <w:lang w:val="zh-CN"/>
        </w:rPr>
        <w:drawing>
          <wp:anchor distT="0" distB="0" distL="114300" distR="114300" simplePos="0" relativeHeight="251667456" behindDoc="1" locked="0" layoutInCell="1" allowOverlap="1">
            <wp:simplePos x="0" y="0"/>
            <wp:positionH relativeFrom="column">
              <wp:posOffset>-9525</wp:posOffset>
            </wp:positionH>
            <wp:positionV relativeFrom="paragraph">
              <wp:posOffset>149225</wp:posOffset>
            </wp:positionV>
            <wp:extent cx="5269865" cy="3764915"/>
            <wp:effectExtent l="0" t="0" r="6985" b="6985"/>
            <wp:wrapNone/>
            <wp:docPr id="12" name="图片 12" descr="{116857eb-7f3a-4dea-bd53-ac8a0bad4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16857eb-7f3a-4dea-bd53-ac8a0bad4044}"/>
                    <pic:cNvPicPr>
                      <a:picLocks noChangeAspect="1"/>
                    </pic:cNvPicPr>
                  </pic:nvPicPr>
                  <pic:blipFill>
                    <a:blip r:embed="rId16"/>
                    <a:stretch>
                      <a:fillRect/>
                    </a:stretch>
                  </pic:blipFill>
                  <pic:spPr>
                    <a:xfrm>
                      <a:off x="0" y="0"/>
                      <a:ext cx="5269865" cy="3764915"/>
                    </a:xfrm>
                    <a:prstGeom prst="rect">
                      <a:avLst/>
                    </a:prstGeom>
                  </pic:spPr>
                </pic:pic>
              </a:graphicData>
            </a:graphic>
          </wp:anchor>
        </w:drawing>
      </w:r>
    </w:p>
    <w:p w14:paraId="7DBE839D">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160F0033">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2D87A79D">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3C173CD7">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4C67E05D">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18F136D9">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69B6259E">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039A485C">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3E56B125">
      <w:pPr>
        <w:pStyle w:val="9"/>
        <w:keepNext w:val="0"/>
        <w:keepLines w:val="0"/>
        <w:pageBreakBefore w:val="0"/>
        <w:kinsoku/>
        <w:wordWrap/>
        <w:overflowPunct/>
        <w:topLinePunct w:val="0"/>
        <w:autoSpaceDE/>
        <w:autoSpaceDN/>
        <w:bidi w:val="0"/>
        <w:spacing w:line="560" w:lineRule="exact"/>
        <w:ind w:firstLine="880" w:firstLineChars="200"/>
        <w:textAlignment w:val="auto"/>
        <w:rPr>
          <w:rFonts w:hint="eastAsia"/>
          <w:color w:val="auto"/>
          <w:highlight w:val="none"/>
          <w:lang w:val="zh-CN"/>
        </w:rPr>
      </w:pPr>
      <w:r>
        <w:rPr>
          <w:rStyle w:val="30"/>
          <w:rFonts w:hint="eastAsia" w:ascii="黑体" w:hAnsi="黑体" w:eastAsia="黑体"/>
          <w:b w:val="0"/>
          <w:color w:val="auto"/>
          <w:highlight w:val="none"/>
          <w:lang w:eastAsia="zh-CN"/>
        </w:rPr>
        <w:drawing>
          <wp:anchor distT="0" distB="0" distL="114300" distR="114300" simplePos="0" relativeHeight="251668480" behindDoc="1" locked="0" layoutInCell="1" allowOverlap="1">
            <wp:simplePos x="0" y="0"/>
            <wp:positionH relativeFrom="column">
              <wp:posOffset>-12700</wp:posOffset>
            </wp:positionH>
            <wp:positionV relativeFrom="paragraph">
              <wp:posOffset>233045</wp:posOffset>
            </wp:positionV>
            <wp:extent cx="5269865" cy="3748405"/>
            <wp:effectExtent l="0" t="0" r="6985" b="4445"/>
            <wp:wrapNone/>
            <wp:docPr id="15" name="图片 15" descr="{ce1e0fa1-4d03-401b-9258-8767bf20ba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e1e0fa1-4d03-401b-9258-8767bf20ba7d}"/>
                    <pic:cNvPicPr>
                      <a:picLocks noChangeAspect="1"/>
                    </pic:cNvPicPr>
                  </pic:nvPicPr>
                  <pic:blipFill>
                    <a:blip r:embed="rId17"/>
                    <a:stretch>
                      <a:fillRect/>
                    </a:stretch>
                  </pic:blipFill>
                  <pic:spPr>
                    <a:xfrm>
                      <a:off x="0" y="0"/>
                      <a:ext cx="5269865" cy="3748405"/>
                    </a:xfrm>
                    <a:prstGeom prst="rect">
                      <a:avLst/>
                    </a:prstGeom>
                  </pic:spPr>
                </pic:pic>
              </a:graphicData>
            </a:graphic>
          </wp:anchor>
        </w:drawing>
      </w:r>
    </w:p>
    <w:p w14:paraId="670F45E4">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4D376D18">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08A09C3D">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7007E55A">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5A0F9D29">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68B6327D">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78C1E063">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06EB7401">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5042AFBC">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428408A1">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7FD1603A">
      <w:pPr>
        <w:pStyle w:val="9"/>
        <w:keepNext w:val="0"/>
        <w:keepLines w:val="0"/>
        <w:pageBreakBefore w:val="0"/>
        <w:kinsoku/>
        <w:wordWrap/>
        <w:overflowPunct/>
        <w:topLinePunct w:val="0"/>
        <w:autoSpaceDE/>
        <w:autoSpaceDN/>
        <w:bidi w:val="0"/>
        <w:spacing w:line="560" w:lineRule="exact"/>
        <w:ind w:firstLine="600" w:firstLineChars="200"/>
        <w:textAlignment w:val="auto"/>
        <w:rPr>
          <w:rFonts w:hint="eastAsia"/>
          <w:color w:val="auto"/>
          <w:highlight w:val="none"/>
          <w:lang w:val="zh-CN"/>
        </w:rPr>
      </w:pPr>
    </w:p>
    <w:p w14:paraId="67152945">
      <w:pPr>
        <w:pStyle w:val="9"/>
        <w:keepNext w:val="0"/>
        <w:keepLines w:val="0"/>
        <w:pageBreakBefore w:val="0"/>
        <w:kinsoku/>
        <w:wordWrap/>
        <w:overflowPunct/>
        <w:topLinePunct w:val="0"/>
        <w:autoSpaceDE/>
        <w:autoSpaceDN/>
        <w:bidi w:val="0"/>
        <w:spacing w:line="560" w:lineRule="exact"/>
        <w:ind w:firstLine="880" w:firstLineChars="200"/>
        <w:textAlignment w:val="auto"/>
        <w:rPr>
          <w:rFonts w:hint="eastAsia"/>
          <w:color w:val="auto"/>
          <w:highlight w:val="none"/>
          <w:lang w:val="zh-CN"/>
        </w:rPr>
      </w:pPr>
      <w:r>
        <w:rPr>
          <w:rStyle w:val="30"/>
          <w:rFonts w:hint="eastAsia" w:ascii="黑体" w:hAnsi="黑体" w:eastAsia="黑体"/>
          <w:b w:val="0"/>
          <w:color w:val="auto"/>
          <w:highlight w:val="none"/>
          <w:lang w:eastAsia="zh-CN"/>
        </w:rPr>
        <w:drawing>
          <wp:anchor distT="0" distB="0" distL="114300" distR="114300" simplePos="0" relativeHeight="251669504" behindDoc="1" locked="0" layoutInCell="1" allowOverlap="1">
            <wp:simplePos x="0" y="0"/>
            <wp:positionH relativeFrom="column">
              <wp:posOffset>-3175</wp:posOffset>
            </wp:positionH>
            <wp:positionV relativeFrom="paragraph">
              <wp:posOffset>175260</wp:posOffset>
            </wp:positionV>
            <wp:extent cx="5266690" cy="3991610"/>
            <wp:effectExtent l="0" t="0" r="10160" b="8890"/>
            <wp:wrapNone/>
            <wp:docPr id="17" name="图片 17" descr="{b002a436-982c-48d3-9a84-d051559ed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b002a436-982c-48d3-9a84-d051559ed771}"/>
                    <pic:cNvPicPr>
                      <a:picLocks noChangeAspect="1"/>
                    </pic:cNvPicPr>
                  </pic:nvPicPr>
                  <pic:blipFill>
                    <a:blip r:embed="rId18"/>
                    <a:stretch>
                      <a:fillRect/>
                    </a:stretch>
                  </pic:blipFill>
                  <pic:spPr>
                    <a:xfrm>
                      <a:off x="0" y="0"/>
                      <a:ext cx="5266690" cy="3991610"/>
                    </a:xfrm>
                    <a:prstGeom prst="rect">
                      <a:avLst/>
                    </a:prstGeom>
                  </pic:spPr>
                </pic:pic>
              </a:graphicData>
            </a:graphic>
          </wp:anchor>
        </w:drawing>
      </w:r>
    </w:p>
    <w:p w14:paraId="5D9D3BFD">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bookmarkStart w:id="74" w:name="_Toc11522"/>
      <w:bookmarkStart w:id="75" w:name="_Toc15396618"/>
    </w:p>
    <w:p w14:paraId="7DD7F411">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3F20EBCF">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1F777E52">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0A006185">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21BEA4D4">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22867DA0">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67E577BF">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27A67D81">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40FA38E0">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r>
        <w:rPr>
          <w:rStyle w:val="30"/>
          <w:rFonts w:hint="eastAsia" w:ascii="黑体" w:hAnsi="黑体" w:eastAsia="黑体"/>
          <w:b w:val="0"/>
          <w:color w:val="auto"/>
          <w:highlight w:val="none"/>
          <w:lang w:eastAsia="zh-CN"/>
        </w:rPr>
        <w:drawing>
          <wp:anchor distT="0" distB="0" distL="114300" distR="114300" simplePos="0" relativeHeight="251670528" behindDoc="1" locked="0" layoutInCell="1" allowOverlap="1">
            <wp:simplePos x="0" y="0"/>
            <wp:positionH relativeFrom="column">
              <wp:posOffset>-12700</wp:posOffset>
            </wp:positionH>
            <wp:positionV relativeFrom="paragraph">
              <wp:posOffset>374015</wp:posOffset>
            </wp:positionV>
            <wp:extent cx="5268595" cy="3729990"/>
            <wp:effectExtent l="0" t="0" r="8255" b="3810"/>
            <wp:wrapNone/>
            <wp:docPr id="18" name="图片 18" descr="{5903c69c-d3df-4804-aef4-ae266bbecf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5903c69c-d3df-4804-aef4-ae266bbecfa0}"/>
                    <pic:cNvPicPr>
                      <a:picLocks noChangeAspect="1"/>
                    </pic:cNvPicPr>
                  </pic:nvPicPr>
                  <pic:blipFill>
                    <a:blip r:embed="rId19"/>
                    <a:stretch>
                      <a:fillRect/>
                    </a:stretch>
                  </pic:blipFill>
                  <pic:spPr>
                    <a:xfrm>
                      <a:off x="0" y="0"/>
                      <a:ext cx="5268595" cy="3729990"/>
                    </a:xfrm>
                    <a:prstGeom prst="rect">
                      <a:avLst/>
                    </a:prstGeom>
                  </pic:spPr>
                </pic:pic>
              </a:graphicData>
            </a:graphic>
          </wp:anchor>
        </w:drawing>
      </w:r>
    </w:p>
    <w:p w14:paraId="7CA78EC7">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478C885C">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394ED205">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445E6341">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25CB9249">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5588645C">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66A0F867">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31AC6D81">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310CA5A0">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13502506">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7EB03054">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216E5BBA">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2C2B334A">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r>
        <w:rPr>
          <w:rStyle w:val="30"/>
          <w:rFonts w:hint="eastAsia" w:ascii="黑体" w:hAnsi="黑体" w:eastAsia="黑体"/>
          <w:b w:val="0"/>
          <w:color w:val="auto"/>
          <w:highlight w:val="none"/>
          <w:lang w:eastAsia="zh-CN"/>
        </w:rPr>
        <w:drawing>
          <wp:anchor distT="0" distB="0" distL="114300" distR="114300" simplePos="0" relativeHeight="251671552" behindDoc="1" locked="0" layoutInCell="1" allowOverlap="1">
            <wp:simplePos x="0" y="0"/>
            <wp:positionH relativeFrom="column">
              <wp:posOffset>34925</wp:posOffset>
            </wp:positionH>
            <wp:positionV relativeFrom="paragraph">
              <wp:posOffset>184785</wp:posOffset>
            </wp:positionV>
            <wp:extent cx="5271770" cy="3974465"/>
            <wp:effectExtent l="0" t="0" r="5080" b="6985"/>
            <wp:wrapNone/>
            <wp:docPr id="19" name="图片 19" descr="{12776772-1b59-4d2d-a251-620612c654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2776772-1b59-4d2d-a251-620612c6540c}"/>
                    <pic:cNvPicPr>
                      <a:picLocks noChangeAspect="1"/>
                    </pic:cNvPicPr>
                  </pic:nvPicPr>
                  <pic:blipFill>
                    <a:blip r:embed="rId20"/>
                    <a:stretch>
                      <a:fillRect/>
                    </a:stretch>
                  </pic:blipFill>
                  <pic:spPr>
                    <a:xfrm>
                      <a:off x="0" y="0"/>
                      <a:ext cx="5271770" cy="3974465"/>
                    </a:xfrm>
                    <a:prstGeom prst="rect">
                      <a:avLst/>
                    </a:prstGeom>
                  </pic:spPr>
                </pic:pic>
              </a:graphicData>
            </a:graphic>
          </wp:anchor>
        </w:drawing>
      </w:r>
    </w:p>
    <w:p w14:paraId="61C4B68B">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53273AEE">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6EA0DAB3">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7B13DFBA">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704A642B">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25928A72">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61DFA863">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55212CB3">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1D355AF8">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1B56E846">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r>
        <w:rPr>
          <w:rStyle w:val="30"/>
          <w:rFonts w:hint="eastAsia" w:ascii="黑体" w:hAnsi="黑体" w:eastAsia="黑体"/>
          <w:b w:val="0"/>
          <w:color w:val="auto"/>
          <w:highlight w:val="none"/>
          <w:lang w:eastAsia="zh-CN"/>
        </w:rPr>
        <w:drawing>
          <wp:anchor distT="0" distB="0" distL="114300" distR="114300" simplePos="0" relativeHeight="251672576" behindDoc="1" locked="0" layoutInCell="1" allowOverlap="1">
            <wp:simplePos x="0" y="0"/>
            <wp:positionH relativeFrom="column">
              <wp:posOffset>15875</wp:posOffset>
            </wp:positionH>
            <wp:positionV relativeFrom="paragraph">
              <wp:posOffset>318135</wp:posOffset>
            </wp:positionV>
            <wp:extent cx="5269865" cy="4081780"/>
            <wp:effectExtent l="0" t="0" r="6985" b="13970"/>
            <wp:wrapNone/>
            <wp:docPr id="20" name="图片 20" descr="{cd42d53f-6ed0-4732-9920-bc0b57a222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d42d53f-6ed0-4732-9920-bc0b57a2225d}"/>
                    <pic:cNvPicPr>
                      <a:picLocks noChangeAspect="1"/>
                    </pic:cNvPicPr>
                  </pic:nvPicPr>
                  <pic:blipFill>
                    <a:blip r:embed="rId21"/>
                    <a:stretch>
                      <a:fillRect/>
                    </a:stretch>
                  </pic:blipFill>
                  <pic:spPr>
                    <a:xfrm>
                      <a:off x="0" y="0"/>
                      <a:ext cx="5269865" cy="4081780"/>
                    </a:xfrm>
                    <a:prstGeom prst="rect">
                      <a:avLst/>
                    </a:prstGeom>
                  </pic:spPr>
                </pic:pic>
              </a:graphicData>
            </a:graphic>
          </wp:anchor>
        </w:drawing>
      </w:r>
    </w:p>
    <w:p w14:paraId="17BF1F82">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6F29B563">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66BF2308">
      <w:pPr>
        <w:pStyle w:val="2"/>
        <w:rPr>
          <w:rStyle w:val="30"/>
          <w:rFonts w:hint="eastAsia" w:ascii="黑体" w:hAnsi="黑体" w:eastAsia="黑体"/>
          <w:b w:val="0"/>
          <w:color w:val="auto"/>
          <w:highlight w:val="none"/>
          <w:lang w:eastAsia="zh-CN"/>
        </w:rPr>
      </w:pPr>
    </w:p>
    <w:p w14:paraId="104CA3C0">
      <w:pPr>
        <w:pStyle w:val="3"/>
        <w:rPr>
          <w:rStyle w:val="30"/>
          <w:rFonts w:hint="eastAsia" w:ascii="黑体" w:hAnsi="黑体" w:eastAsia="黑体"/>
          <w:b w:val="0"/>
          <w:color w:val="auto"/>
          <w:highlight w:val="none"/>
          <w:lang w:eastAsia="zh-CN"/>
        </w:rPr>
      </w:pPr>
    </w:p>
    <w:p w14:paraId="5C37B2F5">
      <w:pPr>
        <w:pStyle w:val="3"/>
        <w:rPr>
          <w:rStyle w:val="30"/>
          <w:rFonts w:hint="eastAsia" w:ascii="黑体" w:hAnsi="黑体" w:eastAsia="黑体"/>
          <w:b w:val="0"/>
          <w:color w:val="auto"/>
          <w:highlight w:val="none"/>
          <w:lang w:eastAsia="zh-CN"/>
        </w:rPr>
      </w:pPr>
    </w:p>
    <w:p w14:paraId="32110E96">
      <w:pPr>
        <w:pStyle w:val="3"/>
        <w:rPr>
          <w:rStyle w:val="30"/>
          <w:rFonts w:hint="eastAsia" w:ascii="黑体" w:hAnsi="黑体" w:eastAsia="黑体"/>
          <w:b w:val="0"/>
          <w:color w:val="auto"/>
          <w:highlight w:val="none"/>
          <w:lang w:eastAsia="zh-CN"/>
        </w:rPr>
      </w:pPr>
    </w:p>
    <w:p w14:paraId="00BDFDFA">
      <w:pPr>
        <w:pStyle w:val="3"/>
        <w:rPr>
          <w:rStyle w:val="30"/>
          <w:rFonts w:hint="eastAsia" w:ascii="黑体" w:hAnsi="黑体" w:eastAsia="黑体"/>
          <w:b w:val="0"/>
          <w:color w:val="auto"/>
          <w:highlight w:val="none"/>
          <w:lang w:eastAsia="zh-CN"/>
        </w:rPr>
      </w:pPr>
    </w:p>
    <w:p w14:paraId="145A36D1">
      <w:pPr>
        <w:pStyle w:val="3"/>
        <w:rPr>
          <w:rStyle w:val="30"/>
          <w:rFonts w:hint="eastAsia" w:ascii="黑体" w:hAnsi="黑体" w:eastAsia="黑体"/>
          <w:b w:val="0"/>
          <w:color w:val="auto"/>
          <w:highlight w:val="none"/>
          <w:lang w:eastAsia="zh-CN"/>
        </w:rPr>
      </w:pPr>
    </w:p>
    <w:p w14:paraId="078A0FE5">
      <w:pPr>
        <w:pStyle w:val="3"/>
        <w:rPr>
          <w:rStyle w:val="30"/>
          <w:rFonts w:hint="eastAsia" w:ascii="黑体" w:hAnsi="黑体" w:eastAsia="黑体"/>
          <w:b w:val="0"/>
          <w:color w:val="auto"/>
          <w:highlight w:val="none"/>
          <w:lang w:eastAsia="zh-CN"/>
        </w:rPr>
      </w:pPr>
    </w:p>
    <w:p w14:paraId="20849E95">
      <w:pPr>
        <w:pStyle w:val="3"/>
        <w:rPr>
          <w:rStyle w:val="30"/>
          <w:rFonts w:hint="eastAsia" w:ascii="黑体" w:hAnsi="黑体" w:eastAsia="黑体"/>
          <w:b w:val="0"/>
          <w:color w:val="auto"/>
          <w:highlight w:val="none"/>
          <w:lang w:eastAsia="zh-CN"/>
        </w:rPr>
      </w:pPr>
    </w:p>
    <w:p w14:paraId="6E6C955B">
      <w:pPr>
        <w:pStyle w:val="3"/>
        <w:rPr>
          <w:rStyle w:val="30"/>
          <w:rFonts w:hint="eastAsia" w:ascii="黑体" w:hAnsi="黑体" w:eastAsia="黑体"/>
          <w:b w:val="0"/>
          <w:color w:val="auto"/>
          <w:highlight w:val="none"/>
          <w:lang w:eastAsia="zh-CN"/>
        </w:rPr>
      </w:pPr>
    </w:p>
    <w:p w14:paraId="2EABF018">
      <w:pPr>
        <w:pStyle w:val="3"/>
        <w:rPr>
          <w:rStyle w:val="30"/>
          <w:rFonts w:hint="eastAsia" w:ascii="黑体" w:hAnsi="黑体" w:eastAsia="黑体"/>
          <w:b w:val="0"/>
          <w:color w:val="auto"/>
          <w:highlight w:val="none"/>
          <w:lang w:eastAsia="zh-CN"/>
        </w:rPr>
      </w:pPr>
      <w:r>
        <w:rPr>
          <w:rStyle w:val="30"/>
          <w:rFonts w:hint="eastAsia" w:ascii="黑体" w:hAnsi="黑体" w:eastAsia="黑体"/>
          <w:b w:val="0"/>
          <w:color w:val="auto"/>
          <w:highlight w:val="none"/>
          <w:lang w:eastAsia="zh-CN"/>
        </w:rPr>
        <w:drawing>
          <wp:anchor distT="0" distB="0" distL="114300" distR="114300" simplePos="0" relativeHeight="251673600" behindDoc="1" locked="0" layoutInCell="1" allowOverlap="1">
            <wp:simplePos x="0" y="0"/>
            <wp:positionH relativeFrom="column">
              <wp:posOffset>15875</wp:posOffset>
            </wp:positionH>
            <wp:positionV relativeFrom="paragraph">
              <wp:posOffset>47625</wp:posOffset>
            </wp:positionV>
            <wp:extent cx="5273040" cy="3882390"/>
            <wp:effectExtent l="0" t="0" r="3810" b="3810"/>
            <wp:wrapNone/>
            <wp:docPr id="21" name="图片 21" descr="{baca5679-95b2-479c-a521-429321aaf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baca5679-95b2-479c-a521-429321aaf6a0}"/>
                    <pic:cNvPicPr>
                      <a:picLocks noChangeAspect="1"/>
                    </pic:cNvPicPr>
                  </pic:nvPicPr>
                  <pic:blipFill>
                    <a:blip r:embed="rId22"/>
                    <a:stretch>
                      <a:fillRect/>
                    </a:stretch>
                  </pic:blipFill>
                  <pic:spPr>
                    <a:xfrm>
                      <a:off x="0" y="0"/>
                      <a:ext cx="5273040" cy="3882390"/>
                    </a:xfrm>
                    <a:prstGeom prst="rect">
                      <a:avLst/>
                    </a:prstGeom>
                  </pic:spPr>
                </pic:pic>
              </a:graphicData>
            </a:graphic>
          </wp:anchor>
        </w:drawing>
      </w:r>
    </w:p>
    <w:p w14:paraId="7262D208">
      <w:pPr>
        <w:pStyle w:val="3"/>
        <w:rPr>
          <w:rStyle w:val="30"/>
          <w:rFonts w:hint="eastAsia" w:ascii="黑体" w:hAnsi="黑体" w:eastAsia="黑体"/>
          <w:b w:val="0"/>
          <w:color w:val="auto"/>
          <w:highlight w:val="none"/>
          <w:lang w:eastAsia="zh-CN"/>
        </w:rPr>
      </w:pPr>
    </w:p>
    <w:p w14:paraId="46D85B7F">
      <w:pPr>
        <w:pStyle w:val="3"/>
        <w:rPr>
          <w:rStyle w:val="30"/>
          <w:rFonts w:hint="eastAsia" w:ascii="黑体" w:hAnsi="黑体" w:eastAsia="黑体"/>
          <w:b w:val="0"/>
          <w:color w:val="auto"/>
          <w:highlight w:val="none"/>
          <w:lang w:eastAsia="zh-CN"/>
        </w:rPr>
      </w:pPr>
    </w:p>
    <w:p w14:paraId="69E9CAA1">
      <w:pPr>
        <w:pStyle w:val="3"/>
        <w:rPr>
          <w:rStyle w:val="30"/>
          <w:rFonts w:hint="eastAsia" w:ascii="黑体" w:hAnsi="黑体" w:eastAsia="黑体"/>
          <w:b w:val="0"/>
          <w:color w:val="auto"/>
          <w:highlight w:val="none"/>
          <w:lang w:eastAsia="zh-CN"/>
        </w:rPr>
      </w:pPr>
    </w:p>
    <w:p w14:paraId="76FAB010">
      <w:pPr>
        <w:pStyle w:val="3"/>
        <w:rPr>
          <w:rStyle w:val="30"/>
          <w:rFonts w:hint="eastAsia" w:ascii="黑体" w:hAnsi="黑体" w:eastAsia="黑体"/>
          <w:b w:val="0"/>
          <w:color w:val="auto"/>
          <w:highlight w:val="none"/>
          <w:lang w:eastAsia="zh-CN"/>
        </w:rPr>
      </w:pPr>
    </w:p>
    <w:p w14:paraId="17280D92">
      <w:pPr>
        <w:pStyle w:val="3"/>
        <w:rPr>
          <w:rStyle w:val="30"/>
          <w:rFonts w:hint="eastAsia" w:ascii="黑体" w:hAnsi="黑体" w:eastAsia="黑体"/>
          <w:b w:val="0"/>
          <w:color w:val="auto"/>
          <w:highlight w:val="none"/>
          <w:lang w:eastAsia="zh-CN"/>
        </w:rPr>
      </w:pPr>
    </w:p>
    <w:p w14:paraId="3FED9D01">
      <w:pPr>
        <w:pStyle w:val="3"/>
        <w:rPr>
          <w:rStyle w:val="30"/>
          <w:rFonts w:hint="eastAsia" w:ascii="黑体" w:hAnsi="黑体" w:eastAsia="黑体"/>
          <w:b w:val="0"/>
          <w:color w:val="auto"/>
          <w:highlight w:val="none"/>
          <w:lang w:eastAsia="zh-CN"/>
        </w:rPr>
      </w:pPr>
    </w:p>
    <w:p w14:paraId="50419BD7">
      <w:pPr>
        <w:pStyle w:val="3"/>
        <w:rPr>
          <w:rStyle w:val="30"/>
          <w:rFonts w:hint="eastAsia" w:ascii="黑体" w:hAnsi="黑体" w:eastAsia="黑体"/>
          <w:b w:val="0"/>
          <w:color w:val="auto"/>
          <w:highlight w:val="none"/>
          <w:lang w:eastAsia="zh-CN"/>
        </w:rPr>
      </w:pPr>
    </w:p>
    <w:p w14:paraId="24E54534">
      <w:pPr>
        <w:pStyle w:val="3"/>
        <w:rPr>
          <w:rStyle w:val="30"/>
          <w:rFonts w:hint="eastAsia" w:ascii="黑体" w:hAnsi="黑体" w:eastAsia="黑体"/>
          <w:b w:val="0"/>
          <w:color w:val="auto"/>
          <w:highlight w:val="none"/>
          <w:lang w:eastAsia="zh-CN"/>
        </w:rPr>
      </w:pPr>
    </w:p>
    <w:p w14:paraId="666EE7A7">
      <w:pPr>
        <w:pStyle w:val="3"/>
        <w:rPr>
          <w:rStyle w:val="30"/>
          <w:rFonts w:hint="eastAsia" w:ascii="黑体" w:hAnsi="黑体" w:eastAsia="黑体"/>
          <w:b w:val="0"/>
          <w:color w:val="auto"/>
          <w:highlight w:val="none"/>
          <w:lang w:eastAsia="zh-CN"/>
        </w:rPr>
      </w:pPr>
    </w:p>
    <w:p w14:paraId="342228A3">
      <w:pPr>
        <w:pStyle w:val="3"/>
        <w:rPr>
          <w:rStyle w:val="30"/>
          <w:rFonts w:hint="eastAsia" w:ascii="黑体" w:hAnsi="黑体" w:eastAsia="黑体"/>
          <w:b w:val="0"/>
          <w:color w:val="auto"/>
          <w:highlight w:val="none"/>
          <w:lang w:eastAsia="zh-CN"/>
        </w:rPr>
      </w:pPr>
    </w:p>
    <w:p w14:paraId="153F75BD">
      <w:pPr>
        <w:pStyle w:val="3"/>
        <w:rPr>
          <w:rStyle w:val="30"/>
          <w:rFonts w:hint="eastAsia" w:ascii="黑体" w:hAnsi="黑体" w:eastAsia="黑体"/>
          <w:b w:val="0"/>
          <w:color w:val="auto"/>
          <w:highlight w:val="none"/>
          <w:lang w:eastAsia="zh-CN"/>
        </w:rPr>
      </w:pPr>
    </w:p>
    <w:p w14:paraId="62E3652E">
      <w:pPr>
        <w:pStyle w:val="3"/>
        <w:rPr>
          <w:rStyle w:val="30"/>
          <w:rFonts w:hint="eastAsia" w:ascii="黑体" w:hAnsi="黑体" w:eastAsia="黑体"/>
          <w:b w:val="0"/>
          <w:color w:val="auto"/>
          <w:highlight w:val="none"/>
          <w:lang w:eastAsia="zh-CN"/>
        </w:rPr>
      </w:pPr>
    </w:p>
    <w:p w14:paraId="1840F7B6">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381D0180">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4F34CA8C">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60251764">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4CC22119">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61D8EC8E">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6ABC3EE3">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464AFA1F">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12546616">
      <w:pPr>
        <w:numPr>
          <w:ilvl w:val="0"/>
          <w:numId w:val="0"/>
        </w:numPr>
        <w:spacing w:line="600" w:lineRule="exact"/>
        <w:ind w:leftChars="0"/>
        <w:jc w:val="center"/>
        <w:outlineLvl w:val="0"/>
        <w:rPr>
          <w:rStyle w:val="30"/>
          <w:rFonts w:hint="eastAsia" w:ascii="黑体" w:hAnsi="黑体" w:eastAsia="黑体"/>
          <w:b w:val="0"/>
          <w:color w:val="auto"/>
          <w:highlight w:val="none"/>
          <w:lang w:eastAsia="zh-CN"/>
        </w:rPr>
      </w:pPr>
    </w:p>
    <w:p w14:paraId="2E73CCCB">
      <w:pPr>
        <w:numPr>
          <w:ilvl w:val="0"/>
          <w:numId w:val="0"/>
        </w:numPr>
        <w:spacing w:line="600" w:lineRule="exact"/>
        <w:ind w:leftChars="0"/>
        <w:jc w:val="center"/>
        <w:outlineLvl w:val="0"/>
        <w:rPr>
          <w:rFonts w:hint="eastAsia" w:ascii="方正小标宋简体" w:hAnsi="方正小标宋简体" w:eastAsia="方正小标宋简体" w:cs="方正小标宋简体"/>
        </w:rPr>
      </w:pPr>
      <w:r>
        <w:rPr>
          <w:rStyle w:val="30"/>
          <w:rFonts w:hint="eastAsia" w:ascii="方正小标宋简体" w:hAnsi="方正小标宋简体" w:eastAsia="方正小标宋简体" w:cs="方正小标宋简体"/>
          <w:b w:val="0"/>
          <w:color w:val="auto"/>
          <w:highlight w:val="none"/>
          <w:lang w:eastAsia="zh-CN"/>
        </w:rPr>
        <w:t>第五部分</w:t>
      </w:r>
      <w:r>
        <w:rPr>
          <w:rStyle w:val="30"/>
          <w:rFonts w:hint="eastAsia" w:ascii="方正小标宋简体" w:hAnsi="方正小标宋简体" w:eastAsia="方正小标宋简体" w:cs="方正小标宋简体"/>
          <w:b w:val="0"/>
          <w:color w:val="auto"/>
          <w:highlight w:val="none"/>
          <w:lang w:val="en-US" w:eastAsia="zh-CN"/>
        </w:rPr>
        <w:t xml:space="preserve">  </w:t>
      </w:r>
      <w:r>
        <w:rPr>
          <w:rStyle w:val="30"/>
          <w:rFonts w:hint="eastAsia" w:ascii="方正小标宋简体" w:hAnsi="方正小标宋简体" w:eastAsia="方正小标宋简体" w:cs="方正小标宋简体"/>
          <w:b w:val="0"/>
          <w:color w:val="auto"/>
          <w:highlight w:val="none"/>
        </w:rPr>
        <w:t>附表</w:t>
      </w:r>
      <w:bookmarkEnd w:id="72"/>
      <w:bookmarkEnd w:id="74"/>
      <w:bookmarkEnd w:id="75"/>
      <w:bookmarkStart w:id="76" w:name="_Toc15396619"/>
      <w:bookmarkStart w:id="77" w:name="_Toc25468"/>
    </w:p>
    <w:p w14:paraId="79D88BD3">
      <w:pPr>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0"/>
        <w:rPr>
          <w:rFonts w:hint="eastAsia"/>
          <w:b/>
          <w:bCs/>
          <w:sz w:val="32"/>
          <w:szCs w:val="32"/>
        </w:rPr>
      </w:pPr>
    </w:p>
    <w:bookmarkEnd w:id="76"/>
    <w:bookmarkEnd w:id="77"/>
    <w:p w14:paraId="1419A75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8" w:name="_Toc15396624"/>
      <w:bookmarkStart w:id="79" w:name="_Toc13090"/>
      <w:r>
        <w:rPr>
          <w:rFonts w:hint="eastAsia" w:ascii="Times New Roman" w:hAnsi="Times New Roman" w:eastAsia="仿宋_GB2312" w:cs="仿宋_GB2312"/>
          <w:color w:val="auto"/>
          <w:sz w:val="32"/>
          <w:szCs w:val="32"/>
          <w:highlight w:val="none"/>
        </w:rPr>
        <w:t>一、收入支出决算总表</w:t>
      </w:r>
    </w:p>
    <w:p w14:paraId="718991B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1797C68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47D03D5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240BA58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18485CA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6473333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5B745B7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八、一般公共预算财政拨款基本支出决算表</w:t>
      </w:r>
    </w:p>
    <w:p w14:paraId="012F3B5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0821ACB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17E324F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5DA8E42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eastAsia="zh-CN"/>
        </w:rPr>
        <w:t>国有资本经营预算财政拨款支出决算表</w:t>
      </w:r>
    </w:p>
    <w:p w14:paraId="7F5A9AD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十三、</w:t>
      </w:r>
      <w:r>
        <w:rPr>
          <w:rFonts w:hint="eastAsia" w:ascii="Times New Roman" w:hAnsi="Times New Roman" w:eastAsia="仿宋_GB2312" w:cs="仿宋_GB2312"/>
          <w:color w:val="auto"/>
          <w:sz w:val="32"/>
          <w:szCs w:val="32"/>
          <w:highlight w:val="none"/>
          <w:lang w:eastAsia="zh-CN"/>
        </w:rPr>
        <w:t>财政拨款“三公”经费支出决算表</w:t>
      </w:r>
    </w:p>
    <w:p w14:paraId="645DFD98">
      <w:pPr>
        <w:rPr>
          <w:rFonts w:hint="eastAsia" w:ascii="Times New Roman" w:hAnsi="Times New Roman"/>
          <w:lang w:eastAsia="zh-CN"/>
        </w:rPr>
      </w:pPr>
    </w:p>
    <w:bookmarkEnd w:id="78"/>
    <w:bookmarkEnd w:id="79"/>
    <w:p w14:paraId="32086BF5">
      <w:pPr>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eastAsia="仿宋"/>
          <w:color w:val="auto"/>
          <w:highlight w:val="none"/>
          <w:lang w:eastAsia="zh-CN"/>
        </w:rPr>
      </w:pP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27A25">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9137D">
                          <w:pPr>
                            <w:pStyle w:val="12"/>
                          </w:pPr>
                          <w:r>
                            <w:t xml:space="preserve">— </w:t>
                          </w:r>
                          <w:r>
                            <w:fldChar w:fldCharType="begin"/>
                          </w:r>
                          <w:r>
                            <w:instrText xml:space="preserve"> PAGE  \* MERGEFORMAT </w:instrText>
                          </w:r>
                          <w:r>
                            <w:fldChar w:fldCharType="separate"/>
                          </w:r>
                          <w:r>
                            <w:t>- 2 -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A9137D">
                    <w:pPr>
                      <w:pStyle w:val="12"/>
                    </w:pPr>
                    <w:r>
                      <w:t xml:space="preserve">— </w:t>
                    </w:r>
                    <w:r>
                      <w:fldChar w:fldCharType="begin"/>
                    </w:r>
                    <w:r>
                      <w:instrText xml:space="preserve"> PAGE  \* MERGEFORMAT </w:instrText>
                    </w:r>
                    <w:r>
                      <w:fldChar w:fldCharType="separate"/>
                    </w:r>
                    <w:r>
                      <w:t>- 2 -</w:t>
                    </w:r>
                    <w:r>
                      <w:fldChar w:fldCharType="end"/>
                    </w:r>
                    <w:r>
                      <w:t xml:space="preserve"> —</w:t>
                    </w:r>
                  </w:p>
                </w:txbxContent>
              </v:textbox>
            </v:shape>
          </w:pict>
        </mc:Fallback>
      </mc:AlternateContent>
    </w:r>
  </w:p>
  <w:p w14:paraId="5CB19C1C">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4E56F">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A20B4">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71A20B4">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9EB94">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ascii="方正小标宋简体" w:hAnsi="方正小标宋简体" w:eastAsia="方正小标宋简体" w:cs="方正小标宋简体"/>
        <w:b w:val="0"/>
        <w:bCs w:val="0"/>
        <w:sz w:val="44"/>
        <w:szCs w:val="44"/>
      </w:rPr>
    </w:lvl>
  </w:abstractNum>
  <w:abstractNum w:abstractNumId="1">
    <w:nsid w:val="F6303021"/>
    <w:multiLevelType w:val="singleLevel"/>
    <w:tmpl w:val="F6303021"/>
    <w:lvl w:ilvl="0" w:tentative="0">
      <w:start w:val="2"/>
      <w:numFmt w:val="chineseCounting"/>
      <w:suff w:val="space"/>
      <w:lvlText w:val="第%1部分"/>
      <w:lvlJc w:val="left"/>
      <w:rPr>
        <w:rFonts w:hint="eastAsia" w:ascii="方正小标宋简体" w:hAnsi="方正小标宋简体" w:eastAsia="方正小标宋简体" w:cs="方正小标宋简体"/>
        <w:sz w:val="44"/>
        <w:szCs w:val="4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3Y2I4YjYwZTY2YThlMzdkODkyZTQ5YmZmNjg4YT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614F"/>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780232"/>
    <w:rsid w:val="02227483"/>
    <w:rsid w:val="027D44B1"/>
    <w:rsid w:val="02CA14FE"/>
    <w:rsid w:val="032233CF"/>
    <w:rsid w:val="03782989"/>
    <w:rsid w:val="03CA720B"/>
    <w:rsid w:val="0404728D"/>
    <w:rsid w:val="066E0107"/>
    <w:rsid w:val="077E2199"/>
    <w:rsid w:val="07996F6E"/>
    <w:rsid w:val="083068A5"/>
    <w:rsid w:val="08533966"/>
    <w:rsid w:val="08605BE9"/>
    <w:rsid w:val="08886EA8"/>
    <w:rsid w:val="09AB6350"/>
    <w:rsid w:val="0A2032A3"/>
    <w:rsid w:val="0AFB3AF9"/>
    <w:rsid w:val="0BBF08B3"/>
    <w:rsid w:val="0C870A9F"/>
    <w:rsid w:val="0CAE50FC"/>
    <w:rsid w:val="0CF71EEF"/>
    <w:rsid w:val="0DBA3BE2"/>
    <w:rsid w:val="0DF341A4"/>
    <w:rsid w:val="0E3B0EDB"/>
    <w:rsid w:val="0EE86120"/>
    <w:rsid w:val="0F0830D8"/>
    <w:rsid w:val="101860EC"/>
    <w:rsid w:val="10434238"/>
    <w:rsid w:val="10C055FF"/>
    <w:rsid w:val="118107EC"/>
    <w:rsid w:val="11DF7EC4"/>
    <w:rsid w:val="1226519C"/>
    <w:rsid w:val="127C2590"/>
    <w:rsid w:val="130C32B9"/>
    <w:rsid w:val="134F7F51"/>
    <w:rsid w:val="137111AF"/>
    <w:rsid w:val="13D50BC4"/>
    <w:rsid w:val="1525101E"/>
    <w:rsid w:val="156C55BC"/>
    <w:rsid w:val="15FF36F4"/>
    <w:rsid w:val="16BB723D"/>
    <w:rsid w:val="171A459A"/>
    <w:rsid w:val="175B58E8"/>
    <w:rsid w:val="177301EB"/>
    <w:rsid w:val="17D87113"/>
    <w:rsid w:val="19FA7950"/>
    <w:rsid w:val="1A7D7856"/>
    <w:rsid w:val="1AA720D8"/>
    <w:rsid w:val="1AB118EE"/>
    <w:rsid w:val="1AFA3008"/>
    <w:rsid w:val="1BD70B66"/>
    <w:rsid w:val="1BE8440E"/>
    <w:rsid w:val="1C506572"/>
    <w:rsid w:val="1CCB7BBA"/>
    <w:rsid w:val="1D155CEE"/>
    <w:rsid w:val="1D6B43AB"/>
    <w:rsid w:val="1D966FB6"/>
    <w:rsid w:val="1EE700E8"/>
    <w:rsid w:val="1F2B3D22"/>
    <w:rsid w:val="203E386D"/>
    <w:rsid w:val="2061470B"/>
    <w:rsid w:val="210E454C"/>
    <w:rsid w:val="229E4112"/>
    <w:rsid w:val="23031329"/>
    <w:rsid w:val="233226F2"/>
    <w:rsid w:val="23860B96"/>
    <w:rsid w:val="23B14A1B"/>
    <w:rsid w:val="240371BF"/>
    <w:rsid w:val="241F2972"/>
    <w:rsid w:val="26C12FA3"/>
    <w:rsid w:val="27684462"/>
    <w:rsid w:val="278B636C"/>
    <w:rsid w:val="27FD10E1"/>
    <w:rsid w:val="29FD04D3"/>
    <w:rsid w:val="2C5A68F1"/>
    <w:rsid w:val="2C8A61B5"/>
    <w:rsid w:val="2D294976"/>
    <w:rsid w:val="2DF04E50"/>
    <w:rsid w:val="2E2620F1"/>
    <w:rsid w:val="2EEF76BE"/>
    <w:rsid w:val="303C62B0"/>
    <w:rsid w:val="304942CB"/>
    <w:rsid w:val="30556F21"/>
    <w:rsid w:val="307F52AF"/>
    <w:rsid w:val="311B6021"/>
    <w:rsid w:val="31303FF4"/>
    <w:rsid w:val="3172765E"/>
    <w:rsid w:val="319F7F4E"/>
    <w:rsid w:val="31AD54D9"/>
    <w:rsid w:val="31B62B55"/>
    <w:rsid w:val="31C35CDE"/>
    <w:rsid w:val="32C343ED"/>
    <w:rsid w:val="32ED05B2"/>
    <w:rsid w:val="34151734"/>
    <w:rsid w:val="3479669F"/>
    <w:rsid w:val="34D83558"/>
    <w:rsid w:val="35BB7C07"/>
    <w:rsid w:val="36714388"/>
    <w:rsid w:val="367D0870"/>
    <w:rsid w:val="36AA5135"/>
    <w:rsid w:val="37284E86"/>
    <w:rsid w:val="3757357E"/>
    <w:rsid w:val="37CE317A"/>
    <w:rsid w:val="37E16F03"/>
    <w:rsid w:val="37EF46E1"/>
    <w:rsid w:val="387D36CA"/>
    <w:rsid w:val="388E0C7E"/>
    <w:rsid w:val="38C5750B"/>
    <w:rsid w:val="38CA3C25"/>
    <w:rsid w:val="39716767"/>
    <w:rsid w:val="3B6E6C9F"/>
    <w:rsid w:val="3B882F3D"/>
    <w:rsid w:val="3C097B01"/>
    <w:rsid w:val="3C7676AB"/>
    <w:rsid w:val="3D98207C"/>
    <w:rsid w:val="3DA15B47"/>
    <w:rsid w:val="40072778"/>
    <w:rsid w:val="415B6BDC"/>
    <w:rsid w:val="43CE0EDD"/>
    <w:rsid w:val="443733B8"/>
    <w:rsid w:val="44E268DA"/>
    <w:rsid w:val="45040B70"/>
    <w:rsid w:val="458B7BB3"/>
    <w:rsid w:val="45E60856"/>
    <w:rsid w:val="46FF2A7C"/>
    <w:rsid w:val="476D1D47"/>
    <w:rsid w:val="48730697"/>
    <w:rsid w:val="49CA74E0"/>
    <w:rsid w:val="4A1B1869"/>
    <w:rsid w:val="4A627F82"/>
    <w:rsid w:val="4B046748"/>
    <w:rsid w:val="4B4F25DA"/>
    <w:rsid w:val="4BE068DB"/>
    <w:rsid w:val="4C005887"/>
    <w:rsid w:val="4C481197"/>
    <w:rsid w:val="4C9C5E5D"/>
    <w:rsid w:val="4D577224"/>
    <w:rsid w:val="4DD9439D"/>
    <w:rsid w:val="4DDD7F60"/>
    <w:rsid w:val="4DF734D9"/>
    <w:rsid w:val="4EAB630A"/>
    <w:rsid w:val="4ECE2238"/>
    <w:rsid w:val="4F823F77"/>
    <w:rsid w:val="4FEF72ED"/>
    <w:rsid w:val="50D10148"/>
    <w:rsid w:val="51281353"/>
    <w:rsid w:val="520B3EC2"/>
    <w:rsid w:val="52DE63FF"/>
    <w:rsid w:val="53A019B1"/>
    <w:rsid w:val="53A40E0E"/>
    <w:rsid w:val="54C64E58"/>
    <w:rsid w:val="552D196B"/>
    <w:rsid w:val="553379E0"/>
    <w:rsid w:val="55482300"/>
    <w:rsid w:val="556C4241"/>
    <w:rsid w:val="578A22AB"/>
    <w:rsid w:val="584B7BF7"/>
    <w:rsid w:val="58C57556"/>
    <w:rsid w:val="5AF92295"/>
    <w:rsid w:val="5B1913C0"/>
    <w:rsid w:val="5B4A4E49"/>
    <w:rsid w:val="5BF2528B"/>
    <w:rsid w:val="5CD71FC4"/>
    <w:rsid w:val="5D1606A7"/>
    <w:rsid w:val="5D227F56"/>
    <w:rsid w:val="5D7230A6"/>
    <w:rsid w:val="5DAD1300"/>
    <w:rsid w:val="5FEA06E5"/>
    <w:rsid w:val="60D22826"/>
    <w:rsid w:val="60DB5136"/>
    <w:rsid w:val="62D901E5"/>
    <w:rsid w:val="62EB60A0"/>
    <w:rsid w:val="62EB78DE"/>
    <w:rsid w:val="634E4E93"/>
    <w:rsid w:val="64244E7C"/>
    <w:rsid w:val="675D6DC0"/>
    <w:rsid w:val="68E27CC8"/>
    <w:rsid w:val="6B2111D2"/>
    <w:rsid w:val="6BDF764B"/>
    <w:rsid w:val="6C00036A"/>
    <w:rsid w:val="6C3A32CA"/>
    <w:rsid w:val="6C4A05C8"/>
    <w:rsid w:val="6C687D16"/>
    <w:rsid w:val="6D6E3AC8"/>
    <w:rsid w:val="6E082689"/>
    <w:rsid w:val="6E20076A"/>
    <w:rsid w:val="6E7E3605"/>
    <w:rsid w:val="6FF5CC65"/>
    <w:rsid w:val="70AF17AC"/>
    <w:rsid w:val="714C12F7"/>
    <w:rsid w:val="715C0E4B"/>
    <w:rsid w:val="717F67BB"/>
    <w:rsid w:val="72734D90"/>
    <w:rsid w:val="72CD4EB3"/>
    <w:rsid w:val="73195517"/>
    <w:rsid w:val="73912EA1"/>
    <w:rsid w:val="73AD73D5"/>
    <w:rsid w:val="73B6EB34"/>
    <w:rsid w:val="74496BF1"/>
    <w:rsid w:val="74E818C1"/>
    <w:rsid w:val="75B96926"/>
    <w:rsid w:val="75E478ED"/>
    <w:rsid w:val="76536E1B"/>
    <w:rsid w:val="76602AE8"/>
    <w:rsid w:val="777D0953"/>
    <w:rsid w:val="778C0E71"/>
    <w:rsid w:val="785D7FDD"/>
    <w:rsid w:val="79B47801"/>
    <w:rsid w:val="79D55D92"/>
    <w:rsid w:val="79EE5BA4"/>
    <w:rsid w:val="7A083C89"/>
    <w:rsid w:val="7A894339"/>
    <w:rsid w:val="7AA8721A"/>
    <w:rsid w:val="7B6773DA"/>
    <w:rsid w:val="7B87251F"/>
    <w:rsid w:val="7BAF4A6C"/>
    <w:rsid w:val="7C8B22DF"/>
    <w:rsid w:val="7E8100A4"/>
    <w:rsid w:val="7EEF11D3"/>
    <w:rsid w:val="7F975393"/>
    <w:rsid w:val="7FA30C79"/>
    <w:rsid w:val="7FC96657"/>
    <w:rsid w:val="7FD17C20"/>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unhideWhenUsed/>
    <w:qFormat/>
    <w:uiPriority w:val="99"/>
    <w:pPr>
      <w:ind w:firstLine="540"/>
    </w:pPr>
    <w:rPr>
      <w:sz w:val="30"/>
    </w:rPr>
  </w:style>
  <w:style w:type="paragraph" w:styleId="8">
    <w:name w:val="annotation text"/>
    <w:basedOn w:val="1"/>
    <w:semiHidden/>
    <w:unhideWhenUsed/>
    <w:qFormat/>
    <w:uiPriority w:val="99"/>
    <w:pPr>
      <w:jc w:val="left"/>
    </w:pPr>
  </w:style>
  <w:style w:type="paragraph" w:styleId="9">
    <w:name w:val="Body Text"/>
    <w:basedOn w:val="1"/>
    <w:link w:val="27"/>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7">
    <w:name w:val="Title"/>
    <w:basedOn w:val="1"/>
    <w:next w:val="1"/>
    <w:qFormat/>
    <w:uiPriority w:val="10"/>
    <w:pPr>
      <w:widowControl w:val="0"/>
      <w:spacing w:line="700" w:lineRule="exact"/>
      <w:jc w:val="center"/>
    </w:pPr>
    <w:rPr>
      <w:rFonts w:ascii="Times New Roman" w:hAnsi="Times New Roman" w:eastAsia="方正小标宋简体" w:cs="Times New Roman"/>
      <w:kern w:val="1"/>
      <w:sz w:val="44"/>
      <w:szCs w:val="44"/>
      <w:lang w:val="en-US" w:eastAsia="zh-CN" w:bidi="ar-SA"/>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Header Char"/>
    <w:basedOn w:val="19"/>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9"/>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9"/>
    <w:semiHidden/>
    <w:qFormat/>
    <w:uiPriority w:val="99"/>
    <w:rPr>
      <w:rFonts w:ascii="Times New Roman" w:hAnsi="Times New Roman"/>
      <w:szCs w:val="24"/>
    </w:rPr>
  </w:style>
  <w:style w:type="character" w:customStyle="1" w:styleId="27">
    <w:name w:val="正文文本 Char"/>
    <w:link w:val="9"/>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9">
    <w:name w:val="List Paragraph"/>
    <w:basedOn w:val="1"/>
    <w:qFormat/>
    <w:uiPriority w:val="34"/>
    <w:pPr>
      <w:ind w:firstLine="420" w:firstLineChars="200"/>
    </w:pPr>
  </w:style>
  <w:style w:type="character" w:customStyle="1" w:styleId="30">
    <w:name w:val="标题 1 Char"/>
    <w:basedOn w:val="19"/>
    <w:link w:val="5"/>
    <w:qFormat/>
    <w:uiPriority w:val="9"/>
    <w:rPr>
      <w:rFonts w:ascii="Times New Roman" w:hAnsi="Times New Roman"/>
      <w:b/>
      <w:bCs/>
      <w:kern w:val="44"/>
      <w:sz w:val="44"/>
      <w:szCs w:val="44"/>
    </w:rPr>
  </w:style>
  <w:style w:type="character" w:customStyle="1" w:styleId="31">
    <w:name w:val="标题 2 Char"/>
    <w:basedOn w:val="19"/>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9"/>
    <w:link w:val="11"/>
    <w:semiHidden/>
    <w:qFormat/>
    <w:uiPriority w:val="99"/>
    <w:rPr>
      <w:rFonts w:ascii="Times New Roman" w:hAnsi="Times New Roman"/>
      <w:kern w:val="2"/>
      <w:sz w:val="18"/>
      <w:szCs w:val="18"/>
    </w:rPr>
  </w:style>
  <w:style w:type="character" w:customStyle="1" w:styleId="34">
    <w:name w:val="标题 3 Char"/>
    <w:basedOn w:val="19"/>
    <w:link w:val="7"/>
    <w:qFormat/>
    <w:uiPriority w:val="9"/>
    <w:rPr>
      <w:rFonts w:ascii="Times New Roman" w:hAnsi="Times New Roman"/>
      <w:b/>
      <w:bCs/>
      <w:kern w:val="2"/>
      <w:sz w:val="32"/>
      <w:szCs w:val="32"/>
    </w:rPr>
  </w:style>
  <w:style w:type="paragraph" w:customStyle="1" w:styleId="35">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标题 2 字符"/>
    <w:link w:val="6"/>
    <w:qFormat/>
    <w:locked/>
    <w:uiPriority w:val="9"/>
    <w:rPr>
      <w:rFonts w:ascii="Cambria" w:hAnsi="Cambria" w:eastAsia="宋体" w:cs="Times New Roman"/>
      <w:b/>
      <w:bCs/>
      <w:kern w:val="2"/>
      <w:sz w:val="32"/>
      <w:szCs w:val="32"/>
    </w:rPr>
  </w:style>
  <w:style w:type="paragraph" w:customStyle="1" w:styleId="37">
    <w:name w:val="WPSOffice手动目录 1"/>
    <w:qFormat/>
    <w:uiPriority w:val="0"/>
    <w:pPr>
      <w:ind w:leftChars="0"/>
    </w:pPr>
    <w:rPr>
      <w:rFonts w:asciiTheme="minorHAnsi" w:hAnsiTheme="minorHAnsi" w:eastAsiaTheme="minorEastAsia" w:cstheme="minorBidi"/>
      <w:sz w:val="20"/>
      <w:szCs w:val="20"/>
    </w:rPr>
  </w:style>
  <w:style w:type="paragraph" w:customStyle="1" w:styleId="38">
    <w:name w:val="WPSOffice手动目录 2"/>
    <w:qFormat/>
    <w:uiPriority w:val="0"/>
    <w:pPr>
      <w:ind w:leftChars="200"/>
    </w:pPr>
    <w:rPr>
      <w:rFonts w:asciiTheme="minorHAnsi" w:hAnsiTheme="minorHAnsi" w:eastAsiaTheme="minorEastAsia" w:cstheme="minorBidi"/>
      <w:sz w:val="20"/>
      <w:szCs w:val="20"/>
    </w:rPr>
  </w:style>
  <w:style w:type="character" w:customStyle="1" w:styleId="39">
    <w:name w:val="NormalCharacter"/>
    <w:qFormat/>
    <w:uiPriority w:val="0"/>
    <w:rPr>
      <w:rFonts w:ascii="Calibri" w:hAnsi="Calibri"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25&#24180;6&#26376;&#39044;&#31639;&#21333;&#20301;&#36164;&#37329;&#32479;&#35745;&#34920;&#65288;&#36864;&#24441;&#20891;&#20154;&#23616;&#65289;.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025&#24180;6&#26376;&#39044;&#31639;&#21333;&#20301;&#36164;&#37329;&#32479;&#35745;&#34920;&#65288;&#36864;&#24441;&#20891;&#20154;&#23616;&#65289;.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25&#24180;6&#26376;&#39044;&#31639;&#21333;&#20301;&#36164;&#37329;&#32479;&#35745;&#34920;&#65288;&#36864;&#24441;&#20891;&#20154;&#23616;&#65289;.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025&#24180;6&#26376;&#39044;&#31639;&#21333;&#20301;&#36164;&#37329;&#32479;&#35745;&#34920;&#65288;&#36864;&#24441;&#20891;&#20154;&#23616;&#65289;.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5&#24180;6&#26376;&#39044;&#31639;&#21333;&#20301;&#36164;&#37329;&#32479;&#35745;&#34920;&#65288;&#36864;&#24441;&#20891;&#20154;&#23616;&#65289;.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025&#24180;6&#26376;&#39044;&#31639;&#21333;&#20301;&#36164;&#37329;&#32479;&#35745;&#34920;&#65288;&#36864;&#24441;&#20891;&#20154;&#23616;&#65289;.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025&#24180;6&#26376;&#39044;&#31639;&#21333;&#20301;&#36164;&#37329;&#32479;&#35745;&#34920;&#65288;&#36864;&#24441;&#20891;&#20154;&#23616;&#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cap="all" spc="50" baseline="0">
                <a:solidFill>
                  <a:schemeClr val="tx1">
                    <a:lumMod val="65000"/>
                    <a:lumOff val="35000"/>
                  </a:schemeClr>
                </a:solidFill>
                <a:latin typeface="+mn-lt"/>
                <a:ea typeface="+mn-ea"/>
                <a:cs typeface="+mn-cs"/>
              </a:defRPr>
            </a:pPr>
            <a:r>
              <a:rPr sz="1200" b="0"/>
              <a:t>收、支决算总计变动情况图（单位：万元）</a:t>
            </a:r>
            <a:endParaRPr sz="1200" b="0"/>
          </a:p>
        </c:rich>
      </c:tx>
      <c:layout/>
      <c:overlay val="0"/>
      <c:spPr>
        <a:noFill/>
        <a:ln>
          <a:noFill/>
        </a:ln>
        <a:effectLst/>
      </c:spPr>
    </c:title>
    <c:autoTitleDeleted val="0"/>
    <c:plotArea>
      <c:layout/>
      <c:barChart>
        <c:barDir val="col"/>
        <c:grouping val="stacked"/>
        <c:varyColors val="0"/>
        <c:ser>
          <c:idx val="0"/>
          <c:order val="0"/>
          <c:tx>
            <c:strRef>
              <c:f>'其他类（样表）'!$E$48:$E$50</c:f>
              <c:strCache>
                <c:ptCount val="1"/>
                <c:pt idx="0">
                  <c:v>收入支出执行情况</c:v>
                </c:pt>
              </c:strCache>
            </c:strRef>
          </c:tx>
          <c:spPr>
            <a:solidFill>
              <a:schemeClr val="accent1">
                <a:alpha val="7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'其他类（样表）'!$D$51:$D$54</c:f>
              <c:strCache>
                <c:ptCount val="4"/>
                <c:pt idx="0">
                  <c:v>2023年</c:v>
                </c:pt>
                <c:pt idx="2">
                  <c:v>2024年</c:v>
                </c:pt>
              </c:strCache>
            </c:strRef>
          </c:cat>
          <c:val>
            <c:numRef>
              <c:f>'其他类（样表）'!$E$51:$E$54</c:f>
              <c:numCache>
                <c:formatCode>General</c:formatCode>
                <c:ptCount val="4"/>
                <c:pt idx="0">
                  <c:v>1424.08</c:v>
                </c:pt>
                <c:pt idx="2">
                  <c:v>1077.22</c:v>
                </c:pt>
              </c:numCache>
            </c:numRef>
          </c:val>
        </c:ser>
        <c:dLbls>
          <c:showLegendKey val="0"/>
          <c:showVal val="1"/>
          <c:showCatName val="0"/>
          <c:showSerName val="0"/>
          <c:showPercent val="0"/>
          <c:showBubbleSize val="0"/>
        </c:dLbls>
        <c:gapWidth val="50"/>
        <c:overlap val="100"/>
        <c:axId val="907774239"/>
        <c:axId val="581572395"/>
      </c:barChart>
      <c:catAx>
        <c:axId val="907774239"/>
        <c:scaling>
          <c:orientation val="minMax"/>
        </c:scaling>
        <c:delete val="0"/>
        <c:axPos val="b"/>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1572395"/>
        <c:crosses val="autoZero"/>
        <c:auto val="1"/>
        <c:lblAlgn val="ctr"/>
        <c:lblOffset val="100"/>
        <c:noMultiLvlLbl val="0"/>
      </c:catAx>
      <c:valAx>
        <c:axId val="581572395"/>
        <c:scaling>
          <c:orientation val="minMax"/>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7774239"/>
        <c:crosses val="autoZero"/>
        <c:crossBetween val="between"/>
      </c:valAx>
      <c:spPr>
        <a:noFill/>
        <a:ln>
          <a:noFill/>
        </a:ln>
        <a:effectLst/>
      </c:spPr>
    </c:plotArea>
    <c:plotVisOnly val="1"/>
    <c:dispBlanksAs val="gap"/>
    <c:showDLblsOverMax val="0"/>
    <c:extLst>
      <c:ext uri="{0b15fc19-7d7d-44ad-8c2d-2c3a37ce22c3}">
        <chartProps xmlns="https://web.wps.cn/et/2018/main" chartId="{cf9ce3fa-eee4-4a9d-9f69-361c8339491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'[2025年6月预算单位资金统计表（退役军人局）.xlsx]其他类（样表）'!$D$85</c:f>
              <c:strCache>
                <c:ptCount val="1"/>
                <c:pt idx="0">
                  <c:v>收入决算机构图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1"/>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'[2025年6月预算单位资金统计表（退役军人局）.xlsx]其他类（样表）'!$E$83:$F$84</c:f>
              <c:multiLvlStrCache>
                <c:ptCount val="2"/>
                <c:lvl/>
                <c:lvl>
                  <c:pt idx="0">
                    <c:v>一般公共预算财政财政拨款收入</c:v>
                  </c:pt>
                </c:lvl>
              </c:multiLvlStrCache>
            </c:multiLvlStrRef>
          </c:cat>
          <c:val>
            <c:numRef>
              <c:f>'[2025年6月预算单位资金统计表（退役军人局）.xlsx]其他类（样表）'!$E$85:$F$85</c:f>
              <c:numCache>
                <c:formatCode>General</c:formatCode>
                <c:ptCount val="2"/>
                <c:pt idx="1">
                  <c:v>1077.22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20a9ae4-6a02-4880-8a18-637181443d0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'[2025年6月预算单位资金统计表（退役军人局）.xlsx]其他类（样表）'!$E$102</c:f>
              <c:strCache>
                <c:ptCount val="1"/>
                <c:pt idx="0">
                  <c:v>支出决算结构图</c:v>
                </c:pt>
              </c:strCache>
            </c:strRef>
          </c:tx>
          <c:spPr>
            <a:solidFill>
              <a:schemeClr val="accent2"/>
            </a:solidFill>
          </c:spPr>
          <c:explosion val="0"/>
          <c:dPt>
            <c:idx val="0"/>
            <c:bubble3D val="0"/>
            <c:spPr>
              <a:solidFill>
                <a:schemeClr val="accent2"/>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1"/>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20.67</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79.33</a:t>
                    </a:r>
                    <a:r>
                      <a:t>%</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'[2025年6月预算单位资金统计表（退役军人局）.xlsx]其他类（样表）'!$D$103:$D$105</c:f>
              <c:strCache>
                <c:ptCount val="3"/>
                <c:pt idx="0">
                  <c:v>基本支出</c:v>
                </c:pt>
                <c:pt idx="2">
                  <c:v>项目支出</c:v>
                </c:pt>
              </c:strCache>
            </c:strRef>
          </c:cat>
          <c:val>
            <c:numRef>
              <c:f>'[2025年6月预算单位资金统计表（退役军人局）.xlsx]其他类（样表）'!$E$103:$E$105</c:f>
              <c:numCache>
                <c:formatCode>General</c:formatCode>
                <c:ptCount val="3"/>
                <c:pt idx="0">
                  <c:v>222.7</c:v>
                </c:pt>
                <c:pt idx="2">
                  <c:v>854.52</c:v>
                </c:pt>
              </c:numCache>
            </c:numRef>
          </c:val>
        </c:ser>
        <c:ser>
          <c:idx val="1"/>
          <c:order val="1"/>
          <c:tx>
            <c:strRef>
              <c:f>'[2025年6月预算单位资金统计表（退役军人局）.xlsx]其他类（样表）'!$F$102</c:f>
              <c:strCache>
                <c:ptCount val="1"/>
                <c:pt idx="0">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'[2025年6月预算单位资金统计表（退役军人局）.xlsx]其他类（样表）'!$D$103:$D$105</c:f>
              <c:strCache>
                <c:ptCount val="3"/>
                <c:pt idx="0">
                  <c:v>基本支出</c:v>
                </c:pt>
                <c:pt idx="2">
                  <c:v>项目支出</c:v>
                </c:pt>
              </c:strCache>
            </c:strRef>
          </c:cat>
          <c:val>
            <c:numRef>
              <c:f>'[2025年6月预算单位资金统计表（退役军人局）.xlsx]其他类（样表）'!$F$103:$F$105</c:f>
              <c:numCache>
                <c:formatCode>General</c:formatCode>
                <c:ptCount val="3"/>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f007739-7234-48fd-ac4d-6fce89280a6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财政拨款收、支决算总计变动情况（单位：万元）</a:t>
            </a:r>
          </a:p>
        </c:rich>
      </c:tx>
      <c:layout/>
      <c:overlay val="0"/>
      <c:spPr>
        <a:noFill/>
        <a:ln>
          <a:noFill/>
        </a:ln>
        <a:effectLst/>
      </c:spPr>
    </c:title>
    <c:autoTitleDeleted val="0"/>
    <c:plotArea>
      <c:layout/>
      <c:barChart>
        <c:barDir val="col"/>
        <c:grouping val="clustered"/>
        <c:varyColors val="0"/>
        <c:ser>
          <c:idx val="0"/>
          <c:order val="0"/>
          <c:tx>
            <c:strRef>
              <c:f>'[2025年6月预算单位资金统计表（退役军人局）.xlsx]其他类（样表）'!$E$119</c:f>
              <c:strCache>
                <c:ptCount val="1"/>
                <c:pt idx="0">
                  <c:v>财政拨款收、支决算总计变动情况</c:v>
                </c:pt>
              </c:strCache>
            </c:strRef>
          </c:tx>
          <c:spPr>
            <a:solidFill>
              <a:schemeClr val="accent1">
                <a:shade val="76667"/>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'[2025年6月预算单位资金统计表（退役军人局）.xlsx]其他类（样表）'!$D$120:$D$122</c:f>
              <c:strCache>
                <c:ptCount val="3"/>
                <c:pt idx="0">
                  <c:v>2023年</c:v>
                </c:pt>
                <c:pt idx="2">
                  <c:v>2024年</c:v>
                </c:pt>
              </c:strCache>
            </c:strRef>
          </c:cat>
          <c:val>
            <c:numRef>
              <c:f>'[2025年6月预算单位资金统计表（退役军人局）.xlsx]其他类（样表）'!$E$120:$E$122</c:f>
              <c:numCache>
                <c:formatCode>General</c:formatCode>
                <c:ptCount val="3"/>
              </c:numCache>
            </c:numRef>
          </c:val>
        </c:ser>
        <c:ser>
          <c:idx val="1"/>
          <c:order val="1"/>
          <c:tx>
            <c:strRef>
              <c:f>'[2025年6月预算单位资金统计表（退役军人局）.xlsx]其他类（样表）'!$F$119</c:f>
              <c:strCache>
                <c:ptCount val="1"/>
                <c:pt idx="0">
                  <c:v/>
                </c:pt>
              </c:strCache>
            </c:strRef>
          </c:tx>
          <c:spPr>
            <a:solidFill>
              <a:schemeClr val="accent1">
                <a:tint val="76667"/>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'[2025年6月预算单位资金统计表（退役军人局）.xlsx]其他类（样表）'!$D$120:$D$122</c:f>
              <c:strCache>
                <c:ptCount val="3"/>
                <c:pt idx="0">
                  <c:v>2023年</c:v>
                </c:pt>
                <c:pt idx="2">
                  <c:v>2024年</c:v>
                </c:pt>
              </c:strCache>
            </c:strRef>
          </c:cat>
          <c:val>
            <c:numRef>
              <c:f>'[2025年6月预算单位资金统计表（退役军人局）.xlsx]其他类（样表）'!$F$120:$F$122</c:f>
              <c:numCache>
                <c:formatCode>General</c:formatCode>
                <c:ptCount val="3"/>
                <c:pt idx="0">
                  <c:v>1424.08</c:v>
                </c:pt>
                <c:pt idx="2">
                  <c:v>1077.22</c:v>
                </c:pt>
              </c:numCache>
            </c:numRef>
          </c:val>
        </c:ser>
        <c:dLbls>
          <c:showLegendKey val="0"/>
          <c:showVal val="1"/>
          <c:showCatName val="0"/>
          <c:showSerName val="0"/>
          <c:showPercent val="0"/>
          <c:showBubbleSize val="0"/>
        </c:dLbls>
        <c:gapWidth val="219"/>
        <c:overlap val="-27"/>
        <c:axId val="115406019"/>
        <c:axId val="899017457"/>
      </c:barChart>
      <c:catAx>
        <c:axId val="11540601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9017457"/>
        <c:crosses val="autoZero"/>
        <c:auto val="1"/>
        <c:lblAlgn val="ctr"/>
        <c:lblOffset val="100"/>
        <c:noMultiLvlLbl val="0"/>
      </c:catAx>
      <c:valAx>
        <c:axId val="8990174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5406019"/>
        <c:crosses val="autoZero"/>
        <c:crossBetween val="between"/>
      </c:valAx>
      <c:spPr>
        <a:noFill/>
        <a:ln>
          <a:noFill/>
        </a:ln>
        <a:effectLst/>
      </c:spPr>
    </c:plotArea>
    <c:plotVisOnly val="1"/>
    <c:dispBlanksAs val="gap"/>
    <c:showDLblsOverMax val="0"/>
    <c:extLst>
      <c:ext uri="{0b15fc19-7d7d-44ad-8c2d-2c3a37ce22c3}">
        <chartProps xmlns="https://web.wps.cn/et/2018/main" chartId="{f41aa847-c988-4387-878f-87a140f3f3d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cap="all" spc="150" baseline="0">
                <a:solidFill>
                  <a:schemeClr val="tx1">
                    <a:lumMod val="50000"/>
                    <a:lumOff val="50000"/>
                  </a:schemeClr>
                </a:solidFill>
                <a:latin typeface="+mn-lt"/>
                <a:ea typeface="+mn-ea"/>
                <a:cs typeface="+mn-cs"/>
              </a:defRPr>
            </a:pPr>
            <a:r>
              <a:rPr sz="1050" b="0"/>
              <a:t>一般公共预算财政拨款支出决算变动情况（单位：万元）</a:t>
            </a:r>
            <a:endParaRPr sz="1050" b="0"/>
          </a:p>
        </c:rich>
      </c:tx>
      <c:layout/>
      <c:overlay val="0"/>
      <c:spPr>
        <a:noFill/>
        <a:ln>
          <a:noFill/>
        </a:ln>
        <a:effectLst/>
      </c:spPr>
    </c:title>
    <c:autoTitleDeleted val="0"/>
    <c:plotArea>
      <c:layout>
        <c:manualLayout>
          <c:layoutTarget val="inner"/>
          <c:xMode val="edge"/>
          <c:yMode val="edge"/>
          <c:x val="0.147776816897376"/>
          <c:y val="0.233268271273581"/>
          <c:w val="0.84855614973262"/>
          <c:h val="0.626099290780142"/>
        </c:manualLayout>
      </c:layout>
      <c:barChart>
        <c:barDir val="col"/>
        <c:grouping val="clustered"/>
        <c:varyColors val="0"/>
        <c:ser>
          <c:idx val="0"/>
          <c:order val="0"/>
          <c:tx>
            <c:strRef>
              <c:f>'[2025年6月预算单位资金统计表（退役军人局）.xlsx]其他类（样表）'!$E$137</c:f>
              <c:strCache>
                <c:ptCount val="1"/>
                <c:pt idx="0">
                  <c:v>一般公共预算财政拨款支出决算变动情况</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'[2025年6月预算单位资金统计表（退役军人局）.xlsx]其他类（样表）'!$D$138:$D$140</c:f>
              <c:strCache>
                <c:ptCount val="3"/>
                <c:pt idx="0">
                  <c:v>2023年</c:v>
                </c:pt>
                <c:pt idx="2">
                  <c:v>2024年</c:v>
                </c:pt>
              </c:strCache>
            </c:strRef>
          </c:cat>
          <c:val>
            <c:numRef>
              <c:f>'[2025年6月预算单位资金统计表（退役军人局）.xlsx]其他类（样表）'!$E$138:$E$140</c:f>
              <c:numCache>
                <c:formatCode>General</c:formatCode>
                <c:ptCount val="3"/>
              </c:numCache>
            </c:numRef>
          </c:val>
        </c:ser>
        <c:ser>
          <c:idx val="1"/>
          <c:order val="1"/>
          <c:tx>
            <c:strRef>
              <c:f>'[2025年6月预算单位资金统计表（退役军人局）.xlsx]其他类（样表）'!$F$137</c:f>
              <c:strCache>
                <c:ptCount val="1"/>
                <c:pt idx="0">
                  <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'[2025年6月预算单位资金统计表（退役军人局）.xlsx]其他类（样表）'!$D$138:$D$140</c:f>
              <c:strCache>
                <c:ptCount val="3"/>
                <c:pt idx="0">
                  <c:v>2023年</c:v>
                </c:pt>
                <c:pt idx="2">
                  <c:v>2024年</c:v>
                </c:pt>
              </c:strCache>
            </c:strRef>
          </c:cat>
          <c:val>
            <c:numRef>
              <c:f>'[2025年6月预算单位资金统计表（退役军人局）.xlsx]其他类（样表）'!$F$138:$F$140</c:f>
              <c:numCache>
                <c:formatCode>General</c:formatCode>
                <c:ptCount val="3"/>
                <c:pt idx="0">
                  <c:v>1107.59</c:v>
                </c:pt>
                <c:pt idx="2">
                  <c:v>1077.22</c:v>
                </c:pt>
              </c:numCache>
            </c:numRef>
          </c:val>
        </c:ser>
        <c:dLbls>
          <c:showLegendKey val="0"/>
          <c:showVal val="1"/>
          <c:showCatName val="0"/>
          <c:showSerName val="0"/>
          <c:showPercent val="0"/>
          <c:showBubbleSize val="0"/>
        </c:dLbls>
        <c:gapWidth val="164"/>
        <c:overlap val="-22"/>
        <c:axId val="564267393"/>
        <c:axId val="662939016"/>
      </c:barChart>
      <c:catAx>
        <c:axId val="564267393"/>
        <c:scaling>
          <c:orientation val="minMax"/>
        </c:scaling>
        <c:delete val="0"/>
        <c:axPos val="b"/>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2939016"/>
        <c:crosses val="autoZero"/>
        <c:auto val="1"/>
        <c:lblAlgn val="ctr"/>
        <c:lblOffset val="100"/>
        <c:noMultiLvlLbl val="0"/>
      </c:catAx>
      <c:valAx>
        <c:axId val="662939016"/>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4267393"/>
        <c:crosses val="autoZero"/>
        <c:crossBetween val="between"/>
      </c:valAx>
      <c:spPr>
        <a:noFill/>
        <a:ln>
          <a:noFill/>
        </a:ln>
        <a:effectLst/>
      </c:spPr>
    </c:plotArea>
    <c:plotVisOnly val="1"/>
    <c:dispBlanksAs val="gap"/>
    <c:showDLblsOverMax val="0"/>
    <c:extLst>
      <c:ext uri="{0b15fc19-7d7d-44ad-8c2d-2c3a37ce22c3}">
        <chartProps xmlns="https://web.wps.cn/et/2018/main" chartId="{9fb0a8b9-142b-4a41-b87b-a3fabb21935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一般公共预算拨款支出决算结构图</a:t>
            </a:r>
          </a:p>
        </c:rich>
      </c:tx>
      <c:layout>
        <c:manualLayout>
          <c:xMode val="edge"/>
          <c:yMode val="edge"/>
          <c:x val="0.24207240948814"/>
          <c:y val="0.00800213390237397"/>
        </c:manualLayout>
      </c:layout>
      <c:overlay val="0"/>
      <c:spPr>
        <a:noFill/>
        <a:ln>
          <a:noFill/>
        </a:ln>
        <a:effectLst/>
      </c:spPr>
    </c:title>
    <c:autoTitleDeleted val="0"/>
    <c:plotArea>
      <c:layout/>
      <c:pieChart>
        <c:varyColors val="1"/>
        <c:ser>
          <c:idx val="0"/>
          <c:order val="0"/>
          <c:tx>
            <c:strRef>
              <c:f>'[2025年6月预算单位资金统计表（退役军人局）.xlsx]其他类（样表）'!$F$66</c:f>
              <c:strCache>
                <c:ptCount val="1"/>
                <c:pt idx="0">
                  <c:v>一般公共预算拨款支出决算结构图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'[2025年6月预算单位资金统计表（退役军人局）.xlsx]其他类（样表）'!$E$67:$E$71</c:f>
              <c:strCache>
                <c:ptCount val="5"/>
                <c:pt idx="0">
                  <c:v>社会保障和就业支出</c:v>
                </c:pt>
                <c:pt idx="1">
                  <c:v>公共安全支出</c:v>
                </c:pt>
                <c:pt idx="2">
                  <c:v>卫生健康支出</c:v>
                </c:pt>
                <c:pt idx="3">
                  <c:v>住房保障支出</c:v>
                </c:pt>
                <c:pt idx="4">
                  <c:v>农林水支出</c:v>
                </c:pt>
              </c:strCache>
            </c:strRef>
          </c:cat>
          <c:val>
            <c:numRef>
              <c:f>'[2025年6月预算单位资金统计表（退役军人局）.xlsx]其他类（样表）'!$F$67:$F$71</c:f>
              <c:numCache>
                <c:formatCode>0.00_ </c:formatCode>
                <c:ptCount val="5"/>
                <c:pt idx="0">
                  <c:v>987.57</c:v>
                </c:pt>
                <c:pt idx="1">
                  <c:v>52.79</c:v>
                </c:pt>
                <c:pt idx="2">
                  <c:v>18</c:v>
                </c:pt>
                <c:pt idx="3">
                  <c:v>15.86</c:v>
                </c:pt>
                <c:pt idx="4">
                  <c:v>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291733f-1c23-4412-bbb5-3b34cea24e3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'[2025年6月预算单位资金统计表（退役军人局）.xlsx]其他类（样表）'!$D$153</c:f>
              <c:strCache>
                <c:ptCount val="1"/>
                <c:pt idx="0">
                  <c:v>“三公”经费财政拨款支出结构图</c:v>
                </c:pt>
              </c:strCache>
            </c:strRef>
          </c:tx>
          <c:spPr/>
          <c:explosion val="0"/>
          <c:dPt>
            <c:idx val="0"/>
            <c:bubble3D val="0"/>
            <c:spPr>
              <a:solidFill>
                <a:schemeClr val="accent1">
                  <a:tint val="76667"/>
                </a:schemeClr>
              </a:solidFill>
              <a:ln w="19050">
                <a:solidFill>
                  <a:schemeClr val="lt1"/>
                </a:solidFill>
              </a:ln>
              <a:effectLst/>
            </c:spPr>
          </c:dPt>
          <c:dPt>
            <c:idx val="1"/>
            <c:bubble3D val="0"/>
            <c:spPr>
              <a:solidFill>
                <a:schemeClr val="accent1">
                  <a:shade val="76667"/>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'[2025年6月预算单位资金统计表（退役军人局）.xlsx]其他类（样表）'!$E$152:$F$152</c:f>
              <c:strCache>
                <c:ptCount val="2"/>
                <c:pt idx="0">
                  <c:v>公务接待费支出</c:v>
                </c:pt>
              </c:strCache>
            </c:strRef>
          </c:cat>
          <c:val>
            <c:numRef>
              <c:f>'[2025年6月预算单位资金统计表（退役军人局）.xlsx]其他类（样表）'!$E$153:$F$153</c:f>
              <c:numCache>
                <c:formatCode>General</c:formatCode>
                <c:ptCount val="2"/>
                <c:pt idx="1">
                  <c:v>0.6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1"/>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eccbc27-60d8-4a50-82f0-d2354e54465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4">
  <a:schemeClr val="accent1"/>
</cs:colorStyle>
</file>

<file path=word/charts/colors6.xml><?xml version="1.0" encoding="utf-8"?>
<cs:colorStyle xmlns:cs="http://schemas.microsoft.com/office/drawing/2012/chartStyle" xmlns:a="http://schemas.openxmlformats.org/drawingml/2006/main" meth="withinLinearReversed" id="21">
  <a:schemeClr val="accent1"/>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d554d135-1e74-4d97-aaff-f80f31dd4c96</errorID>
      <errorWord>巩固脱贫攻坚成果</errorWord>
      <group>L1_Word</group>
      <groupName>字词问题</groupName>
      <ability>L2_Typo</ability>
      <abilityName>字词错误</abilityName>
      <candidateList>
        <item>巩固拓展脱贫攻坚成果</item>
      </candidateList>
      <explain/>
      <paraID> 59D90E4</paraID>
      <start>11</start>
      <end>19</end>
      <status>ignored</status>
      <modifiedWord/>
      <trackRevisions>false</trackRevisions>
    </reviewItem>
    <reviewItem>
      <errorID>9162fabb-bab5-4fe1-9e36-40ec4a642da3</errorID>
      <errorWord>巩固脱贫攻坚成果</errorWord>
      <group>L1_Word</group>
      <groupName>字词问题</groupName>
      <ability>L2_Typo</ability>
      <abilityName>字词错误</abilityName>
      <candidateList>
        <item>巩固拓展脱贫攻坚成果</item>
      </candidateList>
      <explain/>
      <paraID> 59D90E4</paraID>
      <start>30</start>
      <end>38</end>
      <status>ignored</status>
      <modifiedWord/>
      <trackRevisions>false</trackRevisions>
    </reviewItem>
    <reviewItem>
      <errorID>a4360d64-d5e2-423c-839e-de966bf64feb</errorID>
      <errorWord>退役士兵安置条例</errorWord>
      <group>L1_Knowledge</group>
      <groupName>知识性问题</groupName>
      <ability>L2_Knowledge</ability>
      <abilityName>其他知识</abilityName>
      <candidateList/>
      <explain>该法规已废止，请注意检查引用是否正确。</explain>
      <paraID>5D6FE1AA</paraID>
      <start>57</start>
      <end>65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39dfcc-44c4-49b1-9b78-951742615d1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8512</Words>
  <Characters>9198</Characters>
  <Lines>61</Lines>
  <Paragraphs>17</Paragraphs>
  <TotalTime>2</TotalTime>
  <ScaleCrop>false</ScaleCrop>
  <LinksUpToDate>false</LinksUpToDate>
  <CharactersWithSpaces>9444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碧云天</cp:lastModifiedBy>
  <cp:lastPrinted>2023-10-25T06:12:00Z</cp:lastPrinted>
  <dcterms:modified xsi:type="dcterms:W3CDTF">2026-01-06T00:57:12Z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1AC9998FA9AB4D1590619737D2E9C99F</vt:lpwstr>
  </property>
  <property fmtid="{D5CDD505-2E9C-101B-9397-08002B2CF9AE}" pid="4" name="KSOTemplateDocerSaveRecord">
    <vt:lpwstr>eyJoZGlkIjoiNzI2ZGI0OGUzMDAzMzk0YmE1OTYyMDVlZGMwMmYyODYiLCJ1c2VySWQiOiIxMTM5NjM2MTk5In0=</vt:lpwstr>
  </property>
</Properties>
</file>