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EC3208">
      <w:pPr>
        <w:spacing w:line="600" w:lineRule="exact"/>
        <w:jc w:val="center"/>
        <w:outlineLvl w:val="9"/>
        <w:rPr>
          <w:rFonts w:ascii="方正小标宋简体" w:hAnsi="宋体" w:eastAsia="方正小标宋简体"/>
          <w:color w:val="auto"/>
          <w:sz w:val="72"/>
          <w:szCs w:val="72"/>
          <w:highlight w:val="none"/>
        </w:rPr>
      </w:pPr>
      <w:bookmarkStart w:id="0" w:name="_Toc15396475"/>
      <w:bookmarkStart w:id="1" w:name="_Toc15377425"/>
      <w:bookmarkStart w:id="2" w:name="_Toc15396597"/>
      <w:bookmarkStart w:id="3" w:name="_Toc15377193"/>
      <w:bookmarkStart w:id="4" w:name="_Toc15378441"/>
      <w:bookmarkStart w:id="5" w:name="_Toc15306267"/>
    </w:p>
    <w:p w14:paraId="25B7FF1F">
      <w:pPr>
        <w:spacing w:line="600" w:lineRule="exact"/>
        <w:jc w:val="center"/>
        <w:outlineLvl w:val="9"/>
        <w:rPr>
          <w:rFonts w:ascii="方正小标宋简体" w:hAnsi="宋体" w:eastAsia="方正小标宋简体"/>
          <w:color w:val="auto"/>
          <w:sz w:val="72"/>
          <w:szCs w:val="72"/>
          <w:highlight w:val="none"/>
        </w:rPr>
      </w:pPr>
    </w:p>
    <w:p w14:paraId="02D48325">
      <w:pPr>
        <w:pStyle w:val="2"/>
        <w:rPr>
          <w:rFonts w:ascii="方正小标宋简体" w:hAnsi="宋体" w:eastAsia="方正小标宋简体"/>
          <w:color w:val="auto"/>
          <w:sz w:val="72"/>
          <w:szCs w:val="72"/>
          <w:highlight w:val="none"/>
        </w:rPr>
      </w:pPr>
    </w:p>
    <w:p w14:paraId="4EAE0714">
      <w:pPr>
        <w:rPr>
          <w:rFonts w:ascii="方正小标宋简体" w:hAnsi="宋体" w:eastAsia="方正小标宋简体"/>
          <w:color w:val="auto"/>
          <w:sz w:val="72"/>
          <w:szCs w:val="72"/>
          <w:highlight w:val="none"/>
        </w:rPr>
      </w:pPr>
    </w:p>
    <w:p w14:paraId="62F1998F">
      <w:pPr>
        <w:pStyle w:val="2"/>
      </w:pPr>
      <w:bookmarkStart w:id="106" w:name="_GoBack"/>
      <w:bookmarkEnd w:id="106"/>
    </w:p>
    <w:p w14:paraId="03F174E1">
      <w:pPr>
        <w:spacing w:line="600" w:lineRule="exact"/>
        <w:jc w:val="center"/>
        <w:outlineLvl w:val="9"/>
        <w:rPr>
          <w:rFonts w:ascii="方正小标宋简体" w:hAnsi="宋体" w:eastAsia="方正小标宋简体"/>
          <w:color w:val="auto"/>
          <w:sz w:val="72"/>
          <w:szCs w:val="72"/>
          <w:highlight w:val="none"/>
        </w:rPr>
      </w:pPr>
    </w:p>
    <w:p w14:paraId="04F5678E">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11386"/>
      <w:bookmarkStart w:id="7" w:name="_Toc18343"/>
      <w:bookmarkStart w:id="8" w:name="_Toc1309"/>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23</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bookmarkEnd w:id="6"/>
      <w:bookmarkEnd w:id="7"/>
      <w:bookmarkEnd w:id="8"/>
    </w:p>
    <w:bookmarkEnd w:id="5"/>
    <w:p w14:paraId="40816461">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9" w:name="_Toc15378442"/>
      <w:bookmarkStart w:id="10" w:name="_Toc32424"/>
      <w:bookmarkStart w:id="11" w:name="_Toc15396598"/>
      <w:bookmarkStart w:id="12" w:name="_Toc15377426"/>
      <w:bookmarkStart w:id="13" w:name="_Toc15396476"/>
      <w:bookmarkStart w:id="14" w:name="_Toc26128"/>
      <w:bookmarkStart w:id="15" w:name="_Toc15306268"/>
      <w:bookmarkStart w:id="16" w:name="_Toc15377194"/>
      <w:bookmarkStart w:id="17" w:name="_Toc6024"/>
      <w:r>
        <w:rPr>
          <w:rFonts w:hint="eastAsia" w:ascii="方正小标宋简体" w:hAnsi="方正小标宋简体" w:eastAsia="方正小标宋简体" w:cs="方正小标宋简体"/>
          <w:color w:val="auto"/>
          <w:sz w:val="72"/>
          <w:szCs w:val="72"/>
          <w:highlight w:val="none"/>
          <w:lang w:eastAsia="zh-CN"/>
        </w:rPr>
        <w:t>峨边彝族自治县退役军人事务局单位</w:t>
      </w:r>
      <w:r>
        <w:rPr>
          <w:rFonts w:hint="eastAsia" w:ascii="方正小标宋简体" w:hAnsi="方正小标宋简体" w:eastAsia="方正小标宋简体" w:cs="方正小标宋简体"/>
          <w:color w:val="auto"/>
          <w:sz w:val="72"/>
          <w:szCs w:val="72"/>
          <w:highlight w:val="none"/>
        </w:rPr>
        <w:t>决算</w:t>
      </w:r>
      <w:bookmarkEnd w:id="9"/>
      <w:bookmarkEnd w:id="10"/>
      <w:bookmarkEnd w:id="11"/>
      <w:bookmarkEnd w:id="12"/>
      <w:bookmarkEnd w:id="13"/>
      <w:bookmarkEnd w:id="14"/>
      <w:bookmarkEnd w:id="15"/>
      <w:bookmarkEnd w:id="16"/>
      <w:bookmarkEnd w:id="17"/>
    </w:p>
    <w:p w14:paraId="5D264153">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68A40DC4">
      <w:pPr>
        <w:widowControl/>
        <w:jc w:val="center"/>
        <w:rPr>
          <w:rFonts w:ascii="黑体" w:hAnsi="黑体" w:eastAsia="黑体" w:cstheme="minorBidi"/>
          <w:color w:val="auto"/>
          <w:sz w:val="28"/>
          <w:szCs w:val="28"/>
          <w:highlight w:val="none"/>
        </w:rPr>
      </w:pPr>
    </w:p>
    <w:p w14:paraId="3B907DBE">
      <w:pPr>
        <w:pStyle w:val="14"/>
        <w:rPr>
          <w:color w:val="auto"/>
          <w:highlight w:val="none"/>
        </w:rPr>
      </w:pPr>
      <w:r>
        <w:rPr>
          <w:rFonts w:hint="eastAsia"/>
          <w:color w:val="auto"/>
          <w:highlight w:val="none"/>
        </w:rPr>
        <w:t>公开时间：20</w:t>
      </w:r>
      <w:r>
        <w:rPr>
          <w:rFonts w:hint="eastAsia"/>
          <w:color w:val="auto"/>
          <w:highlight w:val="none"/>
          <w:lang w:val="en-US" w:eastAsia="zh-CN"/>
        </w:rPr>
        <w:t>24</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17</w:t>
      </w:r>
      <w:r>
        <w:rPr>
          <w:rFonts w:hint="eastAsia"/>
          <w:color w:val="auto"/>
          <w:highlight w:val="none"/>
        </w:rPr>
        <w:t>日</w:t>
      </w:r>
    </w:p>
    <w:p w14:paraId="606C6FD3">
      <w:pPr>
        <w:rPr>
          <w:color w:val="auto"/>
          <w:highlight w:val="none"/>
        </w:rPr>
      </w:pPr>
    </w:p>
    <w:sdt>
      <w:sdtPr>
        <w:rPr>
          <w:rFonts w:ascii="宋体" w:hAnsi="宋体" w:eastAsia="宋体" w:cs="Times New Roman"/>
          <w:kern w:val="2"/>
          <w:sz w:val="21"/>
          <w:szCs w:val="24"/>
          <w:lang w:val="en-US" w:eastAsia="zh-CN" w:bidi="ar-SA"/>
        </w:rPr>
        <w:id w:val="147476679"/>
        <w15:color w:val="DBDBDB"/>
        <w:docPartObj>
          <w:docPartGallery w:val="Table of Contents"/>
          <w:docPartUnique/>
        </w:docPartObj>
      </w:sdtPr>
      <w:sdtEndPr>
        <w:rPr>
          <w:rFonts w:hint="eastAsia" w:ascii="宋体" w:hAnsi="宋体" w:eastAsia="宋体" w:cs="宋体"/>
          <w:b/>
          <w:kern w:val="2"/>
          <w:sz w:val="20"/>
          <w:szCs w:val="20"/>
          <w:lang w:val="en-US" w:eastAsia="zh-CN" w:bidi="ar-SA"/>
        </w:rPr>
      </w:sdtEndPr>
      <w:sdtContent>
        <w:p w14:paraId="1EA52935">
          <w:pPr>
            <w:spacing w:before="0" w:beforeLines="0" w:after="0" w:afterLines="0" w:line="240" w:lineRule="auto"/>
            <w:ind w:left="0" w:leftChars="0" w:right="0" w:rightChars="0" w:firstLine="0" w:firstLineChars="0"/>
            <w:jc w:val="center"/>
          </w:pPr>
          <w:bookmarkStart w:id="18" w:name="_Toc15377196"/>
          <w:bookmarkStart w:id="19" w:name="_Toc15396599"/>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TOC \o "1-2" \h \u </w:instrText>
          </w:r>
          <w:r>
            <w:rPr>
              <w:rFonts w:hint="eastAsia" w:ascii="宋体" w:hAnsi="宋体" w:eastAsia="宋体" w:cs="宋体"/>
              <w:sz w:val="20"/>
              <w:szCs w:val="20"/>
            </w:rPr>
            <w:fldChar w:fldCharType="separate"/>
          </w:r>
        </w:p>
        <w:p w14:paraId="2F247409">
          <w:pPr>
            <w:pStyle w:val="14"/>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_Toc31228 </w:instrText>
          </w:r>
          <w:r>
            <w:rPr>
              <w:rFonts w:hint="eastAsia" w:ascii="宋体" w:hAnsi="宋体" w:eastAsia="宋体" w:cs="宋体"/>
              <w:sz w:val="20"/>
              <w:szCs w:val="20"/>
            </w:rPr>
            <w:fldChar w:fldCharType="separate"/>
          </w:r>
          <w:r>
            <w:rPr>
              <w:rFonts w:hint="eastAsia" w:ascii="宋体" w:hAnsi="宋体" w:eastAsia="宋体" w:cs="宋体"/>
              <w:b/>
              <w:bCs/>
              <w:sz w:val="20"/>
              <w:szCs w:val="20"/>
            </w:rPr>
            <w:t xml:space="preserve">第一部分 </w:t>
          </w:r>
          <w:r>
            <w:rPr>
              <w:rFonts w:hint="eastAsia" w:ascii="宋体" w:hAnsi="宋体" w:eastAsia="宋体" w:cs="宋体"/>
              <w:b/>
              <w:bCs/>
              <w:sz w:val="20"/>
              <w:szCs w:val="20"/>
              <w:lang w:eastAsia="zh-CN"/>
            </w:rPr>
            <w:t>单位</w:t>
          </w:r>
          <w:r>
            <w:rPr>
              <w:rFonts w:hint="eastAsia" w:ascii="宋体" w:hAnsi="宋体" w:eastAsia="宋体" w:cs="宋体"/>
              <w:b/>
              <w:bCs/>
              <w:sz w:val="20"/>
              <w:szCs w:val="20"/>
            </w:rPr>
            <w:t>概况</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_Toc31228 \h </w:instrText>
          </w:r>
          <w:r>
            <w:rPr>
              <w:rFonts w:hint="eastAsia" w:ascii="宋体" w:hAnsi="宋体" w:eastAsia="宋体" w:cs="宋体"/>
              <w:sz w:val="20"/>
              <w:szCs w:val="20"/>
            </w:rPr>
            <w:fldChar w:fldCharType="separate"/>
          </w:r>
          <w:r>
            <w:rPr>
              <w:rFonts w:hint="eastAsia" w:ascii="宋体" w:hAnsi="宋体" w:eastAsia="宋体" w:cs="宋体"/>
              <w:sz w:val="20"/>
              <w:szCs w:val="20"/>
            </w:rPr>
            <w:t>4</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166D7CB8">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_Toc4744 </w:instrText>
          </w:r>
          <w:r>
            <w:rPr>
              <w:rFonts w:hint="eastAsia" w:ascii="宋体" w:hAnsi="宋体" w:eastAsia="宋体" w:cs="宋体"/>
              <w:sz w:val="20"/>
              <w:szCs w:val="20"/>
            </w:rPr>
            <w:fldChar w:fldCharType="separate"/>
          </w:r>
          <w:r>
            <w:rPr>
              <w:rFonts w:hint="eastAsia" w:ascii="宋体" w:hAnsi="宋体" w:eastAsia="宋体" w:cs="宋体"/>
              <w:sz w:val="20"/>
              <w:szCs w:val="20"/>
            </w:rPr>
            <w:t>一、</w:t>
          </w:r>
          <w:r>
            <w:rPr>
              <w:rFonts w:hint="eastAsia" w:ascii="宋体" w:hAnsi="宋体" w:eastAsia="宋体" w:cs="宋体"/>
              <w:sz w:val="20"/>
              <w:szCs w:val="20"/>
              <w:lang w:val="en-US" w:eastAsia="zh-CN"/>
            </w:rPr>
            <w:t>部门职责</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_Toc4744 \h </w:instrText>
          </w:r>
          <w:r>
            <w:rPr>
              <w:rFonts w:hint="eastAsia" w:ascii="宋体" w:hAnsi="宋体" w:eastAsia="宋体" w:cs="宋体"/>
              <w:sz w:val="20"/>
              <w:szCs w:val="20"/>
            </w:rPr>
            <w:fldChar w:fldCharType="separate"/>
          </w:r>
          <w:r>
            <w:rPr>
              <w:rFonts w:hint="eastAsia" w:ascii="宋体" w:hAnsi="宋体" w:eastAsia="宋体" w:cs="宋体"/>
              <w:sz w:val="20"/>
              <w:szCs w:val="20"/>
            </w:rPr>
            <w:t>4</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625C77E2">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_Toc9883 </w:instrText>
          </w:r>
          <w:r>
            <w:rPr>
              <w:rFonts w:hint="eastAsia" w:ascii="宋体" w:hAnsi="宋体" w:eastAsia="宋体" w:cs="宋体"/>
              <w:sz w:val="20"/>
              <w:szCs w:val="20"/>
            </w:rPr>
            <w:fldChar w:fldCharType="separate"/>
          </w:r>
          <w:r>
            <w:rPr>
              <w:rFonts w:hint="eastAsia" w:ascii="宋体" w:hAnsi="宋体" w:eastAsia="宋体" w:cs="宋体"/>
              <w:sz w:val="20"/>
              <w:szCs w:val="20"/>
            </w:rPr>
            <w:t>二、机构设置</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_Toc9883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50D9EB3F">
          <w:pPr>
            <w:pStyle w:val="14"/>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_Toc14576 </w:instrText>
          </w:r>
          <w:r>
            <w:rPr>
              <w:rFonts w:hint="eastAsia" w:ascii="宋体" w:hAnsi="宋体" w:eastAsia="宋体" w:cs="宋体"/>
              <w:sz w:val="20"/>
              <w:szCs w:val="20"/>
            </w:rPr>
            <w:fldChar w:fldCharType="separate"/>
          </w:r>
          <w:r>
            <w:rPr>
              <w:rFonts w:hint="eastAsia" w:ascii="宋体" w:hAnsi="宋体" w:eastAsia="宋体" w:cs="宋体"/>
              <w:b/>
              <w:bCs/>
              <w:sz w:val="20"/>
              <w:szCs w:val="20"/>
            </w:rPr>
            <w:t xml:space="preserve">第二部分 </w:t>
          </w:r>
          <w:r>
            <w:rPr>
              <w:rFonts w:hint="eastAsia" w:ascii="宋体" w:hAnsi="宋体" w:eastAsia="宋体" w:cs="宋体"/>
              <w:b/>
              <w:bCs/>
              <w:sz w:val="20"/>
              <w:szCs w:val="20"/>
              <w:lang w:val="en-US" w:eastAsia="zh-CN"/>
            </w:rPr>
            <w:t>2023年度</w:t>
          </w:r>
          <w:r>
            <w:rPr>
              <w:rFonts w:hint="eastAsia" w:ascii="宋体" w:hAnsi="宋体" w:eastAsia="宋体" w:cs="宋体"/>
              <w:b/>
              <w:bCs/>
              <w:sz w:val="20"/>
              <w:szCs w:val="20"/>
              <w:lang w:eastAsia="zh-CN"/>
            </w:rPr>
            <w:t>单位</w:t>
          </w:r>
          <w:r>
            <w:rPr>
              <w:rFonts w:hint="eastAsia" w:ascii="宋体" w:hAnsi="宋体" w:eastAsia="宋体" w:cs="宋体"/>
              <w:b/>
              <w:bCs/>
              <w:sz w:val="20"/>
              <w:szCs w:val="20"/>
            </w:rPr>
            <w:t>决算情况说明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_Toc14576 \h </w:instrText>
          </w:r>
          <w:r>
            <w:rPr>
              <w:rFonts w:hint="eastAsia" w:ascii="宋体" w:hAnsi="宋体" w:eastAsia="宋体" w:cs="宋体"/>
              <w:sz w:val="20"/>
              <w:szCs w:val="20"/>
            </w:rPr>
            <w:fldChar w:fldCharType="separate"/>
          </w:r>
          <w:r>
            <w:rPr>
              <w:rFonts w:hint="eastAsia" w:ascii="宋体" w:hAnsi="宋体" w:eastAsia="宋体" w:cs="宋体"/>
              <w:sz w:val="20"/>
              <w:szCs w:val="20"/>
            </w:rPr>
            <w:t>9</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7DB62D03">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_Toc7993 </w:instrText>
          </w:r>
          <w:r>
            <w:rPr>
              <w:rFonts w:hint="eastAsia" w:ascii="宋体" w:hAnsi="宋体" w:eastAsia="宋体" w:cs="宋体"/>
              <w:sz w:val="20"/>
              <w:szCs w:val="20"/>
            </w:rPr>
            <w:fldChar w:fldCharType="separate"/>
          </w:r>
          <w:r>
            <w:rPr>
              <w:rFonts w:hint="eastAsia" w:ascii="宋体" w:hAnsi="宋体" w:eastAsia="宋体" w:cs="宋体"/>
              <w:sz w:val="20"/>
              <w:szCs w:val="20"/>
            </w:rPr>
            <w:t>一、 收入支出决算总体情况说明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_Toc7993 \h </w:instrText>
          </w:r>
          <w:r>
            <w:rPr>
              <w:rFonts w:hint="eastAsia" w:ascii="宋体" w:hAnsi="宋体" w:eastAsia="宋体" w:cs="宋体"/>
              <w:sz w:val="20"/>
              <w:szCs w:val="20"/>
            </w:rPr>
            <w:fldChar w:fldCharType="separate"/>
          </w:r>
          <w:r>
            <w:rPr>
              <w:rFonts w:hint="eastAsia" w:ascii="宋体" w:hAnsi="宋体" w:eastAsia="宋体" w:cs="宋体"/>
              <w:sz w:val="20"/>
              <w:szCs w:val="20"/>
            </w:rPr>
            <w:t>9</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68F35F5C">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_Toc14774 </w:instrText>
          </w:r>
          <w:r>
            <w:rPr>
              <w:rFonts w:hint="eastAsia" w:ascii="宋体" w:hAnsi="宋体" w:eastAsia="宋体" w:cs="宋体"/>
              <w:sz w:val="20"/>
              <w:szCs w:val="20"/>
            </w:rPr>
            <w:fldChar w:fldCharType="separate"/>
          </w:r>
          <w:r>
            <w:rPr>
              <w:rFonts w:hint="eastAsia" w:ascii="宋体" w:hAnsi="宋体" w:eastAsia="宋体" w:cs="宋体"/>
              <w:sz w:val="20"/>
              <w:szCs w:val="20"/>
            </w:rPr>
            <w:t>二、 收入决算情况说明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_Toc14774 \h </w:instrText>
          </w:r>
          <w:r>
            <w:rPr>
              <w:rFonts w:hint="eastAsia" w:ascii="宋体" w:hAnsi="宋体" w:eastAsia="宋体" w:cs="宋体"/>
              <w:sz w:val="20"/>
              <w:szCs w:val="20"/>
            </w:rPr>
            <w:fldChar w:fldCharType="separate"/>
          </w:r>
          <w:r>
            <w:rPr>
              <w:rFonts w:hint="eastAsia" w:ascii="宋体" w:hAnsi="宋体" w:eastAsia="宋体" w:cs="宋体"/>
              <w:sz w:val="20"/>
              <w:szCs w:val="20"/>
            </w:rPr>
            <w:t>10</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15E47246">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_Toc21155 </w:instrText>
          </w:r>
          <w:r>
            <w:rPr>
              <w:rFonts w:hint="eastAsia" w:ascii="宋体" w:hAnsi="宋体" w:eastAsia="宋体" w:cs="宋体"/>
              <w:sz w:val="20"/>
              <w:szCs w:val="20"/>
            </w:rPr>
            <w:fldChar w:fldCharType="separate"/>
          </w:r>
          <w:r>
            <w:rPr>
              <w:rFonts w:hint="eastAsia" w:ascii="宋体" w:hAnsi="宋体" w:eastAsia="宋体" w:cs="宋体"/>
              <w:sz w:val="20"/>
              <w:szCs w:val="20"/>
            </w:rPr>
            <w:t>三、 支出决算情况说明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_Toc21155 \h </w:instrText>
          </w:r>
          <w:r>
            <w:rPr>
              <w:rFonts w:hint="eastAsia" w:ascii="宋体" w:hAnsi="宋体" w:eastAsia="宋体" w:cs="宋体"/>
              <w:sz w:val="20"/>
              <w:szCs w:val="20"/>
            </w:rPr>
            <w:fldChar w:fldCharType="separate"/>
          </w:r>
          <w:r>
            <w:rPr>
              <w:rFonts w:hint="eastAsia" w:ascii="宋体" w:hAnsi="宋体" w:eastAsia="宋体" w:cs="宋体"/>
              <w:sz w:val="20"/>
              <w:szCs w:val="20"/>
            </w:rPr>
            <w:t>10</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2D912BAC">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_Toc20618 </w:instrText>
          </w:r>
          <w:r>
            <w:rPr>
              <w:rFonts w:hint="eastAsia" w:ascii="宋体" w:hAnsi="宋体" w:eastAsia="宋体" w:cs="宋体"/>
              <w:sz w:val="20"/>
              <w:szCs w:val="20"/>
            </w:rPr>
            <w:fldChar w:fldCharType="separate"/>
          </w:r>
          <w:r>
            <w:rPr>
              <w:rFonts w:hint="eastAsia" w:ascii="宋体" w:hAnsi="宋体" w:eastAsia="宋体" w:cs="宋体"/>
              <w:sz w:val="20"/>
              <w:szCs w:val="20"/>
            </w:rPr>
            <w:t>四、财政拨款收入支出决算总体情况说明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_Toc20618 \h </w:instrText>
          </w:r>
          <w:r>
            <w:rPr>
              <w:rFonts w:hint="eastAsia" w:ascii="宋体" w:hAnsi="宋体" w:eastAsia="宋体" w:cs="宋体"/>
              <w:sz w:val="20"/>
              <w:szCs w:val="20"/>
            </w:rPr>
            <w:fldChar w:fldCharType="separate"/>
          </w:r>
          <w:r>
            <w:rPr>
              <w:rFonts w:hint="eastAsia" w:ascii="宋体" w:hAnsi="宋体" w:eastAsia="宋体" w:cs="宋体"/>
              <w:sz w:val="20"/>
              <w:szCs w:val="20"/>
            </w:rPr>
            <w:t>11</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377844BF">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_Toc16660 </w:instrText>
          </w:r>
          <w:r>
            <w:rPr>
              <w:rFonts w:hint="eastAsia" w:ascii="宋体" w:hAnsi="宋体" w:eastAsia="宋体" w:cs="宋体"/>
              <w:sz w:val="20"/>
              <w:szCs w:val="20"/>
            </w:rPr>
            <w:fldChar w:fldCharType="separate"/>
          </w:r>
          <w:r>
            <w:rPr>
              <w:rFonts w:hint="eastAsia" w:ascii="宋体" w:hAnsi="宋体" w:eastAsia="宋体" w:cs="宋体"/>
              <w:sz w:val="20"/>
              <w:szCs w:val="20"/>
            </w:rPr>
            <w:t>五、一般公共预算财政拨款支出决算情况说明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_Toc16660 \h </w:instrText>
          </w:r>
          <w:r>
            <w:rPr>
              <w:rFonts w:hint="eastAsia" w:ascii="宋体" w:hAnsi="宋体" w:eastAsia="宋体" w:cs="宋体"/>
              <w:sz w:val="20"/>
              <w:szCs w:val="20"/>
            </w:rPr>
            <w:fldChar w:fldCharType="separate"/>
          </w:r>
          <w:r>
            <w:rPr>
              <w:rFonts w:hint="eastAsia" w:ascii="宋体" w:hAnsi="宋体" w:eastAsia="宋体" w:cs="宋体"/>
              <w:sz w:val="20"/>
              <w:szCs w:val="20"/>
            </w:rPr>
            <w:t>12</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0058CC0F">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_Toc17619 </w:instrText>
          </w:r>
          <w:r>
            <w:rPr>
              <w:rFonts w:hint="eastAsia" w:ascii="宋体" w:hAnsi="宋体" w:eastAsia="宋体" w:cs="宋体"/>
              <w:sz w:val="20"/>
              <w:szCs w:val="20"/>
            </w:rPr>
            <w:fldChar w:fldCharType="separate"/>
          </w:r>
          <w:r>
            <w:rPr>
              <w:rFonts w:hint="eastAsia" w:ascii="宋体" w:hAnsi="宋体" w:eastAsia="宋体" w:cs="宋体"/>
              <w:sz w:val="20"/>
              <w:szCs w:val="20"/>
            </w:rPr>
            <w:t>六、一般公共预算财政拨款基本支出决算情况说明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_Toc17619 \h </w:instrText>
          </w:r>
          <w:r>
            <w:rPr>
              <w:rFonts w:hint="eastAsia" w:ascii="宋体" w:hAnsi="宋体" w:eastAsia="宋体" w:cs="宋体"/>
              <w:sz w:val="20"/>
              <w:szCs w:val="20"/>
            </w:rPr>
            <w:fldChar w:fldCharType="separate"/>
          </w:r>
          <w:r>
            <w:rPr>
              <w:rFonts w:hint="eastAsia" w:ascii="宋体" w:hAnsi="宋体" w:eastAsia="宋体" w:cs="宋体"/>
              <w:sz w:val="20"/>
              <w:szCs w:val="20"/>
            </w:rPr>
            <w:t>3</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335476E3">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_Toc7983 </w:instrText>
          </w:r>
          <w:r>
            <w:rPr>
              <w:rFonts w:hint="eastAsia" w:ascii="宋体" w:hAnsi="宋体" w:eastAsia="宋体" w:cs="宋体"/>
              <w:sz w:val="20"/>
              <w:szCs w:val="20"/>
            </w:rPr>
            <w:fldChar w:fldCharType="separate"/>
          </w:r>
          <w:r>
            <w:rPr>
              <w:rFonts w:hint="eastAsia" w:ascii="宋体" w:hAnsi="宋体" w:eastAsia="宋体" w:cs="宋体"/>
              <w:sz w:val="20"/>
              <w:szCs w:val="20"/>
            </w:rPr>
            <w:t>七、“三公”经费财政拨款支出决算情况说明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_Toc7983 \h </w:instrText>
          </w:r>
          <w:r>
            <w:rPr>
              <w:rFonts w:hint="eastAsia" w:ascii="宋体" w:hAnsi="宋体" w:eastAsia="宋体" w:cs="宋体"/>
              <w:sz w:val="20"/>
              <w:szCs w:val="20"/>
            </w:rPr>
            <w:fldChar w:fldCharType="separate"/>
          </w:r>
          <w:r>
            <w:rPr>
              <w:rFonts w:hint="eastAsia" w:ascii="宋体" w:hAnsi="宋体" w:eastAsia="宋体" w:cs="宋体"/>
              <w:sz w:val="20"/>
              <w:szCs w:val="20"/>
            </w:rPr>
            <w:t>3</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02705A37">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_Toc28228 </w:instrText>
          </w:r>
          <w:r>
            <w:rPr>
              <w:rFonts w:hint="eastAsia" w:ascii="宋体" w:hAnsi="宋体" w:eastAsia="宋体" w:cs="宋体"/>
              <w:sz w:val="20"/>
              <w:szCs w:val="20"/>
            </w:rPr>
            <w:fldChar w:fldCharType="separate"/>
          </w:r>
          <w:r>
            <w:rPr>
              <w:rFonts w:hint="eastAsia" w:ascii="宋体" w:hAnsi="宋体" w:eastAsia="宋体" w:cs="宋体"/>
              <w:sz w:val="20"/>
              <w:szCs w:val="20"/>
            </w:rPr>
            <w:t>八、政府性基金预算支出决算情况说明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_Toc28228 \h </w:instrText>
          </w:r>
          <w:r>
            <w:rPr>
              <w:rFonts w:hint="eastAsia" w:ascii="宋体" w:hAnsi="宋体" w:eastAsia="宋体" w:cs="宋体"/>
              <w:sz w:val="20"/>
              <w:szCs w:val="20"/>
            </w:rPr>
            <w:fldChar w:fldCharType="separate"/>
          </w:r>
          <w:r>
            <w:rPr>
              <w:rFonts w:hint="eastAsia" w:ascii="宋体" w:hAnsi="宋体" w:eastAsia="宋体" w:cs="宋体"/>
              <w:sz w:val="20"/>
              <w:szCs w:val="20"/>
            </w:rPr>
            <w:t>5</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1310C952">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_Toc31156 </w:instrText>
          </w:r>
          <w:r>
            <w:rPr>
              <w:rFonts w:hint="eastAsia" w:ascii="宋体" w:hAnsi="宋体" w:eastAsia="宋体" w:cs="宋体"/>
              <w:sz w:val="20"/>
              <w:szCs w:val="20"/>
            </w:rPr>
            <w:fldChar w:fldCharType="separate"/>
          </w:r>
          <w:r>
            <w:rPr>
              <w:rFonts w:hint="eastAsia" w:ascii="宋体" w:hAnsi="宋体" w:eastAsia="宋体" w:cs="宋体"/>
              <w:sz w:val="20"/>
              <w:szCs w:val="20"/>
            </w:rPr>
            <w:t>九、 国有资本经营预算支出决算情况说明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_Toc31156 \h </w:instrText>
          </w:r>
          <w:r>
            <w:rPr>
              <w:rFonts w:hint="eastAsia" w:ascii="宋体" w:hAnsi="宋体" w:eastAsia="宋体" w:cs="宋体"/>
              <w:sz w:val="20"/>
              <w:szCs w:val="20"/>
            </w:rPr>
            <w:fldChar w:fldCharType="separate"/>
          </w:r>
          <w:r>
            <w:rPr>
              <w:rFonts w:hint="eastAsia" w:ascii="宋体" w:hAnsi="宋体" w:eastAsia="宋体" w:cs="宋体"/>
              <w:sz w:val="20"/>
              <w:szCs w:val="20"/>
            </w:rPr>
            <w:t>5</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7CC3F10B">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_Toc29642 </w:instrText>
          </w:r>
          <w:r>
            <w:rPr>
              <w:rFonts w:hint="eastAsia" w:ascii="宋体" w:hAnsi="宋体" w:eastAsia="宋体" w:cs="宋体"/>
              <w:sz w:val="20"/>
              <w:szCs w:val="20"/>
            </w:rPr>
            <w:fldChar w:fldCharType="separate"/>
          </w:r>
          <w:r>
            <w:rPr>
              <w:rFonts w:hint="eastAsia" w:ascii="宋体" w:hAnsi="宋体" w:eastAsia="宋体" w:cs="宋体"/>
              <w:sz w:val="20"/>
              <w:szCs w:val="20"/>
            </w:rPr>
            <w:t>十、 其他重要事项的情况说明</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_Toc29642 \h </w:instrText>
          </w:r>
          <w:r>
            <w:rPr>
              <w:rFonts w:hint="eastAsia" w:ascii="宋体" w:hAnsi="宋体" w:eastAsia="宋体" w:cs="宋体"/>
              <w:sz w:val="20"/>
              <w:szCs w:val="20"/>
            </w:rPr>
            <w:fldChar w:fldCharType="separate"/>
          </w:r>
          <w:r>
            <w:rPr>
              <w:rFonts w:hint="eastAsia" w:ascii="宋体" w:hAnsi="宋体" w:eastAsia="宋体" w:cs="宋体"/>
              <w:sz w:val="20"/>
              <w:szCs w:val="20"/>
            </w:rPr>
            <w:t>5</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26DEC13E">
          <w:pPr>
            <w:pStyle w:val="14"/>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_Toc23821 </w:instrText>
          </w:r>
          <w:r>
            <w:rPr>
              <w:rFonts w:hint="eastAsia" w:ascii="宋体" w:hAnsi="宋体" w:eastAsia="宋体" w:cs="宋体"/>
              <w:sz w:val="20"/>
              <w:szCs w:val="20"/>
            </w:rPr>
            <w:fldChar w:fldCharType="separate"/>
          </w:r>
          <w:r>
            <w:rPr>
              <w:rFonts w:hint="eastAsia" w:ascii="宋体" w:hAnsi="宋体" w:eastAsia="宋体" w:cs="宋体"/>
              <w:b/>
              <w:bCs w:val="0"/>
              <w:sz w:val="20"/>
              <w:szCs w:val="20"/>
            </w:rPr>
            <w:t>第三部分 名词解释</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_Toc23821 \h </w:instrText>
          </w:r>
          <w:r>
            <w:rPr>
              <w:rFonts w:hint="eastAsia" w:ascii="宋体" w:hAnsi="宋体" w:eastAsia="宋体" w:cs="宋体"/>
              <w:sz w:val="20"/>
              <w:szCs w:val="20"/>
            </w:rPr>
            <w:fldChar w:fldCharType="separate"/>
          </w:r>
          <w:r>
            <w:rPr>
              <w:rFonts w:hint="eastAsia" w:ascii="宋体" w:hAnsi="宋体" w:eastAsia="宋体" w:cs="宋体"/>
              <w:sz w:val="20"/>
              <w:szCs w:val="20"/>
            </w:rPr>
            <w:t>1</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7C7FDA16">
          <w:pPr>
            <w:pStyle w:val="14"/>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_Toc21667 </w:instrText>
          </w:r>
          <w:r>
            <w:rPr>
              <w:rFonts w:hint="eastAsia" w:ascii="宋体" w:hAnsi="宋体" w:eastAsia="宋体" w:cs="宋体"/>
              <w:sz w:val="20"/>
              <w:szCs w:val="20"/>
            </w:rPr>
            <w:fldChar w:fldCharType="separate"/>
          </w:r>
          <w:r>
            <w:rPr>
              <w:rFonts w:hint="eastAsia" w:ascii="宋体" w:hAnsi="宋体" w:eastAsia="宋体" w:cs="宋体"/>
              <w:b/>
              <w:bCs/>
              <w:sz w:val="20"/>
              <w:szCs w:val="20"/>
            </w:rPr>
            <w:t>第四部分 附件</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_Toc21667 \h </w:instrText>
          </w:r>
          <w:r>
            <w:rPr>
              <w:rFonts w:hint="eastAsia" w:ascii="宋体" w:hAnsi="宋体" w:eastAsia="宋体" w:cs="宋体"/>
              <w:sz w:val="20"/>
              <w:szCs w:val="20"/>
            </w:rPr>
            <w:fldChar w:fldCharType="separate"/>
          </w:r>
          <w:r>
            <w:rPr>
              <w:rFonts w:hint="eastAsia" w:ascii="宋体" w:hAnsi="宋体" w:eastAsia="宋体" w:cs="宋体"/>
              <w:sz w:val="20"/>
              <w:szCs w:val="20"/>
            </w:rPr>
            <w:t>1</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35F933BB">
          <w:pPr>
            <w:pStyle w:val="14"/>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_Toc21303 </w:instrText>
          </w:r>
          <w:r>
            <w:rPr>
              <w:rFonts w:hint="eastAsia" w:ascii="宋体" w:hAnsi="宋体" w:eastAsia="宋体" w:cs="宋体"/>
              <w:sz w:val="20"/>
              <w:szCs w:val="20"/>
            </w:rPr>
            <w:fldChar w:fldCharType="separate"/>
          </w:r>
          <w:r>
            <w:rPr>
              <w:rFonts w:hint="eastAsia" w:ascii="宋体" w:hAnsi="宋体" w:eastAsia="宋体" w:cs="宋体"/>
              <w:b/>
              <w:bCs/>
              <w:sz w:val="20"/>
              <w:szCs w:val="20"/>
              <w:highlight w:val="none"/>
              <w:lang w:eastAsia="zh-CN"/>
            </w:rPr>
            <w:t>第五部分</w:t>
          </w:r>
          <w:r>
            <w:rPr>
              <w:rFonts w:hint="eastAsia" w:ascii="宋体" w:hAnsi="宋体" w:eastAsia="宋体" w:cs="宋体"/>
              <w:b/>
              <w:bCs/>
              <w:sz w:val="20"/>
              <w:szCs w:val="20"/>
              <w:highlight w:val="none"/>
            </w:rPr>
            <w:t>附表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_Toc21303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6C2C08F0">
          <w:pPr>
            <w:pStyle w:val="14"/>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_Toc19325 </w:instrText>
          </w:r>
          <w:r>
            <w:rPr>
              <w:rFonts w:hint="eastAsia" w:ascii="宋体" w:hAnsi="宋体" w:eastAsia="宋体" w:cs="宋体"/>
              <w:sz w:val="20"/>
              <w:szCs w:val="20"/>
            </w:rPr>
            <w:fldChar w:fldCharType="separate"/>
          </w:r>
          <w:r>
            <w:rPr>
              <w:rFonts w:hint="eastAsia" w:ascii="宋体" w:hAnsi="宋体" w:eastAsia="宋体" w:cs="宋体"/>
              <w:bCs/>
              <w:sz w:val="20"/>
              <w:szCs w:val="20"/>
            </w:rPr>
            <w:t>一、收入支出决算总表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_Toc19325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73965ACA">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_Toc30569 </w:instrText>
          </w:r>
          <w:r>
            <w:rPr>
              <w:rFonts w:hint="eastAsia" w:ascii="宋体" w:hAnsi="宋体" w:eastAsia="宋体" w:cs="宋体"/>
              <w:sz w:val="20"/>
              <w:szCs w:val="20"/>
            </w:rPr>
            <w:fldChar w:fldCharType="separate"/>
          </w:r>
          <w:r>
            <w:rPr>
              <w:rFonts w:hint="eastAsia" w:ascii="宋体" w:hAnsi="宋体" w:eastAsia="宋体" w:cs="宋体"/>
              <w:sz w:val="20"/>
              <w:szCs w:val="20"/>
            </w:rPr>
            <w:t>二、收入决算表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_Toc30569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2FD3B7A8">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_Toc30361 </w:instrText>
          </w:r>
          <w:r>
            <w:rPr>
              <w:rFonts w:hint="eastAsia" w:ascii="宋体" w:hAnsi="宋体" w:eastAsia="宋体" w:cs="宋体"/>
              <w:sz w:val="20"/>
              <w:szCs w:val="20"/>
            </w:rPr>
            <w:fldChar w:fldCharType="separate"/>
          </w:r>
          <w:r>
            <w:rPr>
              <w:rFonts w:hint="eastAsia" w:ascii="宋体" w:hAnsi="宋体" w:eastAsia="宋体" w:cs="宋体"/>
              <w:sz w:val="20"/>
              <w:szCs w:val="20"/>
            </w:rPr>
            <w:t>三、支出决算表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_Toc30361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78DB0792">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_Toc27804 </w:instrText>
          </w:r>
          <w:r>
            <w:rPr>
              <w:rFonts w:hint="eastAsia" w:ascii="宋体" w:hAnsi="宋体" w:eastAsia="宋体" w:cs="宋体"/>
              <w:sz w:val="20"/>
              <w:szCs w:val="20"/>
            </w:rPr>
            <w:fldChar w:fldCharType="separate"/>
          </w:r>
          <w:r>
            <w:rPr>
              <w:rFonts w:hint="eastAsia" w:ascii="宋体" w:hAnsi="宋体" w:eastAsia="宋体" w:cs="宋体"/>
              <w:sz w:val="20"/>
              <w:szCs w:val="20"/>
            </w:rPr>
            <w:t>四、财政拨款收入支出决算总表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_Toc27804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635F9784">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_Toc31371 </w:instrText>
          </w:r>
          <w:r>
            <w:rPr>
              <w:rFonts w:hint="eastAsia" w:ascii="宋体" w:hAnsi="宋体" w:eastAsia="宋体" w:cs="宋体"/>
              <w:sz w:val="20"/>
              <w:szCs w:val="20"/>
            </w:rPr>
            <w:fldChar w:fldCharType="separate"/>
          </w:r>
          <w:r>
            <w:rPr>
              <w:rFonts w:hint="eastAsia" w:ascii="宋体" w:hAnsi="宋体" w:eastAsia="宋体" w:cs="宋体"/>
              <w:sz w:val="20"/>
              <w:szCs w:val="20"/>
            </w:rPr>
            <w:t>五、财政拨款支出决算明细表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_Toc31371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1CA75383">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_Toc24776 </w:instrText>
          </w:r>
          <w:r>
            <w:rPr>
              <w:rFonts w:hint="eastAsia" w:ascii="宋体" w:hAnsi="宋体" w:eastAsia="宋体" w:cs="宋体"/>
              <w:sz w:val="20"/>
              <w:szCs w:val="20"/>
            </w:rPr>
            <w:fldChar w:fldCharType="separate"/>
          </w:r>
          <w:r>
            <w:rPr>
              <w:rFonts w:hint="eastAsia" w:ascii="宋体" w:hAnsi="宋体" w:eastAsia="宋体" w:cs="宋体"/>
              <w:sz w:val="20"/>
              <w:szCs w:val="20"/>
            </w:rPr>
            <w:t>六、一般公共预算财政拨款支出决算表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_Toc24776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2AA9269F">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_Toc7714 </w:instrText>
          </w:r>
          <w:r>
            <w:rPr>
              <w:rFonts w:hint="eastAsia" w:ascii="宋体" w:hAnsi="宋体" w:eastAsia="宋体" w:cs="宋体"/>
              <w:sz w:val="20"/>
              <w:szCs w:val="20"/>
            </w:rPr>
            <w:fldChar w:fldCharType="separate"/>
          </w:r>
          <w:r>
            <w:rPr>
              <w:rFonts w:hint="eastAsia" w:ascii="宋体" w:hAnsi="宋体" w:eastAsia="宋体" w:cs="宋体"/>
              <w:sz w:val="20"/>
              <w:szCs w:val="20"/>
            </w:rPr>
            <w:t>七、一般公共预算财政拨款支出决算明细表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_Toc7714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25479B71">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_Toc30034 </w:instrText>
          </w:r>
          <w:r>
            <w:rPr>
              <w:rFonts w:hint="eastAsia" w:ascii="宋体" w:hAnsi="宋体" w:eastAsia="宋体" w:cs="宋体"/>
              <w:sz w:val="20"/>
              <w:szCs w:val="20"/>
            </w:rPr>
            <w:fldChar w:fldCharType="separate"/>
          </w:r>
          <w:r>
            <w:rPr>
              <w:rFonts w:hint="eastAsia" w:ascii="宋体" w:hAnsi="宋体" w:eastAsia="宋体" w:cs="宋体"/>
              <w:sz w:val="20"/>
              <w:szCs w:val="20"/>
            </w:rPr>
            <w:t>八、一般公共预算财政拨款基本支出决算</w:t>
          </w:r>
          <w:r>
            <w:rPr>
              <w:rFonts w:hint="eastAsia" w:ascii="宋体" w:hAnsi="宋体" w:eastAsia="宋体" w:cs="宋体"/>
              <w:sz w:val="20"/>
              <w:szCs w:val="20"/>
              <w:lang w:eastAsia="zh-CN"/>
            </w:rPr>
            <w:t>明细</w:t>
          </w:r>
          <w:r>
            <w:rPr>
              <w:rFonts w:hint="eastAsia" w:ascii="宋体" w:hAnsi="宋体" w:eastAsia="宋体" w:cs="宋体"/>
              <w:sz w:val="20"/>
              <w:szCs w:val="20"/>
            </w:rPr>
            <w:t>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_Toc30034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4DD669D5">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_Toc25531 </w:instrText>
          </w:r>
          <w:r>
            <w:rPr>
              <w:rFonts w:hint="eastAsia" w:ascii="宋体" w:hAnsi="宋体" w:eastAsia="宋体" w:cs="宋体"/>
              <w:sz w:val="20"/>
              <w:szCs w:val="20"/>
            </w:rPr>
            <w:fldChar w:fldCharType="separate"/>
          </w:r>
          <w:r>
            <w:rPr>
              <w:rFonts w:hint="eastAsia" w:ascii="宋体" w:hAnsi="宋体" w:eastAsia="宋体" w:cs="宋体"/>
              <w:sz w:val="20"/>
              <w:szCs w:val="20"/>
            </w:rPr>
            <w:t>九、一般公共预算财政拨款项目支出决算表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_Toc25531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644960EA">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_Toc6018 </w:instrText>
          </w:r>
          <w:r>
            <w:rPr>
              <w:rFonts w:hint="eastAsia" w:ascii="宋体" w:hAnsi="宋体" w:eastAsia="宋体" w:cs="宋体"/>
              <w:sz w:val="20"/>
              <w:szCs w:val="20"/>
            </w:rPr>
            <w:fldChar w:fldCharType="separate"/>
          </w:r>
          <w:r>
            <w:rPr>
              <w:rFonts w:hint="eastAsia" w:ascii="宋体" w:hAnsi="宋体" w:eastAsia="宋体" w:cs="宋体"/>
              <w:sz w:val="20"/>
              <w:szCs w:val="20"/>
            </w:rPr>
            <w:t>十、政府性基金预算财政拨款收入支出决算表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_Toc6018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0168A146">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_Toc11862 </w:instrText>
          </w:r>
          <w:r>
            <w:rPr>
              <w:rFonts w:hint="eastAsia" w:ascii="宋体" w:hAnsi="宋体" w:eastAsia="宋体" w:cs="宋体"/>
              <w:sz w:val="20"/>
              <w:szCs w:val="20"/>
            </w:rPr>
            <w:fldChar w:fldCharType="separate"/>
          </w:r>
          <w:r>
            <w:rPr>
              <w:rFonts w:hint="eastAsia" w:ascii="宋体" w:hAnsi="宋体" w:eastAsia="宋体" w:cs="宋体"/>
              <w:sz w:val="20"/>
              <w:szCs w:val="20"/>
            </w:rPr>
            <w:t>十一、 国有资本经营预算</w:t>
          </w:r>
          <w:r>
            <w:rPr>
              <w:rFonts w:hint="eastAsia" w:ascii="宋体" w:hAnsi="宋体" w:eastAsia="宋体" w:cs="宋体"/>
              <w:sz w:val="20"/>
              <w:szCs w:val="20"/>
              <w:lang w:eastAsia="zh-CN"/>
            </w:rPr>
            <w:t>财政拨款收入</w:t>
          </w:r>
          <w:r>
            <w:rPr>
              <w:rFonts w:hint="eastAsia" w:ascii="宋体" w:hAnsi="宋体" w:eastAsia="宋体" w:cs="宋体"/>
              <w:sz w:val="20"/>
              <w:szCs w:val="20"/>
            </w:rPr>
            <w:t>支出决算表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_Toc11862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3851B53F">
          <w:pPr>
            <w:pStyle w:val="16"/>
            <w:tabs>
              <w:tab w:val="right" w:leader="dot" w:pos="8306"/>
              <w:tab w:val="clear" w:pos="8296"/>
            </w:tabs>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_Toc1486 </w:instrText>
          </w:r>
          <w:r>
            <w:rPr>
              <w:rFonts w:hint="eastAsia" w:ascii="宋体" w:hAnsi="宋体" w:eastAsia="宋体" w:cs="宋体"/>
              <w:sz w:val="20"/>
              <w:szCs w:val="20"/>
            </w:rPr>
            <w:fldChar w:fldCharType="separate"/>
          </w:r>
          <w:r>
            <w:rPr>
              <w:rFonts w:hint="eastAsia" w:ascii="宋体" w:hAnsi="宋体" w:eastAsia="宋体" w:cs="宋体"/>
              <w:sz w:val="20"/>
              <w:szCs w:val="20"/>
            </w:rPr>
            <w:t xml:space="preserve">十二、 </w:t>
          </w:r>
          <w:r>
            <w:rPr>
              <w:rFonts w:hint="eastAsia" w:ascii="宋体" w:hAnsi="宋体" w:eastAsia="宋体" w:cs="宋体"/>
              <w:sz w:val="20"/>
              <w:szCs w:val="20"/>
              <w:lang w:eastAsia="zh-CN"/>
            </w:rPr>
            <w:t>国有资本经营预算财政拨款支出决算表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_Toc1486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457FBF55">
          <w:pPr>
            <w:pStyle w:val="16"/>
            <w:tabs>
              <w:tab w:val="right" w:leader="dot" w:pos="8306"/>
              <w:tab w:val="clear" w:pos="8296"/>
            </w:tabs>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\l _Toc21568 </w:instrText>
          </w:r>
          <w:r>
            <w:rPr>
              <w:rFonts w:hint="eastAsia" w:ascii="宋体" w:hAnsi="宋体" w:eastAsia="宋体" w:cs="宋体"/>
              <w:sz w:val="20"/>
              <w:szCs w:val="20"/>
            </w:rPr>
            <w:fldChar w:fldCharType="separate"/>
          </w:r>
          <w:r>
            <w:rPr>
              <w:rFonts w:hint="eastAsia" w:ascii="宋体" w:hAnsi="宋体" w:eastAsia="宋体" w:cs="宋体"/>
              <w:sz w:val="20"/>
              <w:szCs w:val="20"/>
            </w:rPr>
            <w:t>十三、 财政拨款“三公”经费支出决算表</w:t>
          </w:r>
          <w:r>
            <w:rPr>
              <w:rFonts w:hint="eastAsia" w:ascii="宋体" w:hAnsi="宋体" w:eastAsia="宋体" w:cs="宋体"/>
              <w:sz w:val="20"/>
              <w:szCs w:val="20"/>
            </w:rPr>
            <w:tab/>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PAGEREF _Toc21568 \h </w:instrText>
          </w:r>
          <w:r>
            <w:rPr>
              <w:rFonts w:hint="eastAsia" w:ascii="宋体" w:hAnsi="宋体" w:eastAsia="宋体" w:cs="宋体"/>
              <w:sz w:val="20"/>
              <w:szCs w:val="20"/>
            </w:rPr>
            <w:fldChar w:fldCharType="separate"/>
          </w:r>
          <w:r>
            <w:rPr>
              <w:rFonts w:hint="eastAsia" w:ascii="宋体" w:hAnsi="宋体" w:eastAsia="宋体" w:cs="宋体"/>
              <w:sz w:val="20"/>
              <w:szCs w:val="20"/>
            </w:rPr>
            <w:t>8</w:t>
          </w:r>
          <w:r>
            <w:rPr>
              <w:rFonts w:hint="eastAsia" w:ascii="宋体" w:hAnsi="宋体" w:eastAsia="宋体" w:cs="宋体"/>
              <w:sz w:val="20"/>
              <w:szCs w:val="20"/>
            </w:rPr>
            <w:fldChar w:fldCharType="end"/>
          </w:r>
          <w:r>
            <w:rPr>
              <w:rFonts w:hint="eastAsia" w:ascii="宋体" w:hAnsi="宋体" w:eastAsia="宋体" w:cs="宋体"/>
              <w:sz w:val="20"/>
              <w:szCs w:val="20"/>
            </w:rPr>
            <w:fldChar w:fldCharType="end"/>
          </w:r>
        </w:p>
        <w:p w14:paraId="05AFC925">
          <w:pPr>
            <w:rPr>
              <w:rFonts w:hint="eastAsia" w:ascii="宋体" w:hAnsi="宋体" w:eastAsia="宋体" w:cs="宋体"/>
              <w:sz w:val="20"/>
              <w:szCs w:val="20"/>
            </w:rPr>
          </w:pPr>
          <w:r>
            <w:rPr>
              <w:rFonts w:hint="eastAsia" w:ascii="宋体" w:hAnsi="宋体" w:eastAsia="宋体" w:cs="宋体"/>
              <w:szCs w:val="20"/>
            </w:rPr>
            <w:fldChar w:fldCharType="end"/>
          </w:r>
        </w:p>
      </w:sdtContent>
    </w:sdt>
    <w:p w14:paraId="2FAB75BE">
      <w:pPr>
        <w:widowControl/>
        <w:spacing w:line="440" w:lineRule="exact"/>
        <w:jc w:val="left"/>
        <w:rPr>
          <w:rFonts w:ascii="仿宋" w:hAnsi="仿宋" w:eastAsia="仿宋"/>
          <w:bCs/>
          <w:color w:val="auto"/>
          <w:kern w:val="44"/>
          <w:sz w:val="24"/>
          <w:highlight w:val="none"/>
        </w:rPr>
      </w:pPr>
      <w:r>
        <w:rPr>
          <w:rFonts w:ascii="仿宋" w:hAnsi="仿宋" w:eastAsia="仿宋"/>
          <w:b/>
          <w:color w:val="auto"/>
          <w:sz w:val="24"/>
          <w:highlight w:val="none"/>
        </w:rPr>
        <w:br w:type="page"/>
      </w:r>
    </w:p>
    <w:p w14:paraId="5F04C9BF">
      <w:pPr>
        <w:pStyle w:val="3"/>
        <w:bidi w:val="0"/>
        <w:jc w:val="center"/>
      </w:pPr>
      <w:bookmarkStart w:id="20" w:name="_Toc31228"/>
      <w:r>
        <w:rPr>
          <w:rFonts w:hint="eastAsia"/>
        </w:rPr>
        <w:t xml:space="preserve">第一部分 </w:t>
      </w:r>
      <w:r>
        <w:rPr>
          <w:rFonts w:hint="eastAsia"/>
          <w:lang w:eastAsia="zh-CN"/>
        </w:rPr>
        <w:t>单位</w:t>
      </w:r>
      <w:r>
        <w:rPr>
          <w:rFonts w:hint="eastAsia"/>
        </w:rPr>
        <w:t>概况</w:t>
      </w:r>
      <w:bookmarkEnd w:id="18"/>
      <w:bookmarkEnd w:id="19"/>
      <w:bookmarkEnd w:id="20"/>
    </w:p>
    <w:p w14:paraId="31D44992">
      <w:pPr>
        <w:widowControl/>
        <w:jc w:val="left"/>
        <w:rPr>
          <w:rFonts w:ascii="黑体" w:eastAsia="黑体"/>
          <w:color w:val="auto"/>
          <w:sz w:val="32"/>
          <w:szCs w:val="32"/>
          <w:highlight w:val="none"/>
        </w:rPr>
      </w:pPr>
    </w:p>
    <w:p w14:paraId="2AD1CEDC">
      <w:pPr>
        <w:pStyle w:val="7"/>
        <w:adjustRightInd w:val="0"/>
        <w:snapToGrid w:val="0"/>
        <w:spacing w:before="93" w:line="600" w:lineRule="exact"/>
        <w:ind w:firstLine="630" w:firstLineChars="210"/>
        <w:outlineLvl w:val="2"/>
        <w:rPr>
          <w:rFonts w:hint="eastAsia" w:ascii="仿宋_GB2312" w:hAnsi="仿宋_GB2312" w:eastAsia="仿宋_GB2312" w:cs="仿宋_GB2312"/>
          <w:bCs/>
          <w:color w:val="auto"/>
          <w:sz w:val="32"/>
          <w:szCs w:val="32"/>
          <w:highlight w:val="none"/>
        </w:rPr>
      </w:pPr>
      <w:bookmarkStart w:id="21" w:name="_Toc15396600"/>
      <w:bookmarkStart w:id="22" w:name="_Toc15377197"/>
      <w:bookmarkStart w:id="23" w:name="_Toc4744"/>
      <w:r>
        <w:rPr>
          <w:rFonts w:hint="eastAsia"/>
        </w:rPr>
        <w:t>一、</w:t>
      </w:r>
      <w:bookmarkEnd w:id="21"/>
      <w:bookmarkEnd w:id="22"/>
      <w:bookmarkEnd w:id="23"/>
      <w:bookmarkStart w:id="24" w:name="_Toc15378445"/>
      <w:bookmarkStart w:id="25" w:name="_Toc15377198"/>
      <w:r>
        <w:rPr>
          <w:rFonts w:hint="eastAsia" w:ascii="仿宋_GB2312" w:hAnsi="仿宋_GB2312" w:eastAsia="仿宋_GB2312" w:cs="仿宋_GB2312"/>
          <w:bCs/>
          <w:color w:val="auto"/>
          <w:sz w:val="32"/>
          <w:szCs w:val="32"/>
          <w:highlight w:val="none"/>
        </w:rPr>
        <w:t>主要职</w:t>
      </w:r>
      <w:r>
        <w:rPr>
          <w:rFonts w:hint="eastAsia" w:hAnsi="仿宋_GB2312" w:cs="仿宋_GB2312"/>
          <w:bCs/>
          <w:color w:val="auto"/>
          <w:sz w:val="32"/>
          <w:szCs w:val="32"/>
          <w:highlight w:val="none"/>
          <w:lang w:eastAsia="zh-CN"/>
        </w:rPr>
        <w:t>责</w:t>
      </w:r>
      <w:r>
        <w:rPr>
          <w:rFonts w:hint="eastAsia" w:ascii="仿宋_GB2312" w:hAnsi="仿宋_GB2312" w:eastAsia="仿宋_GB2312" w:cs="仿宋_GB2312"/>
          <w:bCs/>
          <w:color w:val="auto"/>
          <w:sz w:val="32"/>
          <w:szCs w:val="32"/>
          <w:highlight w:val="none"/>
        </w:rPr>
        <w:t>。</w:t>
      </w:r>
      <w:bookmarkEnd w:id="24"/>
      <w:bookmarkEnd w:id="25"/>
      <w:bookmarkStart w:id="26" w:name="_Toc15378446"/>
      <w:bookmarkStart w:id="27" w:name="_Toc15377199"/>
    </w:p>
    <w:p w14:paraId="6D0AECFC">
      <w:pPr>
        <w:pStyle w:val="7"/>
        <w:adjustRightInd w:val="0"/>
        <w:snapToGrid w:val="0"/>
        <w:spacing w:before="93" w:line="600" w:lineRule="exact"/>
        <w:ind w:firstLine="672" w:firstLineChars="210"/>
        <w:outlineLvl w:val="2"/>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贯彻落实党中央、省委、市委关于退役军人工作的方针政策和县委的决策部署，坚持和加强党对退役军人工作的集中统一领导。做好退役军人思想政治建设、转业接收安置、就业创业帮扶、服务管理、教育培训、拥军优属、优待抚恤、褒扬激励等工作，维护好军人军属合法权益。建立健全退役军人管理保障机制，协调各方力量更好为军人军属服务，褒扬彰显退役军人为党、国家和人民牺牲奉献的精神风范和价值导向，让军人成为全社会尊崇的职业，更好地为增强部队战斗力和凝聚力做好组织保障。</w:t>
      </w:r>
    </w:p>
    <w:p w14:paraId="3DFCAD2B">
      <w:pPr>
        <w:pStyle w:val="4"/>
        <w:bidi w:val="0"/>
      </w:pPr>
      <w:bookmarkStart w:id="28" w:name="_Toc9883"/>
      <w:r>
        <w:rPr>
          <w:rFonts w:hint="eastAsia"/>
        </w:rPr>
        <w:t>二、机构设置</w:t>
      </w:r>
      <w:bookmarkEnd w:id="28"/>
    </w:p>
    <w:p w14:paraId="3A31DAD1">
      <w:pPr>
        <w:ind w:firstLine="800" w:firstLineChars="2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退役军人事务局下属二级单位1个，其中行政单位0个，参照公务员法管理的事业单位0个，其他事业单位1个。</w:t>
      </w:r>
    </w:p>
    <w:p w14:paraId="12D964C8">
      <w:pPr>
        <w:ind w:firstLine="800" w:firstLineChars="25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纳入县退役军人事务局20</w:t>
      </w:r>
      <w:r>
        <w:rPr>
          <w:rFonts w:hint="eastAsia" w:ascii="仿宋_GB2312" w:hAnsi="仿宋_GB2312" w:eastAsia="仿宋_GB2312" w:cs="仿宋_GB2312"/>
          <w:color w:val="000000"/>
          <w:sz w:val="32"/>
          <w:szCs w:val="32"/>
          <w:lang w:val="en-US" w:eastAsia="zh-CN"/>
        </w:rPr>
        <w:t>23</w:t>
      </w:r>
      <w:r>
        <w:rPr>
          <w:rFonts w:hint="eastAsia" w:ascii="仿宋_GB2312" w:hAnsi="仿宋_GB2312" w:eastAsia="仿宋_GB2312" w:cs="仿宋_GB2312"/>
          <w:color w:val="000000"/>
          <w:sz w:val="32"/>
          <w:szCs w:val="32"/>
        </w:rPr>
        <w:t>年度部门决算编制范围的二级预算单位</w:t>
      </w:r>
      <w:r>
        <w:rPr>
          <w:rFonts w:hint="eastAsia" w:ascii="仿宋_GB2312" w:hAnsi="仿宋_GB2312" w:eastAsia="仿宋_GB2312" w:cs="仿宋_GB2312"/>
          <w:color w:val="000000"/>
          <w:sz w:val="32"/>
          <w:szCs w:val="32"/>
          <w:lang w:val="en-US" w:eastAsia="zh-CN"/>
        </w:rPr>
        <w:t>0个。</w:t>
      </w:r>
    </w:p>
    <w:bookmarkEnd w:id="26"/>
    <w:bookmarkEnd w:id="27"/>
    <w:p w14:paraId="17772221">
      <w:pPr>
        <w:widowControl/>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br w:type="page"/>
      </w:r>
    </w:p>
    <w:p w14:paraId="199F0967">
      <w:pPr>
        <w:pStyle w:val="3"/>
        <w:bidi w:val="0"/>
        <w:jc w:val="center"/>
      </w:pPr>
      <w:bookmarkStart w:id="29" w:name="_Toc15377204"/>
      <w:bookmarkStart w:id="30" w:name="_Toc14576"/>
      <w:bookmarkStart w:id="31" w:name="_Toc15396602"/>
      <w:r>
        <w:rPr>
          <w:rFonts w:hint="eastAsia"/>
        </w:rPr>
        <w:t xml:space="preserve">第二部分 </w:t>
      </w:r>
      <w:r>
        <w:rPr>
          <w:rFonts w:hint="eastAsia"/>
          <w:lang w:val="en-US" w:eastAsia="zh-CN"/>
        </w:rPr>
        <w:t>2023年度</w:t>
      </w:r>
      <w:r>
        <w:rPr>
          <w:rFonts w:hint="eastAsia"/>
          <w:lang w:eastAsia="zh-CN"/>
        </w:rPr>
        <w:t>单位</w:t>
      </w:r>
      <w:r>
        <w:rPr>
          <w:rFonts w:hint="eastAsia"/>
        </w:rPr>
        <w:t>决算情况说明</w:t>
      </w:r>
      <w:bookmarkEnd w:id="29"/>
      <w:bookmarkEnd w:id="30"/>
      <w:bookmarkEnd w:id="31"/>
    </w:p>
    <w:p w14:paraId="32DD846A">
      <w:pPr>
        <w:rPr>
          <w:color w:val="auto"/>
          <w:highlight w:val="none"/>
        </w:rPr>
      </w:pPr>
    </w:p>
    <w:p w14:paraId="4FE14FCE">
      <w:pPr>
        <w:pStyle w:val="4"/>
        <w:numPr>
          <w:ilvl w:val="0"/>
          <w:numId w:val="1"/>
        </w:numPr>
        <w:bidi w:val="0"/>
      </w:pPr>
      <w:bookmarkStart w:id="32" w:name="_Toc15377205"/>
      <w:bookmarkStart w:id="33" w:name="_Toc15396603"/>
      <w:bookmarkStart w:id="34" w:name="_Toc7993"/>
      <w:r>
        <w:rPr>
          <w:rFonts w:hint="eastAsia"/>
        </w:rPr>
        <w:t>收入支出决算总体情况说明</w:t>
      </w:r>
      <w:bookmarkEnd w:id="32"/>
      <w:bookmarkEnd w:id="33"/>
      <w:bookmarkEnd w:id="34"/>
    </w:p>
    <w:p w14:paraId="6365E5D5">
      <w:pPr>
        <w:spacing w:line="600" w:lineRule="exact"/>
        <w:ind w:firstLine="640" w:firstLineChars="200"/>
        <w:rPr>
          <w:rFonts w:hint="eastAsia" w:ascii="仿宋_GB2312" w:hAnsi="仿宋_GB2312" w:eastAsia="仿宋_GB2312" w:cs="Times New Roman"/>
          <w:color w:val="000000"/>
          <w:kern w:val="2"/>
          <w:sz w:val="32"/>
          <w:szCs w:val="24"/>
          <w:lang w:val="zh-CN" w:eastAsia="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年度收、支总计</w:t>
      </w:r>
      <w:r>
        <w:rPr>
          <w:rFonts w:hint="eastAsia" w:ascii="仿宋_GB2312" w:hAnsi="仿宋_GB2312" w:eastAsia="仿宋_GB2312"/>
          <w:color w:val="000000"/>
          <w:kern w:val="2"/>
          <w:sz w:val="32"/>
          <w:szCs w:val="24"/>
          <w:lang w:val="en-US" w:eastAsia="zh-CN"/>
        </w:rPr>
        <w:t>1424.08</w:t>
      </w:r>
      <w:r>
        <w:rPr>
          <w:rFonts w:hint="eastAsia" w:ascii="仿宋_GB2312" w:hAnsi="仿宋_GB2312" w:eastAsia="仿宋_GB2312"/>
          <w:color w:val="000000"/>
          <w:kern w:val="2"/>
          <w:sz w:val="32"/>
          <w:szCs w:val="24"/>
          <w:lang w:val="zh-CN"/>
        </w:rPr>
        <w:t>万元。与202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年相比，收、支总计各</w:t>
      </w:r>
      <w:r>
        <w:rPr>
          <w:rFonts w:hint="eastAsia" w:ascii="仿宋_GB2312" w:hAnsi="仿宋_GB2312" w:eastAsia="仿宋_GB2312"/>
          <w:color w:val="000000"/>
          <w:kern w:val="2"/>
          <w:sz w:val="32"/>
          <w:szCs w:val="24"/>
          <w:lang w:val="en-US" w:eastAsia="zh-CN"/>
        </w:rPr>
        <w:t>增加96.39</w:t>
      </w:r>
      <w:r>
        <w:rPr>
          <w:rFonts w:hint="eastAsia" w:ascii="仿宋_GB2312" w:hAnsi="仿宋_GB2312" w:eastAsia="仿宋_GB2312"/>
          <w:color w:val="000000"/>
          <w:kern w:val="2"/>
          <w:sz w:val="32"/>
          <w:szCs w:val="24"/>
          <w:lang w:val="zh-CN"/>
        </w:rPr>
        <w:t>万元，</w:t>
      </w:r>
      <w:r>
        <w:rPr>
          <w:rFonts w:hint="eastAsia" w:ascii="仿宋_GB2312" w:hAnsi="仿宋_GB2312" w:eastAsia="仿宋_GB2312"/>
          <w:color w:val="000000"/>
          <w:kern w:val="2"/>
          <w:sz w:val="32"/>
          <w:szCs w:val="24"/>
          <w:lang w:val="en-US" w:eastAsia="zh-CN"/>
        </w:rPr>
        <w:t>增长7.3</w:t>
      </w:r>
      <w:r>
        <w:rPr>
          <w:rFonts w:hint="eastAsia" w:ascii="仿宋_GB2312" w:hAnsi="仿宋_GB2312" w:eastAsia="仿宋_GB2312"/>
          <w:color w:val="000000"/>
          <w:kern w:val="2"/>
          <w:sz w:val="32"/>
          <w:szCs w:val="24"/>
          <w:lang w:val="zh-CN"/>
        </w:rPr>
        <w:t>%。主要变动原因是人</w:t>
      </w:r>
      <w:r>
        <w:rPr>
          <w:rFonts w:hint="eastAsia" w:ascii="仿宋_GB2312" w:hAnsi="仿宋_GB2312" w:eastAsia="仿宋_GB2312" w:cs="Times New Roman"/>
          <w:color w:val="000000"/>
          <w:kern w:val="2"/>
          <w:sz w:val="32"/>
          <w:szCs w:val="24"/>
          <w:lang w:val="zh-CN" w:eastAsia="zh-CN"/>
        </w:rPr>
        <w:t>员及项目</w:t>
      </w:r>
      <w:r>
        <w:rPr>
          <w:rFonts w:hint="eastAsia" w:ascii="仿宋_GB2312" w:hAnsi="仿宋_GB2312" w:eastAsia="仿宋_GB2312" w:cs="Times New Roman"/>
          <w:color w:val="000000"/>
          <w:kern w:val="2"/>
          <w:sz w:val="32"/>
          <w:szCs w:val="24"/>
          <w:lang w:val="en-US" w:eastAsia="zh-CN"/>
        </w:rPr>
        <w:t>增加</w:t>
      </w:r>
      <w:r>
        <w:rPr>
          <w:rFonts w:hint="eastAsia" w:ascii="仿宋_GB2312" w:hAnsi="仿宋_GB2312" w:eastAsia="仿宋_GB2312" w:cs="Times New Roman"/>
          <w:color w:val="000000"/>
          <w:kern w:val="2"/>
          <w:sz w:val="32"/>
          <w:szCs w:val="24"/>
          <w:lang w:val="zh-CN" w:eastAsia="zh-CN"/>
        </w:rPr>
        <w:t>，经费</w:t>
      </w:r>
      <w:r>
        <w:rPr>
          <w:rFonts w:hint="eastAsia" w:ascii="仿宋_GB2312" w:hAnsi="仿宋_GB2312" w:eastAsia="仿宋_GB2312" w:cs="Times New Roman"/>
          <w:color w:val="000000"/>
          <w:kern w:val="2"/>
          <w:sz w:val="32"/>
          <w:szCs w:val="24"/>
          <w:lang w:val="en-US" w:eastAsia="zh-CN"/>
        </w:rPr>
        <w:t>增加</w:t>
      </w:r>
      <w:r>
        <w:rPr>
          <w:rFonts w:hint="eastAsia" w:ascii="仿宋_GB2312" w:hAnsi="仿宋_GB2312" w:eastAsia="仿宋_GB2312" w:cs="Times New Roman"/>
          <w:color w:val="000000"/>
          <w:kern w:val="2"/>
          <w:sz w:val="32"/>
          <w:szCs w:val="24"/>
          <w:lang w:val="zh-CN" w:eastAsia="zh-CN"/>
        </w:rPr>
        <w:t>。</w:t>
      </w:r>
    </w:p>
    <w:p w14:paraId="1E7A4093">
      <w:pPr>
        <w:pStyle w:val="2"/>
        <w:spacing w:line="240" w:lineRule="auto"/>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inline distT="0" distB="0" distL="114300" distR="114300">
            <wp:extent cx="4839970" cy="2755265"/>
            <wp:effectExtent l="0" t="0" r="11430" b="635"/>
            <wp:docPr id="1" name="图片 1" descr="收、支决算总计变动情况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收、支决算总计变动情况图1"/>
                    <pic:cNvPicPr>
                      <a:picLocks noChangeAspect="1"/>
                    </pic:cNvPicPr>
                  </pic:nvPicPr>
                  <pic:blipFill>
                    <a:blip r:embed="rId8"/>
                    <a:stretch>
                      <a:fillRect/>
                    </a:stretch>
                  </pic:blipFill>
                  <pic:spPr>
                    <a:xfrm>
                      <a:off x="0" y="0"/>
                      <a:ext cx="4839970" cy="2755265"/>
                    </a:xfrm>
                    <a:prstGeom prst="rect">
                      <a:avLst/>
                    </a:prstGeom>
                  </pic:spPr>
                </pic:pic>
              </a:graphicData>
            </a:graphic>
          </wp:inline>
        </w:drawing>
      </w:r>
    </w:p>
    <w:p w14:paraId="21A46E6E">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w:t>
      </w:r>
    </w:p>
    <w:p w14:paraId="0D220E75">
      <w:pPr>
        <w:pStyle w:val="4"/>
        <w:numPr>
          <w:ilvl w:val="0"/>
          <w:numId w:val="1"/>
        </w:numPr>
        <w:bidi w:val="0"/>
      </w:pPr>
      <w:bookmarkStart w:id="35" w:name="_Toc14774"/>
      <w:bookmarkStart w:id="36" w:name="_Toc15377206"/>
      <w:bookmarkStart w:id="37" w:name="_Toc15396604"/>
      <w:r>
        <w:rPr>
          <w:rFonts w:hint="eastAsia"/>
        </w:rPr>
        <w:t>收入决算情况说明</w:t>
      </w:r>
      <w:bookmarkEnd w:id="35"/>
      <w:bookmarkEnd w:id="36"/>
      <w:bookmarkEnd w:id="37"/>
    </w:p>
    <w:p w14:paraId="57123B6C">
      <w:pPr>
        <w:keepNext/>
        <w:keepLines/>
        <w:spacing w:beforeLines="0" w:afterLines="0" w:line="576" w:lineRule="exact"/>
        <w:ind w:firstLine="640"/>
        <w:jc w:val="both"/>
        <w:rPr>
          <w:rFonts w:hint="default" w:ascii="仿宋_GB2312" w:hAnsi="仿宋_GB2312" w:eastAsia="仿宋_GB2312"/>
          <w:color w:val="000000"/>
          <w:kern w:val="2"/>
          <w:sz w:val="32"/>
          <w:szCs w:val="24"/>
          <w:lang w:val="en-US" w:eastAsia="zh-CN"/>
        </w:rPr>
      </w:pPr>
      <w:bookmarkStart w:id="38" w:name="_Toc6615"/>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年本年收入合计</w:t>
      </w:r>
      <w:r>
        <w:rPr>
          <w:rFonts w:hint="eastAsia" w:ascii="仿宋_GB2312" w:hAnsi="仿宋_GB2312" w:eastAsia="仿宋_GB2312"/>
          <w:color w:val="000000"/>
          <w:kern w:val="2"/>
          <w:sz w:val="32"/>
          <w:szCs w:val="24"/>
          <w:lang w:val="en-US" w:eastAsia="zh-CN"/>
        </w:rPr>
        <w:t>1388.75</w:t>
      </w:r>
      <w:r>
        <w:rPr>
          <w:rFonts w:hint="eastAsia" w:ascii="仿宋_GB2312" w:hAnsi="仿宋_GB2312" w:eastAsia="仿宋_GB2312"/>
          <w:color w:val="000000"/>
          <w:kern w:val="2"/>
          <w:sz w:val="32"/>
          <w:szCs w:val="24"/>
          <w:lang w:val="zh-CN"/>
        </w:rPr>
        <w:t>万元，其中：一般公共预算财政拨款收入</w:t>
      </w:r>
      <w:r>
        <w:rPr>
          <w:rFonts w:hint="eastAsia" w:ascii="仿宋_GB2312" w:hAnsi="仿宋_GB2312" w:eastAsia="仿宋_GB2312"/>
          <w:color w:val="000000"/>
          <w:kern w:val="2"/>
          <w:sz w:val="32"/>
          <w:szCs w:val="24"/>
          <w:lang w:val="en-US" w:eastAsia="zh-CN"/>
        </w:rPr>
        <w:t>1107.59</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79.8</w:t>
      </w:r>
      <w:r>
        <w:rPr>
          <w:rFonts w:hint="eastAsia" w:ascii="仿宋_GB2312" w:hAnsi="仿宋_GB2312" w:eastAsia="仿宋_GB2312"/>
          <w:color w:val="000000"/>
          <w:kern w:val="2"/>
          <w:sz w:val="32"/>
          <w:szCs w:val="24"/>
          <w:lang w:val="zh-CN"/>
        </w:rPr>
        <w:t>%；政府性基金预算财政拨款收入</w:t>
      </w:r>
      <w:r>
        <w:rPr>
          <w:rFonts w:hint="eastAsia" w:ascii="仿宋_GB2312" w:hAnsi="仿宋_GB2312" w:eastAsia="仿宋_GB2312"/>
          <w:color w:val="000000"/>
          <w:kern w:val="2"/>
          <w:sz w:val="32"/>
          <w:szCs w:val="24"/>
          <w:lang w:val="en-US" w:eastAsia="zh-CN"/>
        </w:rPr>
        <w:t>281.16</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20.2</w:t>
      </w:r>
      <w:r>
        <w:rPr>
          <w:rFonts w:hint="eastAsia" w:ascii="仿宋_GB2312" w:hAnsi="仿宋_GB2312" w:eastAsia="仿宋_GB2312"/>
          <w:color w:val="000000"/>
          <w:kern w:val="2"/>
          <w:sz w:val="32"/>
          <w:szCs w:val="24"/>
          <w:lang w:val="zh-CN" w:eastAsia="zh-CN"/>
        </w:rPr>
        <w:t>%。</w:t>
      </w:r>
      <w:bookmarkEnd w:id="38"/>
      <w:r>
        <w:rPr>
          <w:rFonts w:hint="eastAsia" w:ascii="仿宋_GB2312" w:hAnsi="仿宋_GB2312" w:eastAsia="仿宋_GB2312"/>
          <w:color w:val="000000"/>
          <w:kern w:val="2"/>
          <w:sz w:val="32"/>
          <w:szCs w:val="24"/>
          <w:lang w:val="en-US" w:eastAsia="zh-CN"/>
        </w:rPr>
        <w:t>无国有资本经营预算财政拨款收入、上级补助收入、事业收入、经营收入、附属单位上缴收入及其他收入。</w:t>
      </w:r>
    </w:p>
    <w:p w14:paraId="07C59051">
      <w:pPr>
        <w:keepNext/>
        <w:keepLines/>
        <w:spacing w:beforeLines="0" w:afterLines="0" w:line="576" w:lineRule="exact"/>
        <w:ind w:firstLine="640"/>
        <w:jc w:val="both"/>
        <w:rPr>
          <w:rFonts w:hint="eastAsia" w:ascii="仿宋_GB2312" w:hAnsi="仿宋_GB2312" w:eastAsia="仿宋_GB2312"/>
          <w:color w:val="000000"/>
          <w:kern w:val="2"/>
          <w:sz w:val="32"/>
          <w:szCs w:val="24"/>
          <w:lang w:val="en-US" w:eastAsia="zh-CN"/>
        </w:rPr>
      </w:pPr>
    </w:p>
    <w:p w14:paraId="5C53F91A">
      <w:pPr>
        <w:rPr>
          <w:rFonts w:hint="eastAsia" w:eastAsia="宋体"/>
          <w:lang w:eastAsia="zh-CN"/>
        </w:rPr>
      </w:pPr>
      <w:r>
        <w:rPr>
          <w:rFonts w:hint="eastAsia" w:eastAsia="宋体"/>
          <w:lang w:eastAsia="zh-CN"/>
        </w:rPr>
        <w:drawing>
          <wp:inline distT="0" distB="0" distL="114300" distR="114300">
            <wp:extent cx="4839970" cy="2755265"/>
            <wp:effectExtent l="0" t="0" r="11430" b="635"/>
            <wp:docPr id="3" name="图片 3" descr="政府性基金预算财政拨款收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政府性基金预算财政拨款收入"/>
                    <pic:cNvPicPr>
                      <a:picLocks noChangeAspect="1"/>
                    </pic:cNvPicPr>
                  </pic:nvPicPr>
                  <pic:blipFill>
                    <a:blip r:embed="rId9"/>
                    <a:stretch>
                      <a:fillRect/>
                    </a:stretch>
                  </pic:blipFill>
                  <pic:spPr>
                    <a:xfrm>
                      <a:off x="0" y="0"/>
                      <a:ext cx="4839970" cy="2755265"/>
                    </a:xfrm>
                    <a:prstGeom prst="rect">
                      <a:avLst/>
                    </a:prstGeom>
                  </pic:spPr>
                </pic:pic>
              </a:graphicData>
            </a:graphic>
          </wp:inline>
        </w:drawing>
      </w:r>
    </w:p>
    <w:p w14:paraId="5604E572">
      <w:pPr>
        <w:spacing w:line="600" w:lineRule="exact"/>
        <w:ind w:firstLine="960" w:firstLineChars="300"/>
        <w:jc w:val="both"/>
      </w:pPr>
      <w:r>
        <w:rPr>
          <w:rFonts w:hint="eastAsia" w:ascii="仿宋" w:hAnsi="仿宋" w:eastAsia="仿宋"/>
          <w:color w:val="auto"/>
          <w:sz w:val="32"/>
          <w:szCs w:val="32"/>
          <w:highlight w:val="none"/>
        </w:rPr>
        <w:t>（图2：收入决算结构图）</w:t>
      </w:r>
    </w:p>
    <w:p w14:paraId="5ABD20F3">
      <w:pPr>
        <w:pStyle w:val="4"/>
        <w:numPr>
          <w:ilvl w:val="0"/>
          <w:numId w:val="1"/>
        </w:numPr>
        <w:bidi w:val="0"/>
      </w:pPr>
      <w:bookmarkStart w:id="39" w:name="_Toc21155"/>
      <w:bookmarkStart w:id="40" w:name="_Toc15396605"/>
      <w:bookmarkStart w:id="41" w:name="_Toc15377207"/>
      <w:r>
        <w:rPr>
          <w:rFonts w:hint="eastAsia"/>
        </w:rPr>
        <w:t>支出决算情况说明</w:t>
      </w:r>
      <w:bookmarkEnd w:id="39"/>
      <w:bookmarkEnd w:id="40"/>
      <w:bookmarkEnd w:id="41"/>
    </w:p>
    <w:p w14:paraId="600BAFA7">
      <w:pPr>
        <w:spacing w:line="600" w:lineRule="exact"/>
        <w:ind w:firstLine="640" w:firstLineChars="200"/>
        <w:outlineLvl w:val="1"/>
        <w:rPr>
          <w:rFonts w:hint="eastAsia" w:ascii="仿宋_GB2312" w:hAnsi="仿宋_GB2312" w:eastAsia="仿宋_GB2312"/>
          <w:color w:val="000000"/>
          <w:kern w:val="2"/>
          <w:sz w:val="32"/>
          <w:szCs w:val="24"/>
          <w:lang w:val="zh-CN"/>
        </w:rPr>
      </w:pPr>
      <w:bookmarkStart w:id="42" w:name="_Toc14504"/>
      <w:bookmarkStart w:id="43" w:name="_Toc12846"/>
      <w:bookmarkStart w:id="44" w:name="_Toc7521"/>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年本年支出合计</w:t>
      </w:r>
      <w:r>
        <w:rPr>
          <w:rFonts w:hint="eastAsia" w:ascii="仿宋_GB2312" w:hAnsi="仿宋_GB2312" w:eastAsia="仿宋_GB2312"/>
          <w:color w:val="000000"/>
          <w:kern w:val="2"/>
          <w:sz w:val="32"/>
          <w:szCs w:val="24"/>
          <w:lang w:val="en-US" w:eastAsia="zh-CN"/>
        </w:rPr>
        <w:t>1424.08</w:t>
      </w:r>
      <w:r>
        <w:rPr>
          <w:rFonts w:hint="eastAsia" w:ascii="仿宋_GB2312" w:hAnsi="仿宋_GB2312" w:eastAsia="仿宋_GB2312"/>
          <w:color w:val="000000"/>
          <w:kern w:val="2"/>
          <w:sz w:val="32"/>
          <w:szCs w:val="24"/>
          <w:lang w:val="zh-CN"/>
        </w:rPr>
        <w:t>万元，其中：基本支出</w:t>
      </w:r>
      <w:r>
        <w:rPr>
          <w:rFonts w:hint="eastAsia" w:ascii="仿宋_GB2312" w:hAnsi="仿宋_GB2312" w:eastAsia="仿宋_GB2312"/>
          <w:color w:val="000000"/>
          <w:kern w:val="2"/>
          <w:sz w:val="32"/>
          <w:szCs w:val="24"/>
          <w:lang w:val="en-US" w:eastAsia="zh-CN"/>
        </w:rPr>
        <w:t>216.43</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15</w:t>
      </w:r>
      <w:r>
        <w:rPr>
          <w:rFonts w:hint="eastAsia" w:ascii="仿宋_GB2312" w:hAnsi="仿宋_GB2312" w:eastAsia="仿宋_GB2312"/>
          <w:color w:val="000000"/>
          <w:kern w:val="2"/>
          <w:sz w:val="32"/>
          <w:szCs w:val="24"/>
          <w:lang w:val="zh-CN"/>
        </w:rPr>
        <w:t>.2%；项目支出</w:t>
      </w:r>
      <w:r>
        <w:rPr>
          <w:rFonts w:hint="eastAsia" w:ascii="仿宋_GB2312" w:hAnsi="仿宋_GB2312" w:eastAsia="仿宋_GB2312"/>
          <w:color w:val="000000"/>
          <w:kern w:val="2"/>
          <w:sz w:val="32"/>
          <w:szCs w:val="24"/>
          <w:lang w:val="en-US" w:eastAsia="zh-CN"/>
        </w:rPr>
        <w:t>1207.65</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84.8</w:t>
      </w:r>
      <w:r>
        <w:rPr>
          <w:rFonts w:hint="eastAsia" w:ascii="仿宋_GB2312" w:hAnsi="仿宋_GB2312" w:eastAsia="仿宋_GB2312"/>
          <w:color w:val="000000"/>
          <w:kern w:val="2"/>
          <w:sz w:val="32"/>
          <w:szCs w:val="24"/>
          <w:lang w:val="zh-CN"/>
        </w:rPr>
        <w:t>%</w:t>
      </w:r>
      <w:r>
        <w:rPr>
          <w:rFonts w:hint="eastAsia" w:ascii="仿宋" w:hAnsi="仿宋" w:eastAsia="仿宋"/>
          <w:color w:val="auto"/>
          <w:sz w:val="32"/>
          <w:szCs w:val="32"/>
          <w:highlight w:val="none"/>
        </w:rPr>
        <w:t>。</w:t>
      </w:r>
      <w:bookmarkEnd w:id="42"/>
      <w:r>
        <w:rPr>
          <w:rFonts w:hint="eastAsia" w:ascii="仿宋_GB2312" w:hAnsi="仿宋_GB2312" w:eastAsia="仿宋_GB2312"/>
          <w:color w:val="000000"/>
          <w:kern w:val="2"/>
          <w:sz w:val="32"/>
          <w:szCs w:val="24"/>
          <w:lang w:val="zh-CN" w:eastAsia="zh-CN"/>
        </w:rPr>
        <w:t>无上缴上级支出、经营支出、对附属单位补助支出。</w:t>
      </w:r>
      <w:bookmarkEnd w:id="43"/>
      <w:bookmarkEnd w:id="44"/>
    </w:p>
    <w:p w14:paraId="5FB4C3DA">
      <w:pPr>
        <w:rPr>
          <w:rFonts w:hint="eastAsia" w:ascii="仿宋" w:hAnsi="仿宋" w:eastAsia="仿宋"/>
          <w:color w:val="auto"/>
          <w:sz w:val="32"/>
          <w:szCs w:val="32"/>
          <w:highlight w:val="none"/>
          <w:shd w:val="pct10" w:color="auto" w:fill="FFFFFF"/>
          <w:lang w:eastAsia="zh-CN"/>
        </w:rPr>
      </w:pPr>
      <w:r>
        <w:rPr>
          <w:rFonts w:hint="eastAsia" w:ascii="仿宋" w:hAnsi="仿宋" w:eastAsia="仿宋"/>
          <w:color w:val="auto"/>
          <w:sz w:val="32"/>
          <w:szCs w:val="32"/>
          <w:highlight w:val="none"/>
          <w:shd w:val="pct10" w:color="auto" w:fill="FFFFFF"/>
          <w:lang w:eastAsia="zh-CN"/>
        </w:rPr>
        <w:drawing>
          <wp:inline distT="0" distB="0" distL="114300" distR="114300">
            <wp:extent cx="4839970" cy="2755265"/>
            <wp:effectExtent l="0" t="0" r="11430" b="635"/>
            <wp:docPr id="4" name="图片 4" descr="支出决算结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支出决算结构图1"/>
                    <pic:cNvPicPr>
                      <a:picLocks noChangeAspect="1"/>
                    </pic:cNvPicPr>
                  </pic:nvPicPr>
                  <pic:blipFill>
                    <a:blip r:embed="rId10"/>
                    <a:stretch>
                      <a:fillRect/>
                    </a:stretch>
                  </pic:blipFill>
                  <pic:spPr>
                    <a:xfrm>
                      <a:off x="0" y="0"/>
                      <a:ext cx="4839970" cy="2755265"/>
                    </a:xfrm>
                    <a:prstGeom prst="rect">
                      <a:avLst/>
                    </a:prstGeom>
                  </pic:spPr>
                </pic:pic>
              </a:graphicData>
            </a:graphic>
          </wp:inline>
        </w:drawing>
      </w:r>
    </w:p>
    <w:p w14:paraId="57CAED1D">
      <w:pPr>
        <w:spacing w:line="600" w:lineRule="exact"/>
        <w:ind w:firstLine="640" w:firstLineChars="200"/>
        <w:jc w:val="center"/>
        <w:rPr>
          <w:rFonts w:ascii="仿宋_GB2312" w:eastAsia="仿宋_GB2312"/>
          <w:color w:val="auto"/>
          <w:sz w:val="32"/>
          <w:szCs w:val="32"/>
          <w:highlight w:val="none"/>
        </w:rPr>
      </w:pPr>
      <w:r>
        <w:rPr>
          <w:rFonts w:hint="eastAsia" w:ascii="仿宋" w:hAnsi="仿宋" w:eastAsia="仿宋"/>
          <w:color w:val="auto"/>
          <w:sz w:val="32"/>
          <w:szCs w:val="32"/>
          <w:highlight w:val="none"/>
        </w:rPr>
        <w:t>（图3：支出决算结构图）</w:t>
      </w:r>
    </w:p>
    <w:p w14:paraId="0A843CA8">
      <w:pPr>
        <w:pStyle w:val="4"/>
        <w:bidi w:val="0"/>
      </w:pPr>
      <w:bookmarkStart w:id="45" w:name="_Toc20618"/>
      <w:bookmarkStart w:id="46" w:name="_Toc15396606"/>
      <w:bookmarkStart w:id="47" w:name="_Toc15377208"/>
      <w:r>
        <w:rPr>
          <w:rFonts w:hint="eastAsia"/>
        </w:rPr>
        <w:t>四、财政拨款收入支出决算总体情况说明</w:t>
      </w:r>
      <w:bookmarkEnd w:id="45"/>
      <w:bookmarkEnd w:id="46"/>
      <w:bookmarkEnd w:id="47"/>
    </w:p>
    <w:p w14:paraId="0F2E1ED4">
      <w:pPr>
        <w:spacing w:line="600" w:lineRule="exact"/>
        <w:ind w:firstLine="640" w:firstLineChars="200"/>
        <w:rPr>
          <w:rFonts w:hint="eastAsia" w:ascii="仿宋_GB2312" w:hAnsi="仿宋_GB2312" w:eastAsia="仿宋_GB2312" w:cs="Times New Roman"/>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年财政拨款收、支总计</w:t>
      </w:r>
      <w:r>
        <w:rPr>
          <w:rFonts w:hint="eastAsia" w:ascii="仿宋_GB2312" w:hAnsi="仿宋_GB2312" w:eastAsia="仿宋_GB2312"/>
          <w:color w:val="000000"/>
          <w:kern w:val="2"/>
          <w:sz w:val="32"/>
          <w:szCs w:val="24"/>
          <w:lang w:val="en-US" w:eastAsia="zh-CN"/>
        </w:rPr>
        <w:t>1424.08</w:t>
      </w:r>
      <w:r>
        <w:rPr>
          <w:rFonts w:hint="eastAsia" w:ascii="仿宋_GB2312" w:hAnsi="仿宋_GB2312" w:eastAsia="仿宋_GB2312"/>
          <w:color w:val="000000"/>
          <w:kern w:val="2"/>
          <w:sz w:val="32"/>
          <w:szCs w:val="24"/>
          <w:lang w:val="zh-CN"/>
        </w:rPr>
        <w:t>万元。与202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年相比，财政拨款收、支总计各</w:t>
      </w:r>
      <w:r>
        <w:rPr>
          <w:rFonts w:hint="eastAsia" w:ascii="仿宋_GB2312" w:hAnsi="仿宋_GB2312" w:eastAsia="仿宋_GB2312"/>
          <w:color w:val="000000"/>
          <w:kern w:val="2"/>
          <w:sz w:val="32"/>
          <w:szCs w:val="24"/>
          <w:lang w:val="en-US" w:eastAsia="zh-CN"/>
        </w:rPr>
        <w:t>增加96.39</w:t>
      </w:r>
      <w:r>
        <w:rPr>
          <w:rFonts w:hint="eastAsia" w:ascii="仿宋_GB2312" w:hAnsi="仿宋_GB2312" w:eastAsia="仿宋_GB2312"/>
          <w:color w:val="000000"/>
          <w:kern w:val="2"/>
          <w:sz w:val="32"/>
          <w:szCs w:val="24"/>
          <w:lang w:val="zh-CN"/>
        </w:rPr>
        <w:t>万元，</w:t>
      </w:r>
      <w:r>
        <w:rPr>
          <w:rFonts w:hint="eastAsia" w:ascii="仿宋_GB2312" w:hAnsi="仿宋_GB2312" w:eastAsia="仿宋_GB2312"/>
          <w:color w:val="000000"/>
          <w:kern w:val="2"/>
          <w:sz w:val="32"/>
          <w:szCs w:val="24"/>
          <w:lang w:val="en-US" w:eastAsia="zh-CN"/>
        </w:rPr>
        <w:t>增长7.3</w:t>
      </w:r>
      <w:r>
        <w:rPr>
          <w:rFonts w:hint="eastAsia" w:ascii="仿宋_GB2312" w:hAnsi="仿宋_GB2312" w:eastAsia="仿宋_GB2312"/>
          <w:color w:val="000000"/>
          <w:kern w:val="2"/>
          <w:sz w:val="32"/>
          <w:szCs w:val="24"/>
          <w:lang w:val="zh-CN"/>
        </w:rPr>
        <w:t>%。主要变动原因</w:t>
      </w:r>
      <w:r>
        <w:rPr>
          <w:rFonts w:hint="eastAsia" w:ascii="仿宋_GB2312" w:hAnsi="仿宋_GB2312" w:eastAsia="仿宋_GB2312" w:cs="Times New Roman"/>
          <w:color w:val="000000"/>
          <w:kern w:val="2"/>
          <w:sz w:val="32"/>
          <w:szCs w:val="24"/>
          <w:lang w:val="zh-CN"/>
        </w:rPr>
        <w:t>是</w:t>
      </w:r>
      <w:r>
        <w:rPr>
          <w:rFonts w:hint="eastAsia" w:ascii="仿宋_GB2312" w:hAnsi="仿宋_GB2312" w:eastAsia="仿宋_GB2312" w:cs="Times New Roman"/>
          <w:color w:val="000000"/>
          <w:kern w:val="2"/>
          <w:sz w:val="32"/>
          <w:szCs w:val="24"/>
          <w:lang w:val="zh-CN" w:eastAsia="zh-CN"/>
        </w:rPr>
        <w:t>人员及项目</w:t>
      </w:r>
      <w:r>
        <w:rPr>
          <w:rFonts w:hint="eastAsia" w:ascii="仿宋_GB2312" w:hAnsi="仿宋_GB2312" w:eastAsia="仿宋_GB2312" w:cs="Times New Roman"/>
          <w:color w:val="000000"/>
          <w:kern w:val="2"/>
          <w:sz w:val="32"/>
          <w:szCs w:val="24"/>
          <w:lang w:val="en-US" w:eastAsia="zh-CN"/>
        </w:rPr>
        <w:t>增加</w:t>
      </w:r>
      <w:r>
        <w:rPr>
          <w:rFonts w:hint="eastAsia" w:ascii="仿宋_GB2312" w:hAnsi="仿宋_GB2312" w:eastAsia="仿宋_GB2312" w:cs="Times New Roman"/>
          <w:color w:val="000000"/>
          <w:kern w:val="2"/>
          <w:sz w:val="32"/>
          <w:szCs w:val="24"/>
          <w:lang w:val="zh-CN" w:eastAsia="zh-CN"/>
        </w:rPr>
        <w:t>，经费</w:t>
      </w:r>
      <w:r>
        <w:rPr>
          <w:rFonts w:hint="eastAsia" w:ascii="仿宋_GB2312" w:hAnsi="仿宋_GB2312" w:eastAsia="仿宋_GB2312" w:cs="Times New Roman"/>
          <w:color w:val="000000"/>
          <w:kern w:val="2"/>
          <w:sz w:val="32"/>
          <w:szCs w:val="24"/>
          <w:lang w:val="en-US" w:eastAsia="zh-CN"/>
        </w:rPr>
        <w:t>增加</w:t>
      </w:r>
      <w:r>
        <w:rPr>
          <w:rFonts w:hint="eastAsia" w:ascii="仿宋_GB2312" w:hAnsi="仿宋_GB2312" w:eastAsia="仿宋_GB2312" w:cs="Times New Roman"/>
          <w:color w:val="000000"/>
          <w:kern w:val="2"/>
          <w:sz w:val="32"/>
          <w:szCs w:val="24"/>
          <w:lang w:val="zh-CN" w:eastAsia="zh-CN"/>
        </w:rPr>
        <w:t>。</w:t>
      </w:r>
    </w:p>
    <w:p w14:paraId="0FE06217">
      <w:pPr>
        <w:spacing w:line="240" w:lineRule="auto"/>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inline distT="0" distB="0" distL="114300" distR="114300">
            <wp:extent cx="4839970" cy="2755265"/>
            <wp:effectExtent l="0" t="0" r="11430" b="635"/>
            <wp:docPr id="5" name="图片 5" descr="财政拨款收、支决算总计变动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财政拨款收、支决算总计变动情况"/>
                    <pic:cNvPicPr>
                      <a:picLocks noChangeAspect="1"/>
                    </pic:cNvPicPr>
                  </pic:nvPicPr>
                  <pic:blipFill>
                    <a:blip r:embed="rId11"/>
                    <a:stretch>
                      <a:fillRect/>
                    </a:stretch>
                  </pic:blipFill>
                  <pic:spPr>
                    <a:xfrm>
                      <a:off x="0" y="0"/>
                      <a:ext cx="4839970" cy="2755265"/>
                    </a:xfrm>
                    <a:prstGeom prst="rect">
                      <a:avLst/>
                    </a:prstGeom>
                  </pic:spPr>
                </pic:pic>
              </a:graphicData>
            </a:graphic>
          </wp:inline>
        </w:drawing>
      </w:r>
    </w:p>
    <w:p w14:paraId="1CBCF7D2">
      <w:pPr>
        <w:spacing w:line="600" w:lineRule="exact"/>
        <w:ind w:firstLine="640" w:firstLineChars="200"/>
        <w:rPr>
          <w:rFonts w:ascii="仿宋" w:hAnsi="仿宋" w:eastAsia="仿宋"/>
          <w:b/>
          <w:color w:val="auto"/>
          <w:sz w:val="32"/>
          <w:szCs w:val="32"/>
          <w:highlight w:val="none"/>
        </w:rPr>
      </w:pPr>
      <w:r>
        <w:rPr>
          <w:rFonts w:hint="eastAsia" w:ascii="仿宋" w:hAnsi="仿宋" w:eastAsia="仿宋"/>
          <w:color w:val="auto"/>
          <w:sz w:val="32"/>
          <w:szCs w:val="32"/>
          <w:highlight w:val="none"/>
        </w:rPr>
        <w:t>（图4：财政拨款收、支决算总计变动情况）</w:t>
      </w:r>
    </w:p>
    <w:p w14:paraId="32E403F2">
      <w:pPr>
        <w:pStyle w:val="4"/>
        <w:bidi w:val="0"/>
      </w:pPr>
      <w:bookmarkStart w:id="48" w:name="_Toc15377209"/>
      <w:bookmarkStart w:id="49" w:name="_Toc16660"/>
      <w:bookmarkStart w:id="50" w:name="_Toc15396607"/>
      <w:r>
        <w:rPr>
          <w:rFonts w:hint="eastAsia"/>
        </w:rPr>
        <w:t>五、一般公共预算财政拨款支出决算情况说明</w:t>
      </w:r>
      <w:bookmarkEnd w:id="48"/>
      <w:bookmarkEnd w:id="49"/>
      <w:bookmarkEnd w:id="50"/>
    </w:p>
    <w:p w14:paraId="53E88DD8">
      <w:pPr>
        <w:spacing w:line="600" w:lineRule="exact"/>
        <w:ind w:firstLine="643" w:firstLineChars="200"/>
        <w:outlineLvl w:val="2"/>
        <w:rPr>
          <w:rFonts w:ascii="仿宋" w:hAnsi="仿宋" w:eastAsia="仿宋"/>
          <w:b/>
          <w:color w:val="auto"/>
          <w:sz w:val="32"/>
          <w:szCs w:val="32"/>
          <w:highlight w:val="none"/>
        </w:rPr>
      </w:pPr>
      <w:bookmarkStart w:id="51" w:name="_Toc15377210"/>
      <w:r>
        <w:rPr>
          <w:rFonts w:hint="eastAsia" w:ascii="仿宋" w:hAnsi="仿宋" w:eastAsia="仿宋"/>
          <w:b/>
          <w:color w:val="auto"/>
          <w:sz w:val="32"/>
          <w:szCs w:val="32"/>
          <w:highlight w:val="none"/>
        </w:rPr>
        <w:t>（一）一般公共预算财政拨款支出决算总体情况</w:t>
      </w:r>
      <w:bookmarkEnd w:id="51"/>
    </w:p>
    <w:p w14:paraId="6054CD23">
      <w:pPr>
        <w:spacing w:line="600" w:lineRule="exact"/>
        <w:ind w:firstLine="640" w:firstLineChars="200"/>
        <w:rPr>
          <w:rFonts w:hint="eastAsia" w:ascii="仿宋_GB2312" w:hAnsi="仿宋_GB2312" w:eastAsia="仿宋_GB2312" w:cs="Times New Roman"/>
          <w:color w:val="000000"/>
          <w:kern w:val="2"/>
          <w:sz w:val="32"/>
          <w:szCs w:val="24"/>
          <w:lang w:val="en-US" w:eastAsia="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年一般公共预算财政拨款支出</w:t>
      </w:r>
      <w:r>
        <w:rPr>
          <w:rFonts w:hint="eastAsia" w:ascii="仿宋_GB2312" w:hAnsi="仿宋_GB2312" w:eastAsia="仿宋_GB2312"/>
          <w:color w:val="000000"/>
          <w:kern w:val="2"/>
          <w:sz w:val="32"/>
          <w:szCs w:val="24"/>
          <w:lang w:val="en-US" w:eastAsia="zh-CN"/>
        </w:rPr>
        <w:t>1142.92</w:t>
      </w:r>
      <w:r>
        <w:rPr>
          <w:rFonts w:hint="eastAsia" w:ascii="仿宋_GB2312" w:hAnsi="仿宋_GB2312" w:eastAsia="仿宋_GB2312"/>
          <w:color w:val="000000"/>
          <w:kern w:val="2"/>
          <w:sz w:val="32"/>
          <w:szCs w:val="24"/>
          <w:lang w:val="zh-CN"/>
        </w:rPr>
        <w:t>万元，占本年支出合计的92.8%。与202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年相比，一般公共预算财政拨款支出</w:t>
      </w:r>
      <w:r>
        <w:rPr>
          <w:rFonts w:hint="eastAsia" w:ascii="仿宋_GB2312" w:hAnsi="仿宋_GB2312" w:eastAsia="仿宋_GB2312"/>
          <w:color w:val="000000"/>
          <w:kern w:val="2"/>
          <w:sz w:val="32"/>
          <w:szCs w:val="24"/>
          <w:lang w:val="en-US" w:eastAsia="zh-CN"/>
        </w:rPr>
        <w:t>减少88.82</w:t>
      </w:r>
      <w:r>
        <w:rPr>
          <w:rFonts w:hint="eastAsia" w:ascii="仿宋_GB2312" w:hAnsi="仿宋_GB2312" w:eastAsia="仿宋_GB2312"/>
          <w:color w:val="000000"/>
          <w:kern w:val="2"/>
          <w:sz w:val="32"/>
          <w:szCs w:val="24"/>
          <w:lang w:val="zh-CN"/>
        </w:rPr>
        <w:t>万元，</w:t>
      </w:r>
      <w:r>
        <w:rPr>
          <w:rFonts w:hint="eastAsia" w:ascii="仿宋_GB2312" w:hAnsi="仿宋_GB2312" w:eastAsia="仿宋_GB2312"/>
          <w:color w:val="000000"/>
          <w:kern w:val="2"/>
          <w:sz w:val="32"/>
          <w:szCs w:val="24"/>
          <w:lang w:val="en-US" w:eastAsia="zh-CN"/>
        </w:rPr>
        <w:t>减少7.2</w:t>
      </w:r>
      <w:r>
        <w:rPr>
          <w:rFonts w:hint="eastAsia" w:ascii="仿宋_GB2312" w:hAnsi="仿宋_GB2312" w:eastAsia="仿宋_GB2312"/>
          <w:color w:val="000000"/>
          <w:kern w:val="2"/>
          <w:sz w:val="32"/>
          <w:szCs w:val="24"/>
          <w:lang w:val="zh-CN"/>
        </w:rPr>
        <w:t>%。主要变</w:t>
      </w:r>
      <w:r>
        <w:rPr>
          <w:rFonts w:hint="eastAsia" w:ascii="仿宋_GB2312" w:hAnsi="仿宋_GB2312" w:eastAsia="仿宋_GB2312" w:cs="Times New Roman"/>
          <w:color w:val="000000"/>
          <w:kern w:val="2"/>
          <w:sz w:val="32"/>
          <w:szCs w:val="24"/>
          <w:lang w:val="zh-CN"/>
        </w:rPr>
        <w:t>动原因是</w:t>
      </w:r>
      <w:r>
        <w:rPr>
          <w:rFonts w:hint="eastAsia" w:ascii="仿宋_GB2312" w:hAnsi="仿宋_GB2312" w:eastAsia="仿宋_GB2312" w:cs="Times New Roman"/>
          <w:color w:val="000000"/>
          <w:kern w:val="2"/>
          <w:sz w:val="32"/>
          <w:szCs w:val="24"/>
          <w:lang w:val="en-US" w:eastAsia="zh-CN"/>
        </w:rPr>
        <w:t>2023年政府性基金预算财政拨款增加。</w:t>
      </w:r>
    </w:p>
    <w:p w14:paraId="4BAB6D54">
      <w:pPr>
        <w:pStyle w:val="2"/>
        <w:spacing w:line="240" w:lineRule="auto"/>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inline distT="0" distB="0" distL="114300" distR="114300">
            <wp:extent cx="4839970" cy="2755265"/>
            <wp:effectExtent l="0" t="0" r="11430" b="635"/>
            <wp:docPr id="6" name="图片 6" descr="一般公共预算财政拨款支出决算变动情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般公共预算财政拨款支出决算变动情况1"/>
                    <pic:cNvPicPr>
                      <a:picLocks noChangeAspect="1"/>
                    </pic:cNvPicPr>
                  </pic:nvPicPr>
                  <pic:blipFill>
                    <a:blip r:embed="rId12"/>
                    <a:stretch>
                      <a:fillRect/>
                    </a:stretch>
                  </pic:blipFill>
                  <pic:spPr>
                    <a:xfrm>
                      <a:off x="0" y="0"/>
                      <a:ext cx="4839970" cy="2755265"/>
                    </a:xfrm>
                    <a:prstGeom prst="rect">
                      <a:avLst/>
                    </a:prstGeom>
                  </pic:spPr>
                </pic:pic>
              </a:graphicData>
            </a:graphic>
          </wp:inline>
        </w:drawing>
      </w:r>
    </w:p>
    <w:p w14:paraId="02A55A6C">
      <w:pPr>
        <w:spacing w:line="6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w:t>
      </w:r>
    </w:p>
    <w:p w14:paraId="4E18E63A">
      <w:pPr>
        <w:spacing w:line="600" w:lineRule="exact"/>
        <w:ind w:firstLine="643" w:firstLineChars="200"/>
        <w:outlineLvl w:val="2"/>
        <w:rPr>
          <w:rFonts w:ascii="仿宋" w:hAnsi="仿宋" w:eastAsia="仿宋"/>
          <w:b/>
          <w:color w:val="auto"/>
          <w:sz w:val="32"/>
          <w:szCs w:val="32"/>
          <w:highlight w:val="none"/>
        </w:rPr>
      </w:pPr>
      <w:bookmarkStart w:id="52" w:name="_Toc15377211"/>
      <w:r>
        <w:rPr>
          <w:rFonts w:hint="eastAsia" w:ascii="仿宋" w:hAnsi="仿宋" w:eastAsia="仿宋"/>
          <w:b/>
          <w:color w:val="auto"/>
          <w:sz w:val="32"/>
          <w:szCs w:val="32"/>
          <w:highlight w:val="none"/>
        </w:rPr>
        <w:t>（二）一般公共预算财政拨款支出决算结构情况</w:t>
      </w:r>
      <w:bookmarkEnd w:id="52"/>
    </w:p>
    <w:p w14:paraId="14ECBB76">
      <w:pPr>
        <w:spacing w:line="600" w:lineRule="exact"/>
        <w:ind w:firstLine="640"/>
        <w:rPr>
          <w:rFonts w:hint="eastAsia" w:ascii="仿宋" w:hAnsi="仿宋" w:eastAsia="仿宋"/>
          <w:color w:val="auto"/>
          <w:sz w:val="32"/>
          <w:szCs w:val="32"/>
          <w:highlight w:val="none"/>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年一般公共预算财政拨款支出</w:t>
      </w:r>
      <w:r>
        <w:rPr>
          <w:rFonts w:hint="eastAsia" w:ascii="仿宋_GB2312" w:hAnsi="仿宋_GB2312" w:eastAsia="仿宋_GB2312"/>
          <w:color w:val="000000"/>
          <w:kern w:val="2"/>
          <w:sz w:val="32"/>
          <w:szCs w:val="24"/>
          <w:lang w:val="en-US" w:eastAsia="zh-CN"/>
        </w:rPr>
        <w:t>1142.92</w:t>
      </w:r>
      <w:r>
        <w:rPr>
          <w:rFonts w:hint="eastAsia" w:ascii="仿宋_GB2312" w:hAnsi="仿宋_GB2312" w:eastAsia="仿宋_GB2312"/>
          <w:color w:val="000000"/>
          <w:kern w:val="2"/>
          <w:sz w:val="32"/>
          <w:szCs w:val="24"/>
          <w:lang w:val="zh-CN"/>
        </w:rPr>
        <w:t>万元，主要用于以下方面：社会保障和就业支出</w:t>
      </w:r>
      <w:r>
        <w:rPr>
          <w:rFonts w:hint="eastAsia" w:ascii="仿宋_GB2312" w:hAnsi="仿宋_GB2312" w:eastAsia="仿宋_GB2312"/>
          <w:color w:val="000000"/>
          <w:kern w:val="2"/>
          <w:sz w:val="32"/>
          <w:szCs w:val="24"/>
          <w:lang w:val="en-US" w:eastAsia="zh-CN"/>
        </w:rPr>
        <w:t>1109.43</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97.1</w:t>
      </w:r>
      <w:r>
        <w:rPr>
          <w:rFonts w:hint="eastAsia" w:ascii="仿宋_GB2312" w:hAnsi="仿宋_GB2312" w:eastAsia="仿宋_GB2312"/>
          <w:color w:val="000000"/>
          <w:kern w:val="2"/>
          <w:sz w:val="32"/>
          <w:szCs w:val="24"/>
          <w:lang w:val="zh-CN"/>
        </w:rPr>
        <w:t>%；卫生健康支出</w:t>
      </w:r>
      <w:r>
        <w:rPr>
          <w:rFonts w:hint="eastAsia" w:ascii="仿宋_GB2312" w:hAnsi="仿宋_GB2312" w:eastAsia="仿宋_GB2312"/>
          <w:color w:val="000000"/>
          <w:kern w:val="2"/>
          <w:sz w:val="32"/>
          <w:szCs w:val="24"/>
          <w:lang w:val="en-US" w:eastAsia="zh-CN"/>
        </w:rPr>
        <w:t>19.21</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1.7</w:t>
      </w:r>
      <w:r>
        <w:rPr>
          <w:rFonts w:hint="eastAsia" w:ascii="仿宋_GB2312" w:hAnsi="仿宋_GB2312" w:eastAsia="仿宋_GB2312"/>
          <w:color w:val="000000"/>
          <w:kern w:val="2"/>
          <w:sz w:val="32"/>
          <w:szCs w:val="24"/>
          <w:lang w:val="zh-CN"/>
        </w:rPr>
        <w:t>%；住房保障支出1</w:t>
      </w:r>
      <w:r>
        <w:rPr>
          <w:rFonts w:hint="eastAsia" w:ascii="仿宋_GB2312" w:hAnsi="仿宋_GB2312" w:eastAsia="仿宋_GB2312"/>
          <w:color w:val="000000"/>
          <w:kern w:val="2"/>
          <w:sz w:val="32"/>
          <w:szCs w:val="24"/>
          <w:lang w:val="en-US" w:eastAsia="zh-CN"/>
        </w:rPr>
        <w:t>4.27</w:t>
      </w:r>
      <w:r>
        <w:rPr>
          <w:rFonts w:hint="eastAsia" w:ascii="仿宋_GB2312" w:hAnsi="仿宋_GB2312" w:eastAsia="仿宋_GB2312"/>
          <w:color w:val="000000"/>
          <w:kern w:val="2"/>
          <w:sz w:val="32"/>
          <w:szCs w:val="24"/>
          <w:lang w:val="zh-CN"/>
        </w:rPr>
        <w:t>万元，占</w:t>
      </w:r>
      <w:r>
        <w:rPr>
          <w:rFonts w:hint="eastAsia" w:ascii="仿宋_GB2312" w:hAnsi="仿宋_GB2312" w:eastAsia="仿宋_GB2312"/>
          <w:color w:val="000000"/>
          <w:kern w:val="2"/>
          <w:sz w:val="32"/>
          <w:szCs w:val="24"/>
          <w:lang w:val="en-US" w:eastAsia="zh-CN"/>
        </w:rPr>
        <w:t>1.2</w:t>
      </w:r>
      <w:r>
        <w:rPr>
          <w:rFonts w:hint="eastAsia" w:ascii="仿宋_GB2312" w:hAnsi="仿宋_GB2312" w:eastAsia="仿宋_GB2312"/>
          <w:color w:val="000000"/>
          <w:kern w:val="2"/>
          <w:sz w:val="32"/>
          <w:szCs w:val="24"/>
          <w:lang w:val="zh-CN"/>
        </w:rPr>
        <w:t>%</w:t>
      </w:r>
      <w:r>
        <w:rPr>
          <w:rFonts w:hint="eastAsia" w:ascii="仿宋" w:hAnsi="仿宋" w:eastAsia="仿宋"/>
          <w:color w:val="auto"/>
          <w:sz w:val="32"/>
          <w:szCs w:val="32"/>
          <w:highlight w:val="none"/>
        </w:rPr>
        <w:t>。</w:t>
      </w:r>
    </w:p>
    <w:p w14:paraId="7D70A79C">
      <w:pPr>
        <w:spacing w:line="240" w:lineRule="auto"/>
        <w:ind w:firstLine="64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inline distT="0" distB="0" distL="114300" distR="114300">
            <wp:extent cx="4839970" cy="2755265"/>
            <wp:effectExtent l="0" t="0" r="11430" b="635"/>
            <wp:docPr id="7" name="图片 7" descr="一般公共预算财政拨款支出决算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般公共预算财政拨款支出决算结构"/>
                    <pic:cNvPicPr>
                      <a:picLocks noChangeAspect="1"/>
                    </pic:cNvPicPr>
                  </pic:nvPicPr>
                  <pic:blipFill>
                    <a:blip r:embed="rId13"/>
                    <a:stretch>
                      <a:fillRect/>
                    </a:stretch>
                  </pic:blipFill>
                  <pic:spPr>
                    <a:xfrm>
                      <a:off x="0" y="0"/>
                      <a:ext cx="4839970" cy="2755265"/>
                    </a:xfrm>
                    <a:prstGeom prst="rect">
                      <a:avLst/>
                    </a:prstGeom>
                  </pic:spPr>
                </pic:pic>
              </a:graphicData>
            </a:graphic>
          </wp:inline>
        </w:drawing>
      </w:r>
    </w:p>
    <w:p w14:paraId="2BC366BE">
      <w:pPr>
        <w:spacing w:line="600" w:lineRule="exact"/>
        <w:rPr>
          <w:rFonts w:hint="eastAsia" w:ascii="仿宋" w:hAnsi="仿宋" w:eastAsia="仿宋"/>
          <w:color w:val="auto"/>
          <w:sz w:val="32"/>
          <w:szCs w:val="32"/>
          <w:highlight w:val="none"/>
        </w:rPr>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r>
        <w:rPr>
          <w:rFonts w:hint="eastAsia" w:ascii="仿宋" w:hAnsi="仿宋" w:eastAsia="仿宋"/>
          <w:color w:val="auto"/>
          <w:sz w:val="32"/>
          <w:szCs w:val="32"/>
          <w:highlight w:val="none"/>
        </w:rPr>
        <w:t>（图6：一般公共预算财政拨款支出决算结构）</w:t>
      </w:r>
    </w:p>
    <w:p w14:paraId="26917039">
      <w:pPr>
        <w:spacing w:line="600" w:lineRule="exact"/>
        <w:outlineLvl w:val="2"/>
        <w:rPr>
          <w:rFonts w:ascii="仿宋" w:hAnsi="仿宋" w:eastAsia="仿宋"/>
          <w:b/>
          <w:color w:val="auto"/>
          <w:sz w:val="32"/>
          <w:szCs w:val="32"/>
          <w:highlight w:val="none"/>
        </w:rPr>
      </w:pPr>
      <w:bookmarkStart w:id="53" w:name="_Toc15377212"/>
      <w:r>
        <w:rPr>
          <w:rFonts w:hint="eastAsia" w:ascii="仿宋" w:hAnsi="仿宋" w:eastAsia="仿宋"/>
          <w:b/>
          <w:color w:val="auto"/>
          <w:sz w:val="32"/>
          <w:szCs w:val="32"/>
          <w:highlight w:val="none"/>
        </w:rPr>
        <w:t>（三）一般公共预算财政拨款支出决算具体情况</w:t>
      </w:r>
      <w:bookmarkEnd w:id="53"/>
    </w:p>
    <w:p w14:paraId="755DA1C2">
      <w:pPr>
        <w:spacing w:line="600" w:lineRule="exact"/>
        <w:ind w:firstLine="643" w:firstLineChars="200"/>
        <w:rPr>
          <w:rFonts w:hint="eastAsia" w:ascii="仿宋_GB2312" w:hAnsi="仿宋_GB2312" w:eastAsia="仿宋_GB2312"/>
          <w:b/>
          <w:color w:val="auto"/>
          <w:kern w:val="2"/>
          <w:sz w:val="32"/>
          <w:szCs w:val="24"/>
          <w:lang w:val="en-US" w:eastAsia="zh-CN"/>
        </w:rPr>
      </w:pPr>
      <w:r>
        <w:rPr>
          <w:rFonts w:hint="eastAsia" w:ascii="仿宋_GB2312" w:hAnsi="仿宋_GB2312" w:eastAsia="仿宋_GB2312"/>
          <w:b/>
          <w:color w:val="auto"/>
          <w:kern w:val="2"/>
          <w:sz w:val="32"/>
          <w:szCs w:val="24"/>
          <w:lang w:val="zh-CN"/>
        </w:rPr>
        <w:t>202</w:t>
      </w:r>
      <w:r>
        <w:rPr>
          <w:rFonts w:hint="eastAsia" w:ascii="仿宋_GB2312" w:hAnsi="仿宋_GB2312" w:eastAsia="仿宋_GB2312"/>
          <w:b/>
          <w:color w:val="auto"/>
          <w:kern w:val="2"/>
          <w:sz w:val="32"/>
          <w:szCs w:val="24"/>
          <w:lang w:val="en-US" w:eastAsia="zh-CN"/>
        </w:rPr>
        <w:t>3</w:t>
      </w:r>
      <w:r>
        <w:rPr>
          <w:rFonts w:hint="eastAsia" w:ascii="仿宋_GB2312" w:hAnsi="仿宋_GB2312" w:eastAsia="仿宋_GB2312"/>
          <w:b/>
          <w:color w:val="auto"/>
          <w:kern w:val="2"/>
          <w:sz w:val="32"/>
          <w:szCs w:val="24"/>
          <w:lang w:val="zh-CN"/>
        </w:rPr>
        <w:t>年一般公共预算支出决算数为</w:t>
      </w:r>
      <w:r>
        <w:rPr>
          <w:rFonts w:hint="eastAsia" w:ascii="仿宋_GB2312" w:hAnsi="仿宋_GB2312" w:eastAsia="仿宋_GB2312"/>
          <w:color w:val="000000"/>
          <w:kern w:val="2"/>
          <w:sz w:val="32"/>
          <w:szCs w:val="24"/>
          <w:lang w:val="en-US" w:eastAsia="zh-CN"/>
        </w:rPr>
        <w:t>1142.92</w:t>
      </w:r>
      <w:r>
        <w:rPr>
          <w:rFonts w:hint="eastAsia" w:ascii="仿宋_GB2312" w:hAnsi="仿宋_GB2312" w:eastAsia="仿宋_GB2312"/>
          <w:b/>
          <w:color w:val="auto"/>
          <w:kern w:val="2"/>
          <w:sz w:val="32"/>
          <w:szCs w:val="24"/>
          <w:lang w:val="zh-CN"/>
        </w:rPr>
        <w:t>万元</w:t>
      </w:r>
      <w:r>
        <w:rPr>
          <w:rFonts w:hint="eastAsia" w:ascii="仿宋_GB2312" w:hAnsi="仿宋_GB2312" w:eastAsia="仿宋_GB2312"/>
          <w:color w:val="auto"/>
          <w:kern w:val="2"/>
          <w:sz w:val="32"/>
          <w:szCs w:val="24"/>
          <w:lang w:val="zh-CN"/>
        </w:rPr>
        <w:t>，</w:t>
      </w:r>
      <w:r>
        <w:rPr>
          <w:rFonts w:hint="eastAsia" w:ascii="仿宋_GB2312" w:hAnsi="仿宋_GB2312" w:eastAsia="仿宋_GB2312"/>
          <w:b/>
          <w:color w:val="auto"/>
          <w:kern w:val="2"/>
          <w:sz w:val="32"/>
          <w:szCs w:val="24"/>
          <w:lang w:val="zh-CN"/>
        </w:rPr>
        <w:t>完成预算100%。其中：</w:t>
      </w:r>
      <w:r>
        <w:rPr>
          <w:rFonts w:hint="eastAsia" w:ascii="仿宋_GB2312" w:hAnsi="仿宋_GB2312" w:eastAsia="仿宋_GB2312"/>
          <w:b/>
          <w:color w:val="auto"/>
          <w:kern w:val="2"/>
          <w:sz w:val="32"/>
          <w:szCs w:val="24"/>
          <w:lang w:val="en-US" w:eastAsia="zh-CN"/>
        </w:rPr>
        <w:t xml:space="preserve">                                                                                                                                                                                                                                                                                                                                                                                    </w:t>
      </w:r>
    </w:p>
    <w:p w14:paraId="1225196F">
      <w:pPr>
        <w:spacing w:line="600" w:lineRule="exact"/>
        <w:ind w:firstLine="643" w:firstLineChars="200"/>
        <w:rPr>
          <w:rFonts w:ascii="仿宋" w:hAnsi="仿宋" w:eastAsia="仿宋"/>
          <w:b/>
          <w:color w:val="auto"/>
          <w:sz w:val="32"/>
          <w:szCs w:val="32"/>
          <w:highlight w:val="none"/>
        </w:rPr>
      </w:pPr>
      <w:r>
        <w:rPr>
          <w:rStyle w:val="20"/>
          <w:rFonts w:ascii="仿宋" w:hAnsi="仿宋" w:eastAsia="仿宋"/>
          <w:bCs/>
          <w:color w:val="auto"/>
          <w:sz w:val="32"/>
          <w:szCs w:val="32"/>
          <w:highlight w:val="none"/>
        </w:rPr>
        <w:t>1.</w:t>
      </w:r>
      <w:r>
        <w:rPr>
          <w:rStyle w:val="20"/>
          <w:rFonts w:hint="eastAsia" w:ascii="仿宋" w:hAnsi="仿宋" w:eastAsia="仿宋"/>
          <w:bCs/>
          <w:color w:val="auto"/>
          <w:sz w:val="32"/>
          <w:szCs w:val="32"/>
          <w:highlight w:val="none"/>
        </w:rPr>
        <w:t>社会保障和就业支出（类）行政事业单位养老支出（款）机关事业单位基本养老保险缴费支出（项）</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eastAsia="zh-CN"/>
        </w:rPr>
        <w:t>支</w:t>
      </w:r>
      <w:r>
        <w:rPr>
          <w:rStyle w:val="20"/>
          <w:rFonts w:hint="eastAsia" w:ascii="仿宋" w:hAnsi="仿宋" w:eastAsia="仿宋"/>
          <w:b w:val="0"/>
          <w:bCs/>
          <w:color w:val="auto"/>
          <w:sz w:val="32"/>
          <w:szCs w:val="32"/>
          <w:highlight w:val="none"/>
        </w:rPr>
        <w:t>出决算为</w:t>
      </w:r>
      <w:r>
        <w:rPr>
          <w:rStyle w:val="20"/>
          <w:rFonts w:hint="eastAsia" w:ascii="仿宋" w:hAnsi="仿宋" w:eastAsia="仿宋"/>
          <w:b w:val="0"/>
          <w:bCs/>
          <w:color w:val="auto"/>
          <w:sz w:val="32"/>
          <w:szCs w:val="32"/>
          <w:highlight w:val="none"/>
          <w:lang w:val="en-US" w:eastAsia="zh-CN"/>
        </w:rPr>
        <w:t>19.51</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41E6DA02">
      <w:pPr>
        <w:spacing w:line="600" w:lineRule="exact"/>
        <w:ind w:firstLine="643" w:firstLineChars="200"/>
        <w:rPr>
          <w:rFonts w:ascii="仿宋" w:hAnsi="仿宋" w:eastAsia="仿宋"/>
          <w:b/>
          <w:color w:val="auto"/>
          <w:sz w:val="32"/>
          <w:szCs w:val="32"/>
          <w:highlight w:val="none"/>
        </w:rPr>
      </w:pPr>
      <w:r>
        <w:rPr>
          <w:rStyle w:val="20"/>
          <w:rFonts w:ascii="仿宋" w:hAnsi="仿宋" w:eastAsia="仿宋"/>
          <w:bCs/>
          <w:color w:val="auto"/>
          <w:sz w:val="32"/>
          <w:szCs w:val="32"/>
          <w:highlight w:val="none"/>
        </w:rPr>
        <w:t>2.</w:t>
      </w:r>
      <w:r>
        <w:rPr>
          <w:rStyle w:val="20"/>
          <w:rFonts w:hint="eastAsia" w:ascii="仿宋" w:hAnsi="仿宋" w:eastAsia="仿宋"/>
          <w:bCs/>
          <w:color w:val="auto"/>
          <w:sz w:val="32"/>
          <w:szCs w:val="32"/>
          <w:highlight w:val="none"/>
          <w:lang w:eastAsia="zh-CN"/>
        </w:rPr>
        <w:t>社</w:t>
      </w:r>
      <w:r>
        <w:rPr>
          <w:rStyle w:val="20"/>
          <w:rFonts w:hint="eastAsia" w:ascii="仿宋" w:hAnsi="仿宋" w:eastAsia="仿宋"/>
          <w:bCs/>
          <w:color w:val="auto"/>
          <w:sz w:val="32"/>
          <w:szCs w:val="32"/>
          <w:highlight w:val="none"/>
        </w:rPr>
        <w:t>会保障和就业支出（类）行政事业单位养老支出（款）机关事业单位职业年金缴费支出（项）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9.66</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43557FBA">
      <w:pPr>
        <w:spacing w:line="600" w:lineRule="exact"/>
        <w:ind w:firstLine="643" w:firstLineChars="200"/>
        <w:rPr>
          <w:rFonts w:ascii="仿宋" w:hAnsi="仿宋" w:eastAsia="仿宋"/>
          <w:b/>
          <w:color w:val="auto"/>
          <w:sz w:val="32"/>
          <w:szCs w:val="32"/>
          <w:highlight w:val="none"/>
        </w:rPr>
      </w:pPr>
      <w:r>
        <w:rPr>
          <w:rStyle w:val="20"/>
          <w:rFonts w:ascii="仿宋" w:hAnsi="仿宋" w:eastAsia="仿宋"/>
          <w:bCs/>
          <w:color w:val="auto"/>
          <w:sz w:val="32"/>
          <w:szCs w:val="32"/>
          <w:highlight w:val="none"/>
        </w:rPr>
        <w:t>3.</w:t>
      </w:r>
      <w:r>
        <w:rPr>
          <w:rStyle w:val="20"/>
          <w:rFonts w:hint="eastAsia" w:ascii="仿宋" w:hAnsi="仿宋" w:eastAsia="仿宋"/>
          <w:bCs/>
          <w:color w:val="auto"/>
          <w:sz w:val="32"/>
          <w:szCs w:val="32"/>
          <w:highlight w:val="none"/>
        </w:rPr>
        <w:t xml:space="preserve">社会保障和就业支出（类）抚恤（款） </w:t>
      </w:r>
      <w:r>
        <w:rPr>
          <w:rStyle w:val="20"/>
          <w:rFonts w:hint="eastAsia" w:ascii="仿宋" w:hAnsi="仿宋" w:eastAsia="仿宋"/>
          <w:bCs/>
          <w:color w:val="auto"/>
          <w:sz w:val="32"/>
          <w:szCs w:val="32"/>
          <w:highlight w:val="none"/>
          <w:lang w:val="en-US" w:eastAsia="zh-CN"/>
        </w:rPr>
        <w:t>义务兵优待</w:t>
      </w:r>
      <w:r>
        <w:rPr>
          <w:rStyle w:val="20"/>
          <w:rFonts w:hint="eastAsia" w:ascii="仿宋" w:hAnsi="仿宋" w:eastAsia="仿宋"/>
          <w:bCs/>
          <w:color w:val="auto"/>
          <w:sz w:val="32"/>
          <w:szCs w:val="32"/>
          <w:highlight w:val="none"/>
        </w:rPr>
        <w:t>（项）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114.12</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19D59449">
      <w:pPr>
        <w:spacing w:line="600" w:lineRule="exact"/>
        <w:ind w:firstLine="643" w:firstLineChars="200"/>
        <w:rPr>
          <w:rFonts w:ascii="仿宋" w:hAnsi="仿宋" w:eastAsia="仿宋"/>
          <w:b/>
          <w:color w:val="auto"/>
          <w:sz w:val="32"/>
          <w:szCs w:val="32"/>
          <w:highlight w:val="none"/>
        </w:rPr>
      </w:pPr>
      <w:r>
        <w:rPr>
          <w:rStyle w:val="20"/>
          <w:rFonts w:ascii="仿宋" w:hAnsi="仿宋" w:eastAsia="仿宋"/>
          <w:bCs/>
          <w:color w:val="auto"/>
          <w:sz w:val="32"/>
          <w:szCs w:val="32"/>
          <w:highlight w:val="none"/>
        </w:rPr>
        <w:t>4.</w:t>
      </w:r>
      <w:r>
        <w:rPr>
          <w:rStyle w:val="20"/>
          <w:rFonts w:hint="eastAsia" w:ascii="仿宋" w:hAnsi="仿宋" w:eastAsia="仿宋"/>
          <w:bCs/>
          <w:color w:val="auto"/>
          <w:sz w:val="32"/>
          <w:szCs w:val="32"/>
          <w:highlight w:val="none"/>
        </w:rPr>
        <w:t>社会保障和就业支出（类）抚恤（款）烈士纪念设施管理维护（项）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10</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5B463FF2">
      <w:pPr>
        <w:spacing w:line="600" w:lineRule="exact"/>
        <w:ind w:firstLine="643" w:firstLineChars="200"/>
        <w:rPr>
          <w:rFonts w:ascii="仿宋" w:hAnsi="仿宋" w:eastAsia="仿宋"/>
          <w:b/>
          <w:color w:val="auto"/>
          <w:sz w:val="32"/>
          <w:szCs w:val="32"/>
          <w:highlight w:val="none"/>
        </w:rPr>
      </w:pPr>
      <w:r>
        <w:rPr>
          <w:rStyle w:val="20"/>
          <w:rFonts w:ascii="仿宋" w:hAnsi="仿宋" w:eastAsia="仿宋"/>
          <w:bCs/>
          <w:color w:val="auto"/>
          <w:sz w:val="32"/>
          <w:szCs w:val="32"/>
          <w:highlight w:val="none"/>
        </w:rPr>
        <w:t>5.</w:t>
      </w:r>
      <w:r>
        <w:rPr>
          <w:rStyle w:val="20"/>
          <w:rFonts w:hint="eastAsia" w:ascii="仿宋" w:hAnsi="仿宋" w:eastAsia="仿宋"/>
          <w:bCs/>
          <w:color w:val="auto"/>
          <w:sz w:val="32"/>
          <w:szCs w:val="32"/>
          <w:highlight w:val="none"/>
        </w:rPr>
        <w:t>社会保障和就业支出（类）抚恤（款）</w:t>
      </w:r>
      <w:r>
        <w:rPr>
          <w:rStyle w:val="20"/>
          <w:rFonts w:hint="eastAsia" w:ascii="仿宋" w:hAnsi="仿宋" w:eastAsia="仿宋"/>
          <w:bCs/>
          <w:color w:val="auto"/>
          <w:sz w:val="32"/>
          <w:szCs w:val="32"/>
          <w:highlight w:val="none"/>
          <w:lang w:val="en-US" w:eastAsia="zh-CN"/>
        </w:rPr>
        <w:t>其他优抚支出</w:t>
      </w:r>
      <w:r>
        <w:rPr>
          <w:rStyle w:val="20"/>
          <w:rFonts w:hint="eastAsia" w:ascii="仿宋" w:hAnsi="仿宋" w:eastAsia="仿宋"/>
          <w:bCs/>
          <w:color w:val="auto"/>
          <w:sz w:val="32"/>
          <w:szCs w:val="32"/>
          <w:highlight w:val="none"/>
        </w:rPr>
        <w:t>（项）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454.99</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49EC7BE9">
      <w:pPr>
        <w:spacing w:line="600" w:lineRule="exact"/>
        <w:ind w:firstLine="643" w:firstLineChars="200"/>
        <w:rPr>
          <w:rStyle w:val="20"/>
          <w:rFonts w:hint="eastAsia" w:ascii="仿宋" w:hAnsi="仿宋" w:eastAsia="仿宋"/>
          <w:b w:val="0"/>
          <w:bCs/>
          <w:color w:val="auto"/>
          <w:sz w:val="32"/>
          <w:szCs w:val="32"/>
          <w:highlight w:val="none"/>
        </w:rPr>
      </w:pPr>
      <w:r>
        <w:rPr>
          <w:rStyle w:val="20"/>
          <w:rFonts w:ascii="仿宋" w:hAnsi="仿宋" w:eastAsia="仿宋"/>
          <w:bCs/>
          <w:color w:val="auto"/>
          <w:sz w:val="32"/>
          <w:szCs w:val="32"/>
          <w:highlight w:val="none"/>
        </w:rPr>
        <w:t>6.</w:t>
      </w:r>
      <w:r>
        <w:rPr>
          <w:rStyle w:val="20"/>
          <w:rFonts w:hint="eastAsia" w:ascii="仿宋" w:hAnsi="仿宋" w:eastAsia="仿宋"/>
          <w:bCs/>
          <w:color w:val="auto"/>
          <w:sz w:val="32"/>
          <w:szCs w:val="32"/>
          <w:highlight w:val="none"/>
        </w:rPr>
        <w:t>社会保障和就业支出（类）</w:t>
      </w:r>
      <w:r>
        <w:rPr>
          <w:rStyle w:val="20"/>
          <w:rFonts w:hint="eastAsia" w:ascii="仿宋" w:hAnsi="仿宋" w:eastAsia="仿宋"/>
          <w:bCs/>
          <w:color w:val="auto"/>
          <w:sz w:val="32"/>
          <w:szCs w:val="32"/>
          <w:highlight w:val="none"/>
          <w:lang w:eastAsia="zh-CN"/>
        </w:rPr>
        <w:t>退役安置</w:t>
      </w:r>
      <w:r>
        <w:rPr>
          <w:rStyle w:val="20"/>
          <w:rFonts w:hint="eastAsia" w:ascii="仿宋" w:hAnsi="仿宋" w:eastAsia="仿宋"/>
          <w:bCs/>
          <w:color w:val="auto"/>
          <w:sz w:val="32"/>
          <w:szCs w:val="32"/>
          <w:highlight w:val="none"/>
        </w:rPr>
        <w:t>（款） 退役士兵安置（项）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73.86</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25060E19">
      <w:pPr>
        <w:spacing w:line="600" w:lineRule="exact"/>
        <w:ind w:firstLine="643" w:firstLineChars="200"/>
        <w:rPr>
          <w:rFonts w:hint="eastAsia" w:ascii="仿宋" w:hAnsi="仿宋" w:eastAsia="仿宋"/>
          <w:color w:val="auto"/>
          <w:sz w:val="32"/>
          <w:szCs w:val="32"/>
          <w:highlight w:val="none"/>
          <w:lang w:val="en-US" w:eastAsia="zh-CN"/>
        </w:rPr>
      </w:pPr>
      <w:r>
        <w:rPr>
          <w:rStyle w:val="20"/>
          <w:rFonts w:hint="eastAsia" w:ascii="仿宋" w:hAnsi="仿宋" w:eastAsia="仿宋"/>
          <w:bCs/>
          <w:color w:val="auto"/>
          <w:sz w:val="32"/>
          <w:szCs w:val="32"/>
          <w:highlight w:val="none"/>
          <w:lang w:val="en-US" w:eastAsia="zh-CN"/>
        </w:rPr>
        <w:t>7</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社会保障和就业支出（类）</w:t>
      </w:r>
      <w:r>
        <w:rPr>
          <w:rStyle w:val="20"/>
          <w:rFonts w:hint="eastAsia" w:ascii="仿宋" w:hAnsi="仿宋" w:eastAsia="仿宋"/>
          <w:bCs/>
          <w:color w:val="auto"/>
          <w:sz w:val="32"/>
          <w:szCs w:val="32"/>
          <w:highlight w:val="none"/>
          <w:lang w:eastAsia="zh-CN"/>
        </w:rPr>
        <w:t>退役安置</w:t>
      </w:r>
      <w:r>
        <w:rPr>
          <w:rStyle w:val="20"/>
          <w:rFonts w:hint="eastAsia" w:ascii="仿宋" w:hAnsi="仿宋" w:eastAsia="仿宋"/>
          <w:bCs/>
          <w:color w:val="auto"/>
          <w:sz w:val="32"/>
          <w:szCs w:val="32"/>
          <w:highlight w:val="none"/>
        </w:rPr>
        <w:t>（款） 军队移交政府的离退休人员安置（项）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113</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2A28DDB7">
      <w:pPr>
        <w:spacing w:line="600" w:lineRule="exact"/>
        <w:ind w:firstLine="643" w:firstLineChars="200"/>
        <w:rPr>
          <w:rStyle w:val="20"/>
          <w:rFonts w:hint="eastAsia" w:ascii="仿宋" w:hAnsi="仿宋" w:eastAsia="仿宋"/>
          <w:b w:val="0"/>
          <w:bCs/>
          <w:color w:val="auto"/>
          <w:sz w:val="32"/>
          <w:szCs w:val="32"/>
          <w:highlight w:val="none"/>
          <w:lang w:val="en-US" w:eastAsia="zh-CN"/>
        </w:rPr>
      </w:pPr>
      <w:r>
        <w:rPr>
          <w:rStyle w:val="20"/>
          <w:rFonts w:hint="eastAsia" w:ascii="仿宋" w:hAnsi="仿宋" w:eastAsia="仿宋"/>
          <w:bCs/>
          <w:color w:val="auto"/>
          <w:sz w:val="32"/>
          <w:szCs w:val="32"/>
          <w:highlight w:val="none"/>
          <w:lang w:val="en-US" w:eastAsia="zh-CN"/>
        </w:rPr>
        <w:t>8</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社会保障和就业支出（类）</w:t>
      </w:r>
      <w:r>
        <w:rPr>
          <w:rStyle w:val="20"/>
          <w:rFonts w:hint="eastAsia" w:ascii="仿宋" w:hAnsi="仿宋" w:eastAsia="仿宋"/>
          <w:bCs/>
          <w:color w:val="auto"/>
          <w:sz w:val="32"/>
          <w:szCs w:val="32"/>
          <w:highlight w:val="none"/>
          <w:lang w:eastAsia="zh-CN"/>
        </w:rPr>
        <w:t>退役安置</w:t>
      </w:r>
      <w:r>
        <w:rPr>
          <w:rStyle w:val="20"/>
          <w:rFonts w:hint="eastAsia" w:ascii="仿宋" w:hAnsi="仿宋" w:eastAsia="仿宋"/>
          <w:bCs/>
          <w:color w:val="auto"/>
          <w:sz w:val="32"/>
          <w:szCs w:val="32"/>
          <w:highlight w:val="none"/>
        </w:rPr>
        <w:t>（款）退役士兵管理教育（项）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3.67</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7CFDFAA6">
      <w:pPr>
        <w:spacing w:line="600" w:lineRule="exact"/>
        <w:ind w:firstLine="643" w:firstLineChars="200"/>
        <w:rPr>
          <w:rFonts w:hint="eastAsia" w:ascii="仿宋" w:hAnsi="仿宋" w:eastAsia="仿宋"/>
          <w:color w:val="auto"/>
          <w:sz w:val="32"/>
          <w:szCs w:val="32"/>
          <w:highlight w:val="none"/>
          <w:lang w:val="en-US" w:eastAsia="zh-CN"/>
        </w:rPr>
      </w:pPr>
      <w:r>
        <w:rPr>
          <w:rStyle w:val="20"/>
          <w:rFonts w:hint="eastAsia" w:ascii="仿宋" w:hAnsi="仿宋" w:eastAsia="仿宋"/>
          <w:bCs/>
          <w:color w:val="auto"/>
          <w:sz w:val="32"/>
          <w:szCs w:val="32"/>
          <w:highlight w:val="none"/>
          <w:lang w:val="en-US" w:eastAsia="zh-CN"/>
        </w:rPr>
        <w:t>9</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社会保障和就业支出（类）</w:t>
      </w:r>
      <w:r>
        <w:rPr>
          <w:rStyle w:val="20"/>
          <w:rFonts w:hint="eastAsia" w:ascii="仿宋" w:hAnsi="仿宋" w:eastAsia="仿宋"/>
          <w:bCs/>
          <w:color w:val="auto"/>
          <w:sz w:val="32"/>
          <w:szCs w:val="32"/>
          <w:highlight w:val="none"/>
          <w:lang w:eastAsia="zh-CN"/>
        </w:rPr>
        <w:t>退役安置</w:t>
      </w:r>
      <w:r>
        <w:rPr>
          <w:rStyle w:val="20"/>
          <w:rFonts w:hint="eastAsia" w:ascii="仿宋" w:hAnsi="仿宋" w:eastAsia="仿宋"/>
          <w:bCs/>
          <w:color w:val="auto"/>
          <w:sz w:val="32"/>
          <w:szCs w:val="32"/>
          <w:highlight w:val="none"/>
        </w:rPr>
        <w:t>（款）军队转业干部安置（项）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63.89</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16E251FE">
      <w:pPr>
        <w:spacing w:line="600" w:lineRule="exact"/>
        <w:ind w:firstLine="643" w:firstLineChars="200"/>
        <w:rPr>
          <w:rFonts w:hint="eastAsia" w:ascii="仿宋" w:hAnsi="仿宋" w:eastAsia="仿宋"/>
          <w:color w:val="auto"/>
          <w:sz w:val="32"/>
          <w:szCs w:val="32"/>
          <w:highlight w:val="none"/>
          <w:lang w:val="en-US" w:eastAsia="zh-CN"/>
        </w:rPr>
      </w:pPr>
      <w:r>
        <w:rPr>
          <w:rStyle w:val="20"/>
          <w:rFonts w:hint="eastAsia" w:ascii="仿宋" w:hAnsi="仿宋" w:eastAsia="仿宋"/>
          <w:bCs/>
          <w:color w:val="auto"/>
          <w:sz w:val="32"/>
          <w:szCs w:val="32"/>
          <w:highlight w:val="none"/>
          <w:lang w:val="en-US" w:eastAsia="zh-CN"/>
        </w:rPr>
        <w:t>10</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社会保障和就业支出（类）</w:t>
      </w:r>
      <w:r>
        <w:rPr>
          <w:rStyle w:val="20"/>
          <w:rFonts w:hint="eastAsia" w:ascii="仿宋" w:hAnsi="仿宋" w:eastAsia="仿宋"/>
          <w:bCs/>
          <w:color w:val="auto"/>
          <w:sz w:val="32"/>
          <w:szCs w:val="32"/>
          <w:highlight w:val="none"/>
          <w:lang w:eastAsia="zh-CN"/>
        </w:rPr>
        <w:t>退役安置</w:t>
      </w:r>
      <w:r>
        <w:rPr>
          <w:rStyle w:val="20"/>
          <w:rFonts w:hint="eastAsia" w:ascii="仿宋" w:hAnsi="仿宋" w:eastAsia="仿宋"/>
          <w:bCs/>
          <w:color w:val="auto"/>
          <w:sz w:val="32"/>
          <w:szCs w:val="32"/>
          <w:highlight w:val="none"/>
        </w:rPr>
        <w:t>（款）其他退役安置支出（项）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46.62</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59A4C8B7">
      <w:pPr>
        <w:spacing w:line="600" w:lineRule="exact"/>
        <w:ind w:firstLine="643" w:firstLineChars="200"/>
        <w:rPr>
          <w:rStyle w:val="20"/>
          <w:rFonts w:hint="eastAsia" w:ascii="仿宋" w:hAnsi="仿宋" w:eastAsia="仿宋"/>
          <w:b w:val="0"/>
          <w:bCs/>
          <w:color w:val="auto"/>
          <w:sz w:val="32"/>
          <w:szCs w:val="32"/>
          <w:highlight w:val="none"/>
          <w:lang w:val="en-US" w:eastAsia="zh-CN"/>
        </w:rPr>
      </w:pPr>
      <w:r>
        <w:rPr>
          <w:rStyle w:val="20"/>
          <w:rFonts w:hint="eastAsia" w:ascii="仿宋" w:hAnsi="仿宋" w:eastAsia="仿宋"/>
          <w:bCs/>
          <w:color w:val="auto"/>
          <w:sz w:val="32"/>
          <w:szCs w:val="32"/>
          <w:highlight w:val="none"/>
          <w:lang w:val="en-US" w:eastAsia="zh-CN"/>
        </w:rPr>
        <w:t>11</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社会保障和就业支出（类）</w:t>
      </w:r>
      <w:r>
        <w:rPr>
          <w:rStyle w:val="20"/>
          <w:rFonts w:hint="eastAsia" w:ascii="仿宋" w:hAnsi="仿宋" w:eastAsia="仿宋"/>
          <w:bCs/>
          <w:color w:val="auto"/>
          <w:sz w:val="32"/>
          <w:szCs w:val="32"/>
          <w:highlight w:val="none"/>
          <w:lang w:eastAsia="zh-CN"/>
        </w:rPr>
        <w:t>退役军人管理事务</w:t>
      </w:r>
      <w:r>
        <w:rPr>
          <w:rStyle w:val="20"/>
          <w:rFonts w:hint="eastAsia" w:ascii="仿宋" w:hAnsi="仿宋" w:eastAsia="仿宋"/>
          <w:bCs/>
          <w:color w:val="auto"/>
          <w:sz w:val="32"/>
          <w:szCs w:val="32"/>
          <w:highlight w:val="none"/>
        </w:rPr>
        <w:t>（款） 行政运行（项）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107.54</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r>
        <w:rPr>
          <w:rStyle w:val="20"/>
          <w:rFonts w:hint="eastAsia" w:ascii="仿宋" w:hAnsi="仿宋" w:eastAsia="仿宋"/>
          <w:b w:val="0"/>
          <w:bCs/>
          <w:color w:val="auto"/>
          <w:sz w:val="32"/>
          <w:szCs w:val="32"/>
          <w:highlight w:val="none"/>
          <w:lang w:val="en-US" w:eastAsia="zh-CN"/>
        </w:rPr>
        <w:t xml:space="preserve">  </w:t>
      </w:r>
    </w:p>
    <w:p w14:paraId="22D2A77B">
      <w:pPr>
        <w:spacing w:line="600" w:lineRule="exact"/>
        <w:ind w:firstLine="643" w:firstLineChars="200"/>
        <w:rPr>
          <w:rFonts w:hint="eastAsia" w:ascii="仿宋" w:hAnsi="仿宋" w:eastAsia="仿宋"/>
          <w:color w:val="auto"/>
          <w:sz w:val="32"/>
          <w:szCs w:val="32"/>
          <w:highlight w:val="none"/>
        </w:rPr>
      </w:pPr>
      <w:r>
        <w:rPr>
          <w:rStyle w:val="20"/>
          <w:rFonts w:hint="eastAsia" w:ascii="仿宋" w:hAnsi="仿宋" w:eastAsia="仿宋"/>
          <w:bCs/>
          <w:color w:val="auto"/>
          <w:sz w:val="32"/>
          <w:szCs w:val="32"/>
          <w:highlight w:val="none"/>
          <w:lang w:val="en-US" w:eastAsia="zh-CN"/>
        </w:rPr>
        <w:t>12</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社会保障和就业支出（类）</w:t>
      </w:r>
      <w:r>
        <w:rPr>
          <w:rStyle w:val="20"/>
          <w:rFonts w:hint="eastAsia" w:ascii="仿宋" w:hAnsi="仿宋" w:eastAsia="仿宋"/>
          <w:bCs/>
          <w:color w:val="auto"/>
          <w:sz w:val="32"/>
          <w:szCs w:val="32"/>
          <w:highlight w:val="none"/>
          <w:lang w:eastAsia="zh-CN"/>
        </w:rPr>
        <w:t>退役军人管理事务</w:t>
      </w:r>
      <w:r>
        <w:rPr>
          <w:rStyle w:val="20"/>
          <w:rFonts w:hint="eastAsia" w:ascii="仿宋" w:hAnsi="仿宋" w:eastAsia="仿宋"/>
          <w:bCs/>
          <w:color w:val="auto"/>
          <w:sz w:val="32"/>
          <w:szCs w:val="32"/>
          <w:highlight w:val="none"/>
        </w:rPr>
        <w:t>（款） 拥军优属（项）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33.98</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73C87671">
      <w:pPr>
        <w:spacing w:line="600" w:lineRule="exact"/>
        <w:ind w:firstLine="643" w:firstLineChars="200"/>
        <w:rPr>
          <w:rFonts w:hint="eastAsia" w:eastAsia="仿宋"/>
          <w:lang w:val="en-US" w:eastAsia="zh-CN"/>
        </w:rPr>
      </w:pPr>
      <w:r>
        <w:rPr>
          <w:rStyle w:val="20"/>
          <w:rFonts w:hint="eastAsia" w:ascii="仿宋" w:hAnsi="仿宋" w:eastAsia="仿宋"/>
          <w:bCs/>
          <w:color w:val="auto"/>
          <w:sz w:val="32"/>
          <w:szCs w:val="32"/>
          <w:highlight w:val="none"/>
          <w:lang w:val="en-US" w:eastAsia="zh-CN"/>
        </w:rPr>
        <w:t>13</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社会保障和就业支出（类）</w:t>
      </w:r>
      <w:r>
        <w:rPr>
          <w:rStyle w:val="20"/>
          <w:rFonts w:hint="eastAsia" w:ascii="仿宋" w:hAnsi="仿宋" w:eastAsia="仿宋"/>
          <w:bCs/>
          <w:color w:val="auto"/>
          <w:sz w:val="32"/>
          <w:szCs w:val="32"/>
          <w:highlight w:val="none"/>
          <w:lang w:eastAsia="zh-CN"/>
        </w:rPr>
        <w:t>退役军人管理事务</w:t>
      </w:r>
      <w:r>
        <w:rPr>
          <w:rStyle w:val="20"/>
          <w:rFonts w:hint="eastAsia" w:ascii="仿宋" w:hAnsi="仿宋" w:eastAsia="仿宋"/>
          <w:bCs/>
          <w:color w:val="auto"/>
          <w:sz w:val="32"/>
          <w:szCs w:val="32"/>
          <w:highlight w:val="none"/>
        </w:rPr>
        <w:t xml:space="preserve">（款） </w:t>
      </w:r>
      <w:r>
        <w:rPr>
          <w:rStyle w:val="20"/>
          <w:rFonts w:hint="eastAsia" w:ascii="仿宋" w:hAnsi="仿宋" w:eastAsia="仿宋"/>
          <w:bCs/>
          <w:color w:val="auto"/>
          <w:sz w:val="32"/>
          <w:szCs w:val="32"/>
          <w:highlight w:val="none"/>
          <w:lang w:eastAsia="zh-CN"/>
        </w:rPr>
        <w:t>事业运行</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56.4</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18953ED9">
      <w:pPr>
        <w:pStyle w:val="2"/>
        <w:jc w:val="left"/>
        <w:rPr>
          <w:rFonts w:hint="eastAsia" w:ascii="仿宋" w:hAnsi="仿宋" w:eastAsia="仿宋"/>
          <w:color w:val="auto"/>
          <w:sz w:val="32"/>
          <w:szCs w:val="32"/>
          <w:highlight w:val="none"/>
          <w:lang w:val="en-US" w:eastAsia="zh-CN"/>
        </w:rPr>
      </w:pPr>
      <w:r>
        <w:rPr>
          <w:rStyle w:val="20"/>
          <w:rFonts w:hint="eastAsia" w:ascii="仿宋" w:hAnsi="仿宋" w:eastAsia="仿宋"/>
          <w:bCs/>
          <w:color w:val="auto"/>
          <w:sz w:val="32"/>
          <w:szCs w:val="32"/>
          <w:highlight w:val="none"/>
          <w:lang w:val="en-US" w:eastAsia="zh-CN"/>
        </w:rPr>
        <w:t xml:space="preserve">    14</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社会保障和就业支出（类）其他社会保障和就业支出（款） 其他社会保障和就业支出（项）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2.1</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65CA22E4">
      <w:pPr>
        <w:ind w:firstLine="643" w:firstLineChars="200"/>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15</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卫生健康支出（类）</w:t>
      </w:r>
      <w:r>
        <w:rPr>
          <w:rStyle w:val="20"/>
          <w:rFonts w:hint="eastAsia" w:ascii="仿宋" w:hAnsi="仿宋" w:eastAsia="仿宋"/>
          <w:bCs/>
          <w:color w:val="auto"/>
          <w:sz w:val="32"/>
          <w:szCs w:val="32"/>
          <w:highlight w:val="none"/>
          <w:lang w:eastAsia="zh-CN"/>
        </w:rPr>
        <w:t>行政事业单位医疗</w:t>
      </w:r>
      <w:r>
        <w:rPr>
          <w:rStyle w:val="20"/>
          <w:rFonts w:hint="eastAsia" w:ascii="仿宋" w:hAnsi="仿宋" w:eastAsia="仿宋"/>
          <w:bCs/>
          <w:color w:val="auto"/>
          <w:sz w:val="32"/>
          <w:szCs w:val="32"/>
          <w:highlight w:val="none"/>
        </w:rPr>
        <w:t>（款）行政单位医疗（项）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6.42</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4B0FFDB9">
      <w:pPr>
        <w:ind w:firstLine="643" w:firstLineChars="200"/>
        <w:rPr>
          <w:rFonts w:hint="eastAsia" w:ascii="仿宋" w:hAnsi="仿宋" w:eastAsia="仿宋"/>
          <w:color w:val="auto"/>
          <w:sz w:val="32"/>
          <w:szCs w:val="32"/>
          <w:highlight w:val="none"/>
        </w:rPr>
      </w:pPr>
      <w:r>
        <w:rPr>
          <w:rStyle w:val="20"/>
          <w:rFonts w:hint="eastAsia" w:ascii="仿宋" w:hAnsi="仿宋" w:eastAsia="仿宋"/>
          <w:bCs/>
          <w:color w:val="auto"/>
          <w:sz w:val="32"/>
          <w:szCs w:val="32"/>
          <w:highlight w:val="none"/>
          <w:lang w:val="en-US" w:eastAsia="zh-CN"/>
        </w:rPr>
        <w:t>16</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卫生健康支出（类）</w:t>
      </w:r>
      <w:r>
        <w:rPr>
          <w:rStyle w:val="20"/>
          <w:rFonts w:hint="eastAsia" w:ascii="仿宋" w:hAnsi="仿宋" w:eastAsia="仿宋"/>
          <w:bCs/>
          <w:color w:val="auto"/>
          <w:sz w:val="32"/>
          <w:szCs w:val="32"/>
          <w:highlight w:val="none"/>
          <w:lang w:eastAsia="zh-CN"/>
        </w:rPr>
        <w:t>行政事业单位医疗</w:t>
      </w:r>
      <w:r>
        <w:rPr>
          <w:rStyle w:val="20"/>
          <w:rFonts w:hint="eastAsia" w:ascii="仿宋" w:hAnsi="仿宋" w:eastAsia="仿宋"/>
          <w:bCs/>
          <w:color w:val="auto"/>
          <w:sz w:val="32"/>
          <w:szCs w:val="32"/>
          <w:highlight w:val="none"/>
        </w:rPr>
        <w:t>（款）公务员医疗补助（项）</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0.54</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2B558F6C">
      <w:pPr>
        <w:spacing w:line="600" w:lineRule="exact"/>
        <w:ind w:firstLine="643" w:firstLineChars="200"/>
        <w:rPr>
          <w:rFonts w:hint="eastAsia" w:ascii="仿宋" w:hAnsi="仿宋" w:eastAsia="仿宋"/>
          <w:color w:val="auto"/>
          <w:sz w:val="32"/>
          <w:szCs w:val="32"/>
          <w:highlight w:val="none"/>
          <w:lang w:val="en-US" w:eastAsia="zh-CN"/>
        </w:rPr>
      </w:pPr>
      <w:r>
        <w:rPr>
          <w:rStyle w:val="20"/>
          <w:rFonts w:hint="eastAsia" w:ascii="仿宋" w:hAnsi="仿宋" w:eastAsia="仿宋"/>
          <w:bCs/>
          <w:color w:val="auto"/>
          <w:sz w:val="32"/>
          <w:szCs w:val="32"/>
          <w:highlight w:val="none"/>
          <w:lang w:val="en-US" w:eastAsia="zh-CN"/>
        </w:rPr>
        <w:t>17</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卫生健康支出（类）</w:t>
      </w:r>
      <w:r>
        <w:rPr>
          <w:rStyle w:val="20"/>
          <w:rFonts w:hint="eastAsia" w:ascii="仿宋" w:hAnsi="仿宋" w:eastAsia="仿宋"/>
          <w:bCs/>
          <w:color w:val="auto"/>
          <w:sz w:val="32"/>
          <w:szCs w:val="32"/>
          <w:highlight w:val="none"/>
          <w:lang w:eastAsia="zh-CN"/>
        </w:rPr>
        <w:t>优抚对象医疗</w:t>
      </w:r>
      <w:r>
        <w:rPr>
          <w:rStyle w:val="20"/>
          <w:rFonts w:hint="eastAsia" w:ascii="仿宋" w:hAnsi="仿宋" w:eastAsia="仿宋"/>
          <w:bCs/>
          <w:color w:val="auto"/>
          <w:sz w:val="32"/>
          <w:szCs w:val="32"/>
          <w:highlight w:val="none"/>
        </w:rPr>
        <w:t>（款）优抚对象医疗补助（项）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12.26</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4392B002">
      <w:pPr>
        <w:ind w:firstLine="643" w:firstLineChars="200"/>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18</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住房保障支出（类）</w:t>
      </w:r>
      <w:r>
        <w:rPr>
          <w:rStyle w:val="20"/>
          <w:rFonts w:hint="eastAsia" w:ascii="仿宋" w:hAnsi="仿宋" w:eastAsia="仿宋"/>
          <w:bCs/>
          <w:color w:val="auto"/>
          <w:sz w:val="32"/>
          <w:szCs w:val="32"/>
          <w:highlight w:val="none"/>
          <w:lang w:eastAsia="zh-CN"/>
        </w:rPr>
        <w:t>住房改革支出</w:t>
      </w:r>
      <w:r>
        <w:rPr>
          <w:rStyle w:val="20"/>
          <w:rFonts w:hint="eastAsia" w:ascii="仿宋" w:hAnsi="仿宋" w:eastAsia="仿宋"/>
          <w:bCs/>
          <w:color w:val="auto"/>
          <w:sz w:val="32"/>
          <w:szCs w:val="32"/>
          <w:highlight w:val="none"/>
        </w:rPr>
        <w:t>（款）住房公积金（项）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14.27</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675D2DFF">
      <w:pPr>
        <w:ind w:firstLine="643" w:firstLineChars="200"/>
        <w:rPr>
          <w:rFonts w:hint="default" w:eastAsia="宋体"/>
          <w:sz w:val="32"/>
          <w:szCs w:val="32"/>
          <w:highlight w:val="red"/>
          <w:lang w:val="en-US" w:eastAsia="zh-CN"/>
        </w:rPr>
      </w:pPr>
      <w:r>
        <w:rPr>
          <w:rStyle w:val="20"/>
          <w:rFonts w:hint="eastAsia" w:ascii="仿宋" w:hAnsi="仿宋" w:eastAsia="仿宋"/>
          <w:bCs/>
          <w:color w:val="auto"/>
          <w:sz w:val="32"/>
          <w:szCs w:val="32"/>
          <w:highlight w:val="none"/>
          <w:lang w:val="en-US" w:eastAsia="zh-CN"/>
        </w:rPr>
        <w:t>19</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城乡社区支出（类）</w:t>
      </w:r>
      <w:r>
        <w:rPr>
          <w:rStyle w:val="20"/>
          <w:rFonts w:hint="eastAsia" w:ascii="仿宋" w:hAnsi="仿宋" w:eastAsia="仿宋"/>
          <w:bCs/>
          <w:color w:val="auto"/>
          <w:sz w:val="32"/>
          <w:szCs w:val="32"/>
          <w:highlight w:val="none"/>
          <w:lang w:eastAsia="zh-CN"/>
        </w:rPr>
        <w:t>国有土地使用权出让收入安排的支出</w:t>
      </w:r>
      <w:r>
        <w:rPr>
          <w:rStyle w:val="20"/>
          <w:rFonts w:hint="eastAsia" w:ascii="仿宋" w:hAnsi="仿宋" w:eastAsia="仿宋"/>
          <w:bCs/>
          <w:color w:val="auto"/>
          <w:sz w:val="32"/>
          <w:szCs w:val="32"/>
          <w:highlight w:val="none"/>
        </w:rPr>
        <w:t>（款）其他国有土地使用权出让收入安排的支出（项）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226.14</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424BEAA0">
      <w:pPr>
        <w:ind w:firstLine="643" w:firstLineChars="200"/>
        <w:rPr>
          <w:rFonts w:hint="default"/>
          <w:lang w:val="en-US" w:eastAsia="zh-CN"/>
        </w:rPr>
      </w:pPr>
      <w:r>
        <w:rPr>
          <w:rStyle w:val="20"/>
          <w:rFonts w:hint="eastAsia" w:ascii="仿宋" w:hAnsi="仿宋" w:eastAsia="仿宋"/>
          <w:bCs/>
          <w:color w:val="auto"/>
          <w:sz w:val="32"/>
          <w:szCs w:val="32"/>
          <w:highlight w:val="none"/>
          <w:lang w:val="en-US" w:eastAsia="zh-CN"/>
        </w:rPr>
        <w:t>20</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其他支出（类）</w:t>
      </w:r>
      <w:r>
        <w:rPr>
          <w:rStyle w:val="20"/>
          <w:rFonts w:hint="eastAsia" w:ascii="仿宋" w:hAnsi="仿宋" w:eastAsia="仿宋"/>
          <w:bCs/>
          <w:color w:val="auto"/>
          <w:sz w:val="32"/>
          <w:szCs w:val="32"/>
          <w:highlight w:val="none"/>
          <w:lang w:eastAsia="zh-CN"/>
        </w:rPr>
        <w:t>彩票公益金安排的支出</w:t>
      </w:r>
      <w:r>
        <w:rPr>
          <w:rStyle w:val="20"/>
          <w:rFonts w:hint="eastAsia" w:ascii="仿宋" w:hAnsi="仿宋" w:eastAsia="仿宋"/>
          <w:bCs/>
          <w:color w:val="auto"/>
          <w:sz w:val="32"/>
          <w:szCs w:val="32"/>
          <w:highlight w:val="none"/>
        </w:rPr>
        <w:t>（款）用于其他社会公益事业的彩票公益金支出（项）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55.03</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3A5A6187">
      <w:pPr>
        <w:tabs>
          <w:tab w:val="right" w:pos="8306"/>
        </w:tabs>
        <w:spacing w:line="600" w:lineRule="exact"/>
        <w:ind w:firstLine="640"/>
        <w:outlineLvl w:val="1"/>
        <w:rPr>
          <w:rStyle w:val="31"/>
          <w:color w:val="auto"/>
          <w:highlight w:val="none"/>
        </w:rPr>
      </w:pPr>
      <w:bookmarkStart w:id="54" w:name="_Toc15396608"/>
      <w:bookmarkStart w:id="55" w:name="_Toc15377214"/>
      <w:bookmarkStart w:id="56" w:name="_Toc17619"/>
      <w:r>
        <w:rPr>
          <w:rStyle w:val="36"/>
          <w:rFonts w:hint="eastAsia"/>
        </w:rPr>
        <w:t>六、一般公共预算财政拨款基本支出决算情况说明</w:t>
      </w:r>
      <w:bookmarkEnd w:id="54"/>
      <w:bookmarkEnd w:id="55"/>
      <w:bookmarkEnd w:id="56"/>
      <w:r>
        <w:rPr>
          <w:rStyle w:val="31"/>
          <w:rFonts w:ascii="黑体" w:hAnsi="黑体" w:eastAsia="黑体"/>
          <w:b w:val="0"/>
          <w:color w:val="auto"/>
          <w:highlight w:val="none"/>
        </w:rPr>
        <w:tab/>
      </w:r>
    </w:p>
    <w:p w14:paraId="4F1C064E">
      <w:pPr>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年一般公共预算财政拨款基本支出</w:t>
      </w:r>
      <w:r>
        <w:rPr>
          <w:rFonts w:hint="eastAsia" w:ascii="仿宋_GB2312" w:hAnsi="仿宋_GB2312" w:eastAsia="仿宋_GB2312"/>
          <w:color w:val="000000"/>
          <w:kern w:val="2"/>
          <w:sz w:val="32"/>
          <w:szCs w:val="24"/>
          <w:lang w:val="en-US" w:eastAsia="zh-CN"/>
        </w:rPr>
        <w:t>216.43</w:t>
      </w:r>
      <w:r>
        <w:rPr>
          <w:rFonts w:hint="eastAsia" w:ascii="仿宋_GB2312" w:hAnsi="仿宋_GB2312" w:eastAsia="仿宋_GB2312"/>
          <w:color w:val="000000"/>
          <w:kern w:val="2"/>
          <w:sz w:val="32"/>
          <w:szCs w:val="24"/>
          <w:lang w:val="zh-CN"/>
        </w:rPr>
        <w:t>万元，其中：</w:t>
      </w:r>
    </w:p>
    <w:p w14:paraId="2BCDA30D">
      <w:pPr>
        <w:spacing w:beforeLines="0" w:afterLines="0" w:line="576" w:lineRule="exact"/>
        <w:ind w:firstLine="643"/>
        <w:jc w:val="both"/>
        <w:rPr>
          <w:rFonts w:hint="eastAsia" w:ascii="仿宋_GB2312" w:hAnsi="仿宋_GB2312" w:eastAsia="仿宋_GB2312"/>
          <w:color w:val="auto"/>
          <w:kern w:val="2"/>
          <w:sz w:val="32"/>
          <w:szCs w:val="24"/>
          <w:lang w:val="zh-CN"/>
        </w:rPr>
      </w:pPr>
      <w:r>
        <w:rPr>
          <w:rFonts w:hint="eastAsia" w:ascii="仿宋_GB2312" w:hAnsi="仿宋_GB2312" w:eastAsia="仿宋_GB2312"/>
          <w:b/>
          <w:color w:val="auto"/>
          <w:kern w:val="2"/>
          <w:sz w:val="32"/>
          <w:szCs w:val="24"/>
          <w:lang w:val="zh-CN"/>
        </w:rPr>
        <w:t>人员经费</w:t>
      </w:r>
      <w:r>
        <w:rPr>
          <w:rFonts w:hint="eastAsia" w:ascii="仿宋_GB2312" w:hAnsi="仿宋_GB2312" w:eastAsia="仿宋_GB2312"/>
          <w:color w:val="auto"/>
          <w:kern w:val="2"/>
          <w:sz w:val="32"/>
          <w:szCs w:val="24"/>
          <w:lang w:val="en-US" w:eastAsia="zh-CN"/>
        </w:rPr>
        <w:t>186.51</w:t>
      </w:r>
      <w:r>
        <w:rPr>
          <w:rFonts w:hint="eastAsia" w:ascii="仿宋_GB2312" w:hAnsi="仿宋_GB2312" w:eastAsia="仿宋_GB2312"/>
          <w:color w:val="auto"/>
          <w:kern w:val="2"/>
          <w:sz w:val="32"/>
          <w:szCs w:val="24"/>
          <w:lang w:val="zh-CN"/>
        </w:rPr>
        <w:t>万元，主要包括：</w:t>
      </w:r>
      <w:r>
        <w:rPr>
          <w:rFonts w:hint="eastAsia" w:ascii="仿宋" w:hAnsi="仿宋" w:eastAsia="仿宋"/>
          <w:color w:val="auto"/>
          <w:kern w:val="2"/>
          <w:sz w:val="32"/>
          <w:szCs w:val="24"/>
          <w:lang w:val="en-US"/>
        </w:rPr>
        <w:t>基本工资、津贴补贴、奖金、伙食补助费、绩效工资、机关事业单位基本养老保险缴费、职业年金缴费、</w:t>
      </w:r>
      <w:r>
        <w:rPr>
          <w:rFonts w:hint="eastAsia" w:ascii="仿宋" w:hAnsi="仿宋" w:eastAsia="仿宋"/>
          <w:color w:val="auto"/>
          <w:kern w:val="2"/>
          <w:sz w:val="32"/>
          <w:szCs w:val="24"/>
          <w:lang w:val="en-US" w:eastAsia="zh-CN"/>
        </w:rPr>
        <w:t>职工基本医疗保险缴费、公务员医疗补助缴费、</w:t>
      </w:r>
      <w:r>
        <w:rPr>
          <w:rFonts w:hint="eastAsia" w:ascii="仿宋" w:hAnsi="仿宋" w:eastAsia="仿宋"/>
          <w:color w:val="auto"/>
          <w:kern w:val="2"/>
          <w:sz w:val="32"/>
          <w:szCs w:val="24"/>
          <w:lang w:val="en-US"/>
        </w:rPr>
        <w:t>其他社会保障缴费、其他工资福利支出、生活补助、住房公积金等</w:t>
      </w:r>
      <w:r>
        <w:rPr>
          <w:rFonts w:hint="eastAsia" w:ascii="仿宋_GB2312" w:hAnsi="仿宋_GB2312" w:eastAsia="仿宋_GB2312"/>
          <w:color w:val="auto"/>
          <w:kern w:val="2"/>
          <w:sz w:val="32"/>
          <w:szCs w:val="24"/>
          <w:lang w:val="zh-CN"/>
        </w:rPr>
        <w:t>。</w:t>
      </w:r>
    </w:p>
    <w:p w14:paraId="5E05FEA3">
      <w:pPr>
        <w:spacing w:line="600" w:lineRule="exact"/>
        <w:ind w:firstLine="645"/>
        <w:rPr>
          <w:rFonts w:ascii="仿宋" w:hAnsi="仿宋" w:eastAsia="仿宋"/>
          <w:color w:val="auto"/>
          <w:sz w:val="32"/>
          <w:szCs w:val="32"/>
          <w:highlight w:val="none"/>
        </w:rPr>
      </w:pPr>
      <w:r>
        <w:rPr>
          <w:rFonts w:hint="eastAsia" w:ascii="仿宋_GB2312" w:hAnsi="仿宋_GB2312" w:eastAsia="仿宋_GB2312"/>
          <w:b/>
          <w:color w:val="auto"/>
          <w:kern w:val="2"/>
          <w:sz w:val="32"/>
          <w:szCs w:val="24"/>
          <w:lang w:val="zh-CN"/>
        </w:rPr>
        <w:t>公用经费</w:t>
      </w:r>
      <w:r>
        <w:rPr>
          <w:rFonts w:hint="eastAsia" w:ascii="仿宋_GB2312" w:hAnsi="仿宋_GB2312" w:eastAsia="仿宋_GB2312"/>
          <w:color w:val="auto"/>
          <w:kern w:val="2"/>
          <w:sz w:val="32"/>
          <w:szCs w:val="24"/>
          <w:lang w:val="en-US" w:eastAsia="zh-CN"/>
        </w:rPr>
        <w:t>29.92</w:t>
      </w:r>
      <w:r>
        <w:rPr>
          <w:rFonts w:hint="eastAsia" w:ascii="仿宋_GB2312" w:hAnsi="仿宋_GB2312" w:eastAsia="仿宋_GB2312"/>
          <w:color w:val="auto"/>
          <w:kern w:val="2"/>
          <w:sz w:val="32"/>
          <w:szCs w:val="24"/>
          <w:lang w:val="zh-CN"/>
        </w:rPr>
        <w:t>万元，主要包括：</w:t>
      </w:r>
      <w:r>
        <w:rPr>
          <w:rFonts w:hint="eastAsia" w:ascii="仿宋" w:hAnsi="仿宋" w:eastAsia="仿宋"/>
          <w:color w:val="auto"/>
          <w:kern w:val="2"/>
          <w:sz w:val="32"/>
          <w:szCs w:val="24"/>
          <w:lang w:val="en-US"/>
        </w:rPr>
        <w:t>办公费、印刷费、水费、电费、邮电费、差旅费、维修（护）费、公务接待费、劳务费、工会经费、福利费、其他交通费、其他商品和服务支出</w:t>
      </w:r>
      <w:r>
        <w:rPr>
          <w:rFonts w:hint="eastAsia" w:ascii="仿宋" w:hAnsi="仿宋" w:eastAsia="仿宋"/>
          <w:color w:val="auto"/>
          <w:kern w:val="2"/>
          <w:sz w:val="32"/>
          <w:szCs w:val="24"/>
          <w:lang w:val="en-US" w:eastAsia="zh-CN"/>
        </w:rPr>
        <w:t>。</w:t>
      </w:r>
    </w:p>
    <w:p w14:paraId="53A3D3FD">
      <w:pPr>
        <w:pStyle w:val="4"/>
        <w:bidi w:val="0"/>
      </w:pPr>
      <w:bookmarkStart w:id="57" w:name="_Toc15377215"/>
      <w:bookmarkStart w:id="58" w:name="_Toc7983"/>
      <w:bookmarkStart w:id="59" w:name="_Toc15396609"/>
      <w:r>
        <w:rPr>
          <w:rFonts w:hint="eastAsia"/>
        </w:rPr>
        <w:t>七、“三公”经费财政拨款支出决算情况说明</w:t>
      </w:r>
      <w:bookmarkEnd w:id="57"/>
      <w:bookmarkEnd w:id="58"/>
      <w:bookmarkEnd w:id="59"/>
    </w:p>
    <w:p w14:paraId="791C72D9">
      <w:pPr>
        <w:spacing w:line="600" w:lineRule="exact"/>
        <w:ind w:firstLine="640"/>
        <w:outlineLvl w:val="2"/>
        <w:rPr>
          <w:rFonts w:ascii="仿宋" w:hAnsi="仿宋" w:eastAsia="仿宋"/>
          <w:b/>
          <w:color w:val="auto"/>
          <w:sz w:val="32"/>
          <w:szCs w:val="32"/>
          <w:highlight w:val="none"/>
        </w:rPr>
      </w:pPr>
      <w:bookmarkStart w:id="60" w:name="_Toc15377216"/>
      <w:r>
        <w:rPr>
          <w:rFonts w:hint="eastAsia" w:ascii="仿宋" w:hAnsi="仿宋" w:eastAsia="仿宋"/>
          <w:b/>
          <w:color w:val="auto"/>
          <w:sz w:val="32"/>
          <w:szCs w:val="32"/>
          <w:highlight w:val="none"/>
        </w:rPr>
        <w:t>（一）“三公”经费财政拨款支出决算总体情况说明</w:t>
      </w:r>
      <w:bookmarkEnd w:id="60"/>
    </w:p>
    <w:p w14:paraId="6C4A73CE">
      <w:pPr>
        <w:spacing w:line="600" w:lineRule="exact"/>
        <w:ind w:firstLine="640"/>
        <w:rPr>
          <w:rFonts w:hint="eastAsia" w:ascii="仿宋" w:hAnsi="仿宋" w:eastAsia="仿宋"/>
          <w:color w:val="auto"/>
          <w:sz w:val="32"/>
          <w:szCs w:val="32"/>
          <w:highlight w:val="none"/>
          <w:lang w:eastAsia="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三公</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经费财政拨款支出决算为</w:t>
      </w:r>
      <w:r>
        <w:rPr>
          <w:rFonts w:hint="eastAsia" w:ascii="仿宋_GB2312" w:hAnsi="仿宋_GB2312" w:eastAsia="仿宋_GB2312"/>
          <w:color w:val="000000"/>
          <w:kern w:val="2"/>
          <w:sz w:val="32"/>
          <w:szCs w:val="24"/>
          <w:lang w:val="en-US" w:eastAsia="zh-CN"/>
        </w:rPr>
        <w:t>0.87</w:t>
      </w:r>
      <w:r>
        <w:rPr>
          <w:rFonts w:hint="eastAsia" w:ascii="仿宋_GB2312" w:hAnsi="仿宋_GB2312" w:eastAsia="仿宋_GB2312"/>
          <w:color w:val="000000"/>
          <w:kern w:val="2"/>
          <w:sz w:val="32"/>
          <w:szCs w:val="24"/>
          <w:lang w:val="zh-CN"/>
        </w:rPr>
        <w:t>万元，完成预算100%；较上年</w:t>
      </w:r>
      <w:r>
        <w:rPr>
          <w:rFonts w:hint="eastAsia" w:ascii="仿宋_GB2312" w:hAnsi="仿宋_GB2312" w:eastAsia="仿宋_GB2312"/>
          <w:color w:val="000000"/>
          <w:kern w:val="2"/>
          <w:sz w:val="32"/>
          <w:szCs w:val="24"/>
          <w:lang w:val="en-US" w:eastAsia="zh-CN"/>
        </w:rPr>
        <w:t>增加0.4</w:t>
      </w:r>
      <w:r>
        <w:rPr>
          <w:rFonts w:hint="eastAsia" w:ascii="仿宋_GB2312" w:hAnsi="仿宋_GB2312" w:eastAsia="仿宋_GB2312"/>
          <w:color w:val="000000"/>
          <w:kern w:val="2"/>
          <w:sz w:val="32"/>
          <w:szCs w:val="24"/>
          <w:lang w:val="zh-CN"/>
        </w:rPr>
        <w:t>7万元，</w:t>
      </w:r>
      <w:r>
        <w:rPr>
          <w:rFonts w:hint="eastAsia" w:ascii="仿宋_GB2312" w:hAnsi="仿宋_GB2312" w:eastAsia="仿宋_GB2312"/>
          <w:color w:val="000000"/>
          <w:kern w:val="2"/>
          <w:sz w:val="32"/>
          <w:szCs w:val="24"/>
          <w:lang w:val="en-US" w:eastAsia="zh-CN"/>
        </w:rPr>
        <w:t>上涨117.5</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en-US" w:eastAsia="zh-CN"/>
        </w:rPr>
        <w:t>大于</w:t>
      </w:r>
      <w:r>
        <w:rPr>
          <w:rFonts w:hint="eastAsia" w:ascii="仿宋_GB2312" w:hAnsi="仿宋_GB2312" w:eastAsia="仿宋_GB2312"/>
          <w:color w:val="000000"/>
          <w:kern w:val="2"/>
          <w:sz w:val="32"/>
          <w:szCs w:val="24"/>
          <w:lang w:val="zh-CN"/>
        </w:rPr>
        <w:t>预算数的主要原因是公务接待</w:t>
      </w:r>
      <w:r>
        <w:rPr>
          <w:rFonts w:hint="eastAsia" w:ascii="仿宋_GB2312" w:hAnsi="仿宋_GB2312" w:eastAsia="仿宋_GB2312"/>
          <w:color w:val="000000"/>
          <w:kern w:val="2"/>
          <w:sz w:val="32"/>
          <w:szCs w:val="24"/>
          <w:lang w:val="en-US" w:eastAsia="zh-CN"/>
        </w:rPr>
        <w:t>增加</w:t>
      </w:r>
      <w:r>
        <w:rPr>
          <w:rFonts w:hint="eastAsia" w:ascii="仿宋_GB2312" w:hAnsi="仿宋_GB2312" w:eastAsia="仿宋_GB2312"/>
          <w:color w:val="000000"/>
          <w:kern w:val="2"/>
          <w:sz w:val="32"/>
          <w:szCs w:val="24"/>
          <w:lang w:val="zh-CN"/>
        </w:rPr>
        <w:t>。</w:t>
      </w:r>
    </w:p>
    <w:p w14:paraId="1285BA9C">
      <w:pPr>
        <w:spacing w:line="600" w:lineRule="exact"/>
        <w:ind w:firstLine="640"/>
        <w:outlineLvl w:val="2"/>
        <w:rPr>
          <w:rFonts w:ascii="仿宋" w:hAnsi="仿宋" w:eastAsia="仿宋"/>
          <w:b/>
          <w:color w:val="auto"/>
          <w:sz w:val="32"/>
          <w:szCs w:val="32"/>
          <w:highlight w:val="none"/>
        </w:rPr>
      </w:pPr>
      <w:bookmarkStart w:id="61" w:name="_Toc15377217"/>
      <w:r>
        <w:rPr>
          <w:rFonts w:hint="eastAsia" w:ascii="仿宋" w:hAnsi="仿宋" w:eastAsia="仿宋"/>
          <w:b/>
          <w:color w:val="auto"/>
          <w:sz w:val="32"/>
          <w:szCs w:val="32"/>
          <w:highlight w:val="none"/>
        </w:rPr>
        <w:t>（二）“三公”经费财政拨款支出决算具体情况说明</w:t>
      </w:r>
      <w:bookmarkEnd w:id="61"/>
    </w:p>
    <w:p w14:paraId="4A9DB9CB">
      <w:pPr>
        <w:keepNext/>
        <w:keepLines/>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三公</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经费财政拨款支出决算中，因公出国（境）费支出决算0万元，占0%；公务用车购置及运行维护费支出决算0万元，占0%；公务接待费支出决算0.</w:t>
      </w:r>
      <w:r>
        <w:rPr>
          <w:rFonts w:hint="eastAsia" w:ascii="仿宋_GB2312" w:hAnsi="仿宋_GB2312" w:eastAsia="仿宋_GB2312"/>
          <w:color w:val="000000"/>
          <w:kern w:val="2"/>
          <w:sz w:val="32"/>
          <w:szCs w:val="24"/>
          <w:lang w:val="en-US" w:eastAsia="zh-CN"/>
        </w:rPr>
        <w:t>87</w:t>
      </w:r>
      <w:r>
        <w:rPr>
          <w:rFonts w:hint="eastAsia" w:ascii="仿宋_GB2312" w:hAnsi="仿宋_GB2312" w:eastAsia="仿宋_GB2312"/>
          <w:color w:val="000000"/>
          <w:kern w:val="2"/>
          <w:sz w:val="32"/>
          <w:szCs w:val="24"/>
          <w:lang w:val="zh-CN"/>
        </w:rPr>
        <w:t>万元，占100%。具体情况如下：</w:t>
      </w:r>
    </w:p>
    <w:p w14:paraId="6158950E">
      <w:pPr>
        <w:spacing w:line="600" w:lineRule="exact"/>
        <w:ind w:firstLine="640"/>
        <w:rPr>
          <w:rFonts w:hint="eastAsia" w:ascii="仿宋" w:hAnsi="仿宋" w:eastAsia="仿宋"/>
          <w:color w:val="auto"/>
          <w:sz w:val="32"/>
          <w:szCs w:val="32"/>
          <w:highlight w:val="none"/>
        </w:rPr>
      </w:pPr>
    </w:p>
    <w:p w14:paraId="4C0AA325">
      <w:pPr>
        <w:rPr>
          <w:rFonts w:hint="eastAsia" w:eastAsia="仿宋"/>
          <w:lang w:eastAsia="zh-CN"/>
        </w:rPr>
      </w:pPr>
      <w:r>
        <w:rPr>
          <w:rFonts w:hint="eastAsia" w:eastAsia="仿宋"/>
          <w:lang w:eastAsia="zh-CN"/>
        </w:rPr>
        <w:drawing>
          <wp:inline distT="0" distB="0" distL="114300" distR="114300">
            <wp:extent cx="4839970" cy="2755265"/>
            <wp:effectExtent l="0" t="0" r="11430" b="635"/>
            <wp:docPr id="8" name="图片 8" descr="“三公”经费财政拨款支出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公”经费财政拨款支出结构"/>
                    <pic:cNvPicPr>
                      <a:picLocks noChangeAspect="1"/>
                    </pic:cNvPicPr>
                  </pic:nvPicPr>
                  <pic:blipFill>
                    <a:blip r:embed="rId14"/>
                    <a:stretch>
                      <a:fillRect/>
                    </a:stretch>
                  </pic:blipFill>
                  <pic:spPr>
                    <a:xfrm>
                      <a:off x="0" y="0"/>
                      <a:ext cx="4839970" cy="2755265"/>
                    </a:xfrm>
                    <a:prstGeom prst="rect">
                      <a:avLst/>
                    </a:prstGeom>
                  </pic:spPr>
                </pic:pic>
              </a:graphicData>
            </a:graphic>
          </wp:inline>
        </w:drawing>
      </w:r>
    </w:p>
    <w:p w14:paraId="2CD3D189">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3AA7E0EB">
      <w:pPr>
        <w:pStyle w:val="2"/>
      </w:pPr>
    </w:p>
    <w:p w14:paraId="320620D8">
      <w:pPr>
        <w:numPr>
          <w:ilvl w:val="0"/>
          <w:numId w:val="2"/>
        </w:numPr>
        <w:spacing w:line="600" w:lineRule="exact"/>
        <w:ind w:firstLine="640"/>
        <w:rPr>
          <w:rFonts w:hint="eastAsia" w:ascii="仿宋_GB2312" w:eastAsia="仿宋_GB2312"/>
          <w:color w:val="auto"/>
          <w:sz w:val="32"/>
          <w:szCs w:val="32"/>
          <w:highlight w:val="none"/>
          <w:lang w:eastAsia="zh-CN"/>
        </w:rPr>
      </w:pP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w:t>
      </w:r>
      <w:r>
        <w:rPr>
          <w:rFonts w:hint="eastAsia" w:ascii="仿宋_GB2312" w:eastAsia="仿宋_GB2312"/>
          <w:color w:val="auto"/>
          <w:sz w:val="32"/>
          <w:szCs w:val="32"/>
          <w:highlight w:val="none"/>
          <w:lang w:eastAsia="zh-CN"/>
        </w:rPr>
        <w:t>与</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持平。</w:t>
      </w:r>
    </w:p>
    <w:p w14:paraId="534BEB03">
      <w:pPr>
        <w:numPr>
          <w:ilvl w:val="0"/>
          <w:numId w:val="0"/>
        </w:numPr>
        <w:spacing w:line="600" w:lineRule="exact"/>
        <w:ind w:firstLine="643" w:firstLineChars="20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b/>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hint="eastAsia" w:ascii="仿宋_GB2312" w:eastAsia="仿宋_GB2312"/>
          <w:color w:val="auto"/>
          <w:sz w:val="32"/>
          <w:szCs w:val="32"/>
          <w:highlight w:val="none"/>
          <w:lang w:val="en-US" w:eastAsia="zh-CN"/>
        </w:rPr>
        <w:t>2022年</w:t>
      </w:r>
      <w:r>
        <w:rPr>
          <w:rFonts w:hint="eastAsia" w:ascii="仿宋_GB2312" w:eastAsia="仿宋_GB2312"/>
          <w:color w:val="auto"/>
          <w:sz w:val="32"/>
          <w:szCs w:val="32"/>
          <w:highlight w:val="none"/>
          <w:lang w:eastAsia="zh-CN"/>
        </w:rPr>
        <w:t>持平</w:t>
      </w:r>
      <w:r>
        <w:rPr>
          <w:rFonts w:hint="eastAsia" w:ascii="仿宋_GB2312" w:eastAsia="仿宋_GB2312"/>
          <w:color w:val="auto"/>
          <w:sz w:val="32"/>
          <w:szCs w:val="32"/>
          <w:highlight w:val="none"/>
        </w:rPr>
        <w:t>。</w:t>
      </w:r>
    </w:p>
    <w:p w14:paraId="66D2B879">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14:paraId="349E536C">
      <w:pPr>
        <w:spacing w:line="600" w:lineRule="exact"/>
        <w:ind w:firstLine="64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2210D9C9">
      <w:pPr>
        <w:spacing w:line="600" w:lineRule="exact"/>
        <w:ind w:firstLine="640"/>
        <w:rPr>
          <w:rFonts w:hint="eastAsia" w:ascii="仿宋_GB2312" w:eastAsia="仿宋_GB2312"/>
          <w:color w:val="auto"/>
          <w:sz w:val="32"/>
          <w:szCs w:val="32"/>
          <w:highlight w:val="none"/>
          <w:lang w:eastAsia="zh-CN"/>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w:t>
      </w:r>
      <w:r>
        <w:rPr>
          <w:rFonts w:hint="eastAsia" w:ascii="仿宋_GB2312" w:eastAsia="仿宋_GB2312"/>
          <w:b/>
          <w:color w:val="auto"/>
          <w:sz w:val="32"/>
          <w:szCs w:val="32"/>
          <w:highlight w:val="none"/>
          <w:lang w:eastAsia="zh-CN"/>
        </w:rPr>
        <w:t>支出</w:t>
      </w:r>
      <w:r>
        <w:rPr>
          <w:rFonts w:hint="eastAsia" w:ascii="仿宋_GB2312" w:hAnsi="仿宋_GB2312" w:eastAsia="仿宋_GB2312"/>
          <w:color w:val="000000"/>
          <w:kern w:val="2"/>
          <w:sz w:val="32"/>
          <w:szCs w:val="24"/>
          <w:lang w:val="zh-CN"/>
        </w:rPr>
        <w:t>0.</w:t>
      </w:r>
      <w:r>
        <w:rPr>
          <w:rFonts w:hint="eastAsia" w:ascii="仿宋_GB2312" w:hAnsi="仿宋_GB2312" w:eastAsia="仿宋_GB2312"/>
          <w:color w:val="000000"/>
          <w:kern w:val="2"/>
          <w:sz w:val="32"/>
          <w:szCs w:val="24"/>
          <w:lang w:val="en-US" w:eastAsia="zh-CN"/>
        </w:rPr>
        <w:t>87</w:t>
      </w:r>
      <w:r>
        <w:rPr>
          <w:rFonts w:hint="eastAsia" w:ascii="仿宋_GB2312" w:hAnsi="仿宋_GB2312" w:eastAsia="仿宋_GB2312"/>
          <w:color w:val="000000"/>
          <w:kern w:val="2"/>
          <w:sz w:val="32"/>
          <w:szCs w:val="24"/>
          <w:lang w:val="zh-CN"/>
        </w:rPr>
        <w:t>万元，完成预算100%。公务接待费支出决算比202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w:t>
      </w:r>
      <w:r>
        <w:rPr>
          <w:rFonts w:hint="eastAsia" w:ascii="仿宋_GB2312" w:hAnsi="仿宋_GB2312" w:eastAsia="仿宋_GB2312"/>
          <w:color w:val="000000"/>
          <w:kern w:val="2"/>
          <w:sz w:val="32"/>
          <w:szCs w:val="24"/>
          <w:lang w:val="en-US" w:eastAsia="zh-CN"/>
        </w:rPr>
        <w:t>增加0.47</w:t>
      </w:r>
      <w:r>
        <w:rPr>
          <w:rFonts w:hint="eastAsia" w:ascii="仿宋_GB2312" w:hAnsi="仿宋_GB2312" w:eastAsia="仿宋_GB2312"/>
          <w:color w:val="000000"/>
          <w:kern w:val="2"/>
          <w:sz w:val="32"/>
          <w:szCs w:val="24"/>
          <w:lang w:val="zh-CN"/>
        </w:rPr>
        <w:t>万元，下降</w:t>
      </w:r>
      <w:r>
        <w:rPr>
          <w:rFonts w:hint="eastAsia" w:ascii="仿宋_GB2312" w:hAnsi="仿宋_GB2312" w:eastAsia="仿宋_GB2312"/>
          <w:color w:val="000000"/>
          <w:kern w:val="2"/>
          <w:sz w:val="32"/>
          <w:szCs w:val="24"/>
          <w:lang w:val="en-US" w:eastAsia="zh-CN"/>
        </w:rPr>
        <w:t>117.5</w:t>
      </w:r>
      <w:r>
        <w:rPr>
          <w:rFonts w:hint="eastAsia" w:ascii="仿宋_GB2312" w:hAnsi="仿宋_GB2312" w:eastAsia="仿宋_GB2312"/>
          <w:color w:val="000000"/>
          <w:kern w:val="2"/>
          <w:sz w:val="32"/>
          <w:szCs w:val="24"/>
          <w:lang w:val="zh-CN"/>
        </w:rPr>
        <w:t>%。主要原因是公务接待</w:t>
      </w:r>
      <w:r>
        <w:rPr>
          <w:rFonts w:hint="eastAsia" w:ascii="仿宋_GB2312" w:hAnsi="仿宋_GB2312" w:eastAsia="仿宋_GB2312"/>
          <w:color w:val="000000"/>
          <w:kern w:val="2"/>
          <w:sz w:val="32"/>
          <w:szCs w:val="24"/>
          <w:lang w:val="en-US" w:eastAsia="zh-CN"/>
        </w:rPr>
        <w:t>增加</w:t>
      </w:r>
      <w:r>
        <w:rPr>
          <w:rFonts w:hint="eastAsia" w:ascii="仿宋_GB2312" w:hAnsi="仿宋_GB2312" w:eastAsia="仿宋_GB2312"/>
          <w:color w:val="000000"/>
          <w:kern w:val="2"/>
          <w:sz w:val="32"/>
          <w:szCs w:val="24"/>
          <w:lang w:val="zh-CN"/>
        </w:rPr>
        <w:t>。</w:t>
      </w:r>
    </w:p>
    <w:p w14:paraId="3DBE74D8">
      <w:pPr>
        <w:spacing w:line="600" w:lineRule="exact"/>
        <w:ind w:firstLine="64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w:t>
      </w:r>
      <w:r>
        <w:rPr>
          <w:rFonts w:hint="eastAsia" w:ascii="仿宋" w:hAnsi="仿宋" w:eastAsia="仿宋"/>
          <w:b/>
          <w:color w:val="auto"/>
          <w:sz w:val="32"/>
          <w:szCs w:val="32"/>
          <w:highlight w:val="none"/>
          <w:lang w:eastAsia="zh-CN"/>
        </w:rPr>
        <w:t>支出</w:t>
      </w:r>
      <w:r>
        <w:rPr>
          <w:rFonts w:hint="eastAsia" w:ascii="仿宋_GB2312" w:hAnsi="仿宋_GB2312" w:eastAsia="仿宋_GB2312"/>
          <w:color w:val="000000"/>
          <w:kern w:val="2"/>
          <w:sz w:val="32"/>
          <w:szCs w:val="24"/>
          <w:lang w:val="zh-CN"/>
        </w:rPr>
        <w:t>0.</w:t>
      </w:r>
      <w:r>
        <w:rPr>
          <w:rFonts w:hint="eastAsia" w:ascii="仿宋_GB2312" w:hAnsi="仿宋_GB2312" w:eastAsia="仿宋_GB2312"/>
          <w:color w:val="000000"/>
          <w:kern w:val="2"/>
          <w:sz w:val="32"/>
          <w:szCs w:val="24"/>
          <w:lang w:val="en-US" w:eastAsia="zh-CN"/>
        </w:rPr>
        <w:t>87</w:t>
      </w:r>
      <w:r>
        <w:rPr>
          <w:rFonts w:hint="eastAsia" w:ascii="仿宋_GB2312" w:hAnsi="仿宋_GB2312" w:eastAsia="仿宋_GB2312"/>
          <w:color w:val="000000"/>
          <w:kern w:val="2"/>
          <w:sz w:val="32"/>
          <w:szCs w:val="24"/>
          <w:lang w:val="zh-CN"/>
        </w:rPr>
        <w:t>万元。主要用于</w:t>
      </w:r>
      <w:r>
        <w:rPr>
          <w:rFonts w:hint="eastAsia" w:ascii="仿宋_GB2312" w:eastAsia="仿宋_GB2312"/>
          <w:color w:val="auto"/>
          <w:sz w:val="32"/>
          <w:szCs w:val="32"/>
          <w:highlight w:val="none"/>
        </w:rPr>
        <w:t>执行公务、开展业务活动开支的用餐费</w:t>
      </w:r>
      <w:r>
        <w:rPr>
          <w:rFonts w:hint="eastAsia" w:ascii="仿宋_GB2312" w:hAnsi="仿宋_GB2312" w:eastAsia="仿宋_GB2312"/>
          <w:color w:val="000000"/>
          <w:kern w:val="2"/>
          <w:sz w:val="32"/>
          <w:szCs w:val="24"/>
          <w:highlight w:val="white"/>
          <w:lang w:val="en-US"/>
        </w:rPr>
        <w:t>。</w:t>
      </w:r>
      <w:r>
        <w:rPr>
          <w:rFonts w:hint="eastAsia" w:ascii="仿宋_GB2312" w:hAnsi="仿宋_GB2312" w:eastAsia="仿宋_GB2312"/>
          <w:color w:val="000000"/>
          <w:kern w:val="2"/>
          <w:sz w:val="32"/>
          <w:szCs w:val="24"/>
          <w:lang w:val="zh-CN"/>
        </w:rPr>
        <w:t>国内公务接待</w:t>
      </w:r>
      <w:r>
        <w:rPr>
          <w:rFonts w:hint="eastAsia" w:ascii="仿宋_GB2312" w:hAnsi="仿宋_GB2312" w:eastAsia="仿宋_GB2312"/>
          <w:color w:val="000000"/>
          <w:kern w:val="2"/>
          <w:sz w:val="32"/>
          <w:szCs w:val="24"/>
          <w:lang w:val="en-US" w:eastAsia="zh-CN"/>
        </w:rPr>
        <w:t>8</w:t>
      </w:r>
      <w:r>
        <w:rPr>
          <w:rFonts w:hint="eastAsia" w:ascii="仿宋_GB2312" w:hAnsi="仿宋_GB2312" w:eastAsia="仿宋_GB2312"/>
          <w:color w:val="000000"/>
          <w:kern w:val="2"/>
          <w:sz w:val="32"/>
          <w:szCs w:val="24"/>
          <w:lang w:val="zh-CN"/>
        </w:rPr>
        <w:t>批次，</w:t>
      </w:r>
      <w:r>
        <w:rPr>
          <w:rFonts w:hint="eastAsia" w:ascii="仿宋_GB2312" w:hAnsi="仿宋_GB2312" w:eastAsia="仿宋_GB2312"/>
          <w:color w:val="000000"/>
          <w:kern w:val="2"/>
          <w:sz w:val="32"/>
          <w:szCs w:val="24"/>
          <w:lang w:val="en-US" w:eastAsia="zh-CN"/>
        </w:rPr>
        <w:t>59</w:t>
      </w:r>
      <w:r>
        <w:rPr>
          <w:rFonts w:hint="eastAsia" w:ascii="仿宋_GB2312" w:hAnsi="仿宋_GB2312" w:eastAsia="仿宋_GB2312"/>
          <w:color w:val="000000"/>
          <w:kern w:val="2"/>
          <w:sz w:val="32"/>
          <w:szCs w:val="24"/>
          <w:lang w:val="zh-CN"/>
        </w:rPr>
        <w:t>人次，共计支出0.</w:t>
      </w:r>
      <w:r>
        <w:rPr>
          <w:rFonts w:hint="eastAsia" w:ascii="仿宋_GB2312" w:hAnsi="仿宋_GB2312" w:eastAsia="仿宋_GB2312"/>
          <w:color w:val="000000"/>
          <w:kern w:val="2"/>
          <w:sz w:val="32"/>
          <w:szCs w:val="24"/>
          <w:lang w:val="en-US" w:eastAsia="zh-CN"/>
        </w:rPr>
        <w:t>87</w:t>
      </w:r>
      <w:r>
        <w:rPr>
          <w:rFonts w:hint="eastAsia" w:ascii="仿宋_GB2312" w:hAnsi="仿宋_GB2312" w:eastAsia="仿宋_GB2312"/>
          <w:color w:val="000000"/>
          <w:kern w:val="2"/>
          <w:sz w:val="32"/>
          <w:szCs w:val="24"/>
          <w:lang w:val="zh-CN"/>
        </w:rPr>
        <w:t>万元，具体内容包括</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接待上级部门来</w:t>
      </w:r>
      <w:r>
        <w:rPr>
          <w:rFonts w:hint="eastAsia" w:ascii="仿宋_GB2312" w:eastAsia="仿宋_GB2312"/>
          <w:color w:val="auto"/>
          <w:sz w:val="32"/>
          <w:szCs w:val="32"/>
          <w:highlight w:val="none"/>
          <w:lang w:val="en-US" w:eastAsia="zh-CN"/>
        </w:rPr>
        <w:t>峨调研“退役军人一件事”联办工作</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退役军人人事档案室减少工作等</w:t>
      </w:r>
      <w:r>
        <w:rPr>
          <w:rFonts w:hint="eastAsia" w:ascii="仿宋_GB2312" w:eastAsia="仿宋_GB2312"/>
          <w:color w:val="auto"/>
          <w:sz w:val="32"/>
          <w:szCs w:val="32"/>
          <w:highlight w:val="none"/>
        </w:rPr>
        <w:t>。</w:t>
      </w:r>
    </w:p>
    <w:p w14:paraId="59BA48EC">
      <w:pPr>
        <w:spacing w:line="600" w:lineRule="exact"/>
        <w:ind w:firstLine="643" w:firstLineChars="200"/>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万元，外事接待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人，共计支出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bookmarkStart w:id="62" w:name="_Toc15377218"/>
      <w:bookmarkStart w:id="63" w:name="_Toc15396610"/>
    </w:p>
    <w:p w14:paraId="2B980F3C">
      <w:pPr>
        <w:pStyle w:val="4"/>
        <w:bidi w:val="0"/>
      </w:pPr>
      <w:bookmarkStart w:id="64" w:name="_Toc28228"/>
      <w:r>
        <w:rPr>
          <w:rFonts w:hint="eastAsia"/>
        </w:rPr>
        <w:t>八、政府性基金预算支出决算情况说明</w:t>
      </w:r>
      <w:bookmarkEnd w:id="62"/>
      <w:bookmarkEnd w:id="63"/>
      <w:bookmarkEnd w:id="64"/>
    </w:p>
    <w:p w14:paraId="49591E58">
      <w:pPr>
        <w:spacing w:beforeLines="0" w:afterLines="0" w:line="576" w:lineRule="exact"/>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年政府性基金预算拨款支出</w:t>
      </w:r>
      <w:r>
        <w:rPr>
          <w:rFonts w:hint="eastAsia" w:ascii="仿宋_GB2312" w:hAnsi="仿宋_GB2312" w:eastAsia="仿宋_GB2312"/>
          <w:color w:val="000000"/>
          <w:kern w:val="2"/>
          <w:sz w:val="32"/>
          <w:szCs w:val="24"/>
          <w:lang w:val="en-US" w:eastAsia="zh-CN"/>
        </w:rPr>
        <w:t>281.16</w:t>
      </w:r>
      <w:r>
        <w:rPr>
          <w:rFonts w:hint="eastAsia" w:ascii="仿宋_GB2312" w:hAnsi="仿宋_GB2312" w:eastAsia="仿宋_GB2312"/>
          <w:color w:val="000000"/>
          <w:kern w:val="2"/>
          <w:sz w:val="32"/>
          <w:szCs w:val="24"/>
          <w:lang w:val="zh-CN"/>
        </w:rPr>
        <w:t>万元。</w:t>
      </w:r>
    </w:p>
    <w:p w14:paraId="233D7143">
      <w:pPr>
        <w:pStyle w:val="4"/>
        <w:numPr>
          <w:ilvl w:val="0"/>
          <w:numId w:val="3"/>
        </w:numPr>
        <w:bidi w:val="0"/>
      </w:pPr>
      <w:bookmarkStart w:id="65" w:name="_Toc31156"/>
      <w:bookmarkStart w:id="66" w:name="_Toc15377219"/>
      <w:bookmarkStart w:id="67" w:name="_Toc15396611"/>
      <w:r>
        <w:rPr>
          <w:rFonts w:hint="eastAsia"/>
        </w:rPr>
        <w:t>国有资本经营预算支出决算情况说明</w:t>
      </w:r>
      <w:bookmarkEnd w:id="65"/>
      <w:bookmarkEnd w:id="66"/>
      <w:bookmarkEnd w:id="67"/>
    </w:p>
    <w:p w14:paraId="0AAA11C3">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年国有资本经营预算拨款支出0万元。</w:t>
      </w:r>
    </w:p>
    <w:p w14:paraId="35733827">
      <w:pPr>
        <w:pStyle w:val="4"/>
        <w:numPr>
          <w:ilvl w:val="0"/>
          <w:numId w:val="3"/>
        </w:numPr>
        <w:bidi w:val="0"/>
        <w:rPr>
          <w:rFonts w:hint="eastAsia"/>
        </w:rPr>
      </w:pPr>
      <w:bookmarkStart w:id="68" w:name="_Toc29642"/>
      <w:bookmarkStart w:id="69" w:name="_Toc15377221"/>
      <w:bookmarkStart w:id="70" w:name="_Toc15396612"/>
      <w:r>
        <w:rPr>
          <w:rFonts w:hint="eastAsia"/>
        </w:rPr>
        <w:t>其他重要事项的情况说明</w:t>
      </w:r>
      <w:bookmarkEnd w:id="68"/>
      <w:bookmarkEnd w:id="69"/>
      <w:bookmarkEnd w:id="70"/>
    </w:p>
    <w:p w14:paraId="3482E6F9">
      <w:pPr>
        <w:spacing w:line="600" w:lineRule="exact"/>
        <w:ind w:firstLine="643" w:firstLineChars="200"/>
        <w:outlineLvl w:val="2"/>
        <w:rPr>
          <w:rFonts w:ascii="仿宋" w:hAnsi="仿宋" w:eastAsia="仿宋"/>
          <w:color w:val="auto"/>
          <w:sz w:val="32"/>
          <w:szCs w:val="32"/>
          <w:highlight w:val="none"/>
        </w:rPr>
      </w:pPr>
      <w:bookmarkStart w:id="71" w:name="_Toc15377222"/>
      <w:r>
        <w:rPr>
          <w:rFonts w:hint="eastAsia" w:ascii="仿宋" w:hAnsi="仿宋" w:eastAsia="仿宋"/>
          <w:b/>
          <w:color w:val="auto"/>
          <w:sz w:val="32"/>
          <w:szCs w:val="32"/>
          <w:highlight w:val="none"/>
        </w:rPr>
        <w:t>（一）机关运行经费支出情况</w:t>
      </w:r>
      <w:bookmarkEnd w:id="71"/>
    </w:p>
    <w:p w14:paraId="0D4BD079">
      <w:pPr>
        <w:spacing w:line="600" w:lineRule="exact"/>
        <w:ind w:firstLine="640" w:firstLineChars="200"/>
        <w:rPr>
          <w:rFonts w:hint="eastAsia" w:ascii="仿宋_GB2312" w:eastAsia="仿宋_GB2312"/>
          <w:color w:val="auto"/>
          <w:sz w:val="32"/>
          <w:szCs w:val="32"/>
          <w:highlight w:val="none"/>
          <w:lang w:eastAsia="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年，峨边彝族自治县退役军人事务局机关运行经费支出</w:t>
      </w:r>
      <w:r>
        <w:rPr>
          <w:rFonts w:hint="eastAsia" w:ascii="仿宋_GB2312" w:hAnsi="仿宋_GB2312" w:eastAsia="仿宋_GB2312"/>
          <w:color w:val="000000"/>
          <w:kern w:val="2"/>
          <w:sz w:val="32"/>
          <w:szCs w:val="24"/>
          <w:lang w:val="en-US" w:eastAsia="zh-CN"/>
        </w:rPr>
        <w:t>29.92</w:t>
      </w:r>
      <w:r>
        <w:rPr>
          <w:rFonts w:hint="eastAsia" w:ascii="仿宋_GB2312" w:hAnsi="仿宋_GB2312" w:eastAsia="仿宋_GB2312"/>
          <w:color w:val="000000"/>
          <w:kern w:val="2"/>
          <w:sz w:val="32"/>
          <w:szCs w:val="24"/>
          <w:lang w:val="zh-CN"/>
        </w:rPr>
        <w:t>万元，比202</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年减少</w:t>
      </w:r>
      <w:r>
        <w:rPr>
          <w:rFonts w:hint="eastAsia" w:ascii="仿宋_GB2312" w:hAnsi="仿宋_GB2312" w:eastAsia="仿宋_GB2312"/>
          <w:color w:val="000000"/>
          <w:kern w:val="2"/>
          <w:sz w:val="32"/>
          <w:szCs w:val="24"/>
          <w:lang w:val="en-US" w:eastAsia="zh-CN"/>
        </w:rPr>
        <w:t>1. 97</w:t>
      </w:r>
      <w:r>
        <w:rPr>
          <w:rFonts w:hint="eastAsia" w:ascii="仿宋_GB2312" w:hAnsi="仿宋_GB2312" w:eastAsia="仿宋_GB2312"/>
          <w:color w:val="000000"/>
          <w:kern w:val="2"/>
          <w:sz w:val="32"/>
          <w:szCs w:val="24"/>
          <w:lang w:val="zh-CN"/>
        </w:rPr>
        <w:t>万元，下降6.</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lang w:val="zh-CN"/>
        </w:rPr>
        <w:t>%，主要原因是</w:t>
      </w:r>
      <w:r>
        <w:rPr>
          <w:rFonts w:hint="eastAsia" w:ascii="仿宋_GB2312" w:eastAsia="仿宋_GB2312"/>
          <w:color w:val="auto"/>
          <w:sz w:val="32"/>
          <w:szCs w:val="32"/>
          <w:highlight w:val="none"/>
          <w:lang w:eastAsia="zh-CN"/>
        </w:rPr>
        <w:t>人员减少。</w:t>
      </w:r>
    </w:p>
    <w:p w14:paraId="45D5A3AE">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72" w:name="_Toc15377223"/>
      <w:r>
        <w:rPr>
          <w:rFonts w:hint="eastAsia" w:ascii="仿宋" w:hAnsi="仿宋" w:eastAsia="仿宋"/>
          <w:b/>
          <w:color w:val="auto"/>
          <w:sz w:val="32"/>
          <w:szCs w:val="32"/>
          <w:highlight w:val="none"/>
        </w:rPr>
        <w:t>（二）政府采购支出情况</w:t>
      </w:r>
      <w:bookmarkEnd w:id="72"/>
    </w:p>
    <w:p w14:paraId="206E0D69">
      <w:pPr>
        <w:spacing w:beforeLines="0" w:afterLines="0" w:line="576" w:lineRule="exact"/>
        <w:ind w:firstLine="640"/>
        <w:jc w:val="both"/>
        <w:rPr>
          <w:rFonts w:ascii="仿宋_GB2312" w:eastAsia="仿宋_GB2312"/>
          <w:color w:val="auto"/>
          <w:sz w:val="32"/>
          <w:szCs w:val="32"/>
          <w:highlight w:val="none"/>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峨边彝族自治县退役军人事务局政府采购支出总额0万元，其中：政府采购货物支出0万元、政府采购工程支出0万元、政府采购服务支出0万元。授予中小企业合同金额0万元，占政府采购支出总额的0%，其中：授予小微企业合同金额0万元，</w:t>
      </w:r>
      <w:r>
        <w:rPr>
          <w:rFonts w:hint="eastAsia" w:ascii="仿宋_GB2312" w:hAnsi="仿宋_GB2312" w:eastAsia="仿宋_GB2312"/>
          <w:color w:val="auto"/>
          <w:kern w:val="2"/>
          <w:sz w:val="32"/>
          <w:szCs w:val="24"/>
          <w:lang w:val="en-US"/>
        </w:rPr>
        <w:t>占政府采购支出总额的</w:t>
      </w:r>
      <w:r>
        <w:rPr>
          <w:rFonts w:hint="eastAsia" w:ascii="仿宋_GB2312" w:hAnsi="仿宋_GB2312" w:eastAsia="仿宋_GB2312"/>
          <w:color w:val="000000"/>
          <w:kern w:val="2"/>
          <w:sz w:val="32"/>
          <w:szCs w:val="24"/>
          <w:lang w:val="zh-CN"/>
        </w:rPr>
        <w:t>0%</w:t>
      </w:r>
      <w:r>
        <w:rPr>
          <w:rFonts w:hint="eastAsia" w:ascii="仿宋_GB2312" w:eastAsia="仿宋_GB2312"/>
          <w:color w:val="auto"/>
          <w:sz w:val="32"/>
          <w:szCs w:val="32"/>
          <w:highlight w:val="none"/>
        </w:rPr>
        <w:t>。</w:t>
      </w:r>
    </w:p>
    <w:p w14:paraId="219662D8">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73" w:name="_Toc15377224"/>
      <w:r>
        <w:rPr>
          <w:rFonts w:hint="eastAsia" w:ascii="仿宋" w:hAnsi="仿宋" w:eastAsia="仿宋"/>
          <w:b/>
          <w:color w:val="auto"/>
          <w:sz w:val="32"/>
          <w:szCs w:val="32"/>
          <w:highlight w:val="none"/>
        </w:rPr>
        <w:t>（三）国有资产占有使用情况</w:t>
      </w:r>
      <w:bookmarkEnd w:id="73"/>
    </w:p>
    <w:p w14:paraId="220F28B4">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hAnsi="仿宋_GB2312" w:eastAsia="仿宋_GB2312"/>
          <w:color w:val="000000"/>
          <w:kern w:val="2"/>
          <w:sz w:val="32"/>
          <w:szCs w:val="24"/>
          <w:lang w:val="zh-CN"/>
        </w:rPr>
        <w:t>截至202</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lang w:val="zh-CN"/>
        </w:rPr>
        <w:t>年12月31日，峨边彝族自治县退役军人事务局共有车辆0辆，其中：副部（省）级及以上领导用车0辆、主要领导干部用车0辆、机要通信用车0辆、应急保障用车0辆、执法执勤用车0辆、特种专业技术用车0辆、离退休干部用车0辆、其他用车0辆</w:t>
      </w:r>
      <w:r>
        <w:rPr>
          <w:rFonts w:hint="eastAsia" w:ascii="仿宋_GB2312" w:eastAsia="仿宋_GB2312"/>
          <w:color w:val="auto"/>
          <w:sz w:val="32"/>
          <w:szCs w:val="32"/>
          <w:highlight w:val="none"/>
        </w:rPr>
        <w:t>。</w:t>
      </w:r>
      <w:r>
        <w:rPr>
          <w:rFonts w:hint="eastAsia" w:ascii="仿宋_GB2312" w:hAnsi="仿宋_GB2312" w:eastAsia="仿宋_GB2312"/>
          <w:color w:val="000000"/>
          <w:kern w:val="2"/>
          <w:sz w:val="32"/>
          <w:szCs w:val="24"/>
          <w:lang w:val="zh-CN"/>
        </w:rPr>
        <w:t>单价100万元（含）以上设备0台（套）。</w:t>
      </w:r>
    </w:p>
    <w:p w14:paraId="02861699">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14:paraId="4687E79C">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w:t>
      </w:r>
      <w:r>
        <w:rPr>
          <w:rFonts w:hint="eastAsia" w:ascii="仿宋_GB2312" w:hAnsi="仿宋_GB2312" w:eastAsia="仿宋_GB2312" w:cs="仿宋_GB2312"/>
          <w:color w:val="auto"/>
          <w:sz w:val="32"/>
          <w:szCs w:val="32"/>
          <w:highlight w:val="none"/>
          <w:lang w:val="en-US" w:eastAsia="zh-CN"/>
        </w:rPr>
        <w:t>2023年度</w:t>
      </w:r>
      <w:r>
        <w:rPr>
          <w:rFonts w:hint="eastAsia" w:ascii="仿宋_GB2312" w:hAnsi="仿宋_GB2312" w:eastAsia="仿宋_GB2312" w:cs="仿宋_GB2312"/>
          <w:color w:val="auto"/>
          <w:sz w:val="32"/>
          <w:szCs w:val="32"/>
          <w:highlight w:val="none"/>
        </w:rPr>
        <w:t>预算编制阶段，组织对</w:t>
      </w:r>
      <w:r>
        <w:rPr>
          <w:rFonts w:hint="eastAsia" w:ascii="仿宋_GB2312" w:hAnsi="仿宋_GB2312" w:eastAsia="仿宋_GB2312" w:cs="仿宋_GB2312"/>
          <w:color w:val="auto"/>
          <w:sz w:val="32"/>
          <w:szCs w:val="32"/>
          <w:highlight w:val="none"/>
          <w:lang w:val="en-US" w:eastAsia="zh-CN"/>
        </w:rPr>
        <w:t>1个</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w:t>
      </w:r>
      <w:r>
        <w:rPr>
          <w:rFonts w:hint="eastAsia" w:ascii="仿宋_GB2312" w:eastAsia="仿宋_GB2312" w:cs="仿宋_GB2312"/>
          <w:i w:val="0"/>
          <w:iCs w:val="0"/>
          <w:caps w:val="0"/>
          <w:color w:val="000000"/>
          <w:spacing w:val="0"/>
          <w:kern w:val="2"/>
          <w:sz w:val="32"/>
          <w:szCs w:val="32"/>
          <w:lang w:val="en-US" w:eastAsia="zh-CN" w:bidi="ar-SA"/>
        </w:rPr>
        <w:t>义务兵优待金</w:t>
      </w:r>
      <w:r>
        <w:rPr>
          <w:rFonts w:hint="eastAsia" w:ascii="仿宋_GB2312" w:hAnsi="仿宋_GB2312" w:eastAsia="仿宋_GB2312" w:cs="仿宋_GB2312"/>
          <w:i w:val="0"/>
          <w:color w:val="000000"/>
          <w:kern w:val="0"/>
          <w:sz w:val="32"/>
          <w:szCs w:val="32"/>
          <w:u w:val="none"/>
          <w:lang w:val="en-US" w:eastAsia="zh-CN" w:bidi="ar"/>
        </w:rPr>
        <w:t>1</w:t>
      </w:r>
      <w:r>
        <w:rPr>
          <w:rFonts w:hint="eastAsia" w:ascii="仿宋_GB2312" w:hAnsi="仿宋_GB2312" w:eastAsia="仿宋_GB2312" w:cs="仿宋_GB2312"/>
          <w:color w:val="auto"/>
          <w:sz w:val="32"/>
          <w:szCs w:val="32"/>
          <w:highlight w:val="none"/>
          <w:lang w:val="en-US" w:eastAsia="zh-CN"/>
        </w:rPr>
        <w:t>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个项目编制了绩效目标</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，预算执行过程中，</w:t>
      </w:r>
      <w:r>
        <w:rPr>
          <w:rFonts w:hint="eastAsia" w:ascii="仿宋_GB2312" w:hAnsi="仿宋_GB2312" w:eastAsia="仿宋_GB2312" w:cs="仿宋_GB2312"/>
          <w:color w:val="auto"/>
          <w:sz w:val="32"/>
          <w:szCs w:val="32"/>
          <w:highlight w:val="none"/>
          <w:lang w:eastAsia="zh-CN"/>
        </w:rPr>
        <w:t>对这</w:t>
      </w:r>
      <w:r>
        <w:rPr>
          <w:rFonts w:hint="eastAsia" w:ascii="仿宋_GB2312" w:hAnsi="仿宋_GB2312" w:eastAsia="仿宋_GB2312" w:cs="仿宋_GB2312"/>
          <w:color w:val="auto"/>
          <w:sz w:val="32"/>
          <w:szCs w:val="32"/>
          <w:highlight w:val="none"/>
        </w:rPr>
        <w:t>个项目开展绩效监控，年终执行完毕后，对</w:t>
      </w:r>
      <w:r>
        <w:rPr>
          <w:rFonts w:hint="eastAsia" w:ascii="仿宋_GB2312" w:hAnsi="仿宋_GB2312" w:eastAsia="仿宋_GB2312" w:cs="仿宋_GB2312"/>
          <w:color w:val="auto"/>
          <w:sz w:val="32"/>
          <w:szCs w:val="32"/>
          <w:highlight w:val="none"/>
          <w:lang w:val="en-US" w:eastAsia="zh-CN"/>
        </w:rPr>
        <w:t>这</w:t>
      </w:r>
      <w:r>
        <w:rPr>
          <w:rFonts w:hint="eastAsia" w:ascii="仿宋_GB2312" w:hAnsi="仿宋_GB2312" w:eastAsia="仿宋_GB2312" w:cs="仿宋_GB2312"/>
          <w:color w:val="auto"/>
          <w:sz w:val="32"/>
          <w:szCs w:val="32"/>
          <w:highlight w:val="none"/>
        </w:rPr>
        <w:t>个项目开展了绩效自评</w:t>
      </w:r>
      <w:r>
        <w:rPr>
          <w:rFonts w:hint="eastAsia" w:ascii="仿宋_GB2312" w:hAnsi="仿宋_GB2312" w:eastAsia="仿宋_GB2312" w:cs="仿宋_GB2312"/>
          <w:color w:val="auto"/>
          <w:sz w:val="32"/>
          <w:szCs w:val="32"/>
          <w:highlight w:val="none"/>
          <w:lang w:eastAsia="zh-CN"/>
        </w:rPr>
        <w:t>。同时，</w:t>
      </w:r>
      <w:r>
        <w:rPr>
          <w:rFonts w:hint="eastAsia" w:ascii="仿宋_GB2312" w:hAnsi="仿宋_GB2312" w:eastAsia="仿宋_GB2312" w:cs="仿宋_GB2312"/>
          <w:color w:val="auto"/>
          <w:sz w:val="32"/>
          <w:szCs w:val="32"/>
          <w:highlight w:val="none"/>
        </w:rPr>
        <w:t>本部门对20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年部门整体开展绩效自评，《202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峨边彝族自治县退役军人事务局</w:t>
      </w:r>
      <w:r>
        <w:rPr>
          <w:rFonts w:hint="eastAsia" w:ascii="仿宋_GB2312" w:hAnsi="仿宋_GB2312" w:eastAsia="仿宋_GB2312" w:cs="仿宋_GB2312"/>
          <w:color w:val="auto"/>
          <w:sz w:val="32"/>
          <w:szCs w:val="32"/>
          <w:highlight w:val="none"/>
        </w:rPr>
        <w:t>整体绩效评价报告》见附件（</w:t>
      </w:r>
      <w:r>
        <w:rPr>
          <w:rFonts w:hint="eastAsia" w:ascii="仿宋_GB2312" w:hAnsi="仿宋_GB2312" w:eastAsia="仿宋_GB2312" w:cs="仿宋_GB2312"/>
          <w:color w:val="auto"/>
          <w:sz w:val="32"/>
          <w:szCs w:val="32"/>
          <w:highlight w:val="none"/>
          <w:lang w:eastAsia="zh-CN"/>
        </w:rPr>
        <w:t>第四部分</w:t>
      </w:r>
      <w:r>
        <w:rPr>
          <w:rFonts w:hint="eastAsia" w:ascii="仿宋_GB2312" w:hAnsi="仿宋_GB2312" w:eastAsia="仿宋_GB2312" w:cs="仿宋_GB2312"/>
          <w:color w:val="auto"/>
          <w:sz w:val="32"/>
          <w:szCs w:val="32"/>
          <w:highlight w:val="none"/>
        </w:rPr>
        <w:t>）。</w:t>
      </w:r>
    </w:p>
    <w:p w14:paraId="30460052">
      <w:pPr>
        <w:pStyle w:val="2"/>
        <w:spacing w:line="240" w:lineRule="auto"/>
        <w:jc w:val="both"/>
        <w:rPr>
          <w:rFonts w:hint="eastAsia" w:eastAsia="方正小标宋简体"/>
          <w:lang w:eastAsia="zh-CN"/>
        </w:rPr>
      </w:pPr>
    </w:p>
    <w:p w14:paraId="16470607">
      <w:pPr>
        <w:rPr>
          <w:rFonts w:hint="eastAsia" w:eastAsia="方正小标宋简体"/>
          <w:lang w:eastAsia="zh-CN"/>
        </w:rPr>
      </w:pPr>
    </w:p>
    <w:p w14:paraId="6AF54B81">
      <w:pPr>
        <w:pStyle w:val="2"/>
        <w:rPr>
          <w:rFonts w:hint="eastAsia" w:eastAsia="方正小标宋简体"/>
          <w:lang w:eastAsia="zh-CN"/>
        </w:rPr>
      </w:pPr>
    </w:p>
    <w:p w14:paraId="7D9A33D9">
      <w:pPr>
        <w:rPr>
          <w:rFonts w:hint="eastAsia" w:eastAsia="方正小标宋简体"/>
          <w:lang w:eastAsia="zh-CN"/>
        </w:rPr>
      </w:pPr>
    </w:p>
    <w:p w14:paraId="32BFDDE7">
      <w:pPr>
        <w:pStyle w:val="2"/>
        <w:spacing w:line="240" w:lineRule="auto"/>
        <w:jc w:val="both"/>
        <w:rPr>
          <w:rFonts w:hint="eastAsia"/>
          <w:lang w:eastAsia="zh-CN"/>
        </w:rPr>
      </w:pPr>
      <w:r>
        <w:rPr>
          <w:rFonts w:hint="eastAsia"/>
          <w:lang w:eastAsia="zh-CN"/>
        </w:rPr>
        <w:drawing>
          <wp:inline distT="0" distB="0" distL="114300" distR="114300">
            <wp:extent cx="5231130" cy="8722995"/>
            <wp:effectExtent l="0" t="0" r="1270" b="1905"/>
            <wp:docPr id="9" name="图片 9" descr="172724872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7248729383"/>
                    <pic:cNvPicPr>
                      <a:picLocks noChangeAspect="1"/>
                    </pic:cNvPicPr>
                  </pic:nvPicPr>
                  <pic:blipFill>
                    <a:blip r:embed="rId15"/>
                    <a:stretch>
                      <a:fillRect/>
                    </a:stretch>
                  </pic:blipFill>
                  <pic:spPr>
                    <a:xfrm>
                      <a:off x="0" y="0"/>
                      <a:ext cx="5231130" cy="8722995"/>
                    </a:xfrm>
                    <a:prstGeom prst="rect">
                      <a:avLst/>
                    </a:prstGeom>
                  </pic:spPr>
                </pic:pic>
              </a:graphicData>
            </a:graphic>
          </wp:inline>
        </w:drawing>
      </w:r>
    </w:p>
    <w:p w14:paraId="5A8027AD">
      <w:pPr>
        <w:rPr>
          <w:rFonts w:hint="eastAsia"/>
          <w:lang w:eastAsia="zh-CN"/>
        </w:rPr>
        <w:sectPr>
          <w:headerReference r:id="rId5" w:type="default"/>
          <w:footerReference r:id="rId6" w:type="default"/>
          <w:pgSz w:w="11906" w:h="16838"/>
          <w:pgMar w:top="1440" w:right="1800" w:bottom="1440" w:left="1800" w:header="851" w:footer="992" w:gutter="0"/>
          <w:pgNumType w:start="1"/>
          <w:cols w:space="425" w:num="1"/>
          <w:titlePg/>
          <w:docGrid w:type="lines" w:linePitch="312" w:charSpace="0"/>
        </w:sectPr>
      </w:pPr>
    </w:p>
    <w:p w14:paraId="53A7E070">
      <w:pPr>
        <w:pStyle w:val="2"/>
        <w:jc w:val="both"/>
        <w:rPr>
          <w:rFonts w:hint="eastAsia"/>
          <w:lang w:eastAsia="zh-CN"/>
        </w:rPr>
      </w:pPr>
    </w:p>
    <w:p w14:paraId="54A3FAE3">
      <w:pPr>
        <w:pStyle w:val="3"/>
        <w:numPr>
          <w:ilvl w:val="0"/>
          <w:numId w:val="4"/>
        </w:numPr>
        <w:bidi w:val="0"/>
        <w:jc w:val="center"/>
      </w:pPr>
      <w:bookmarkStart w:id="74" w:name="_Toc23821"/>
      <w:bookmarkStart w:id="75" w:name="_Toc15377225"/>
      <w:bookmarkStart w:id="76" w:name="_Toc15396613"/>
      <w:r>
        <w:rPr>
          <w:rFonts w:hint="eastAsia"/>
        </w:rPr>
        <w:t>名词解释</w:t>
      </w:r>
      <w:bookmarkEnd w:id="74"/>
      <w:bookmarkEnd w:id="75"/>
      <w:bookmarkEnd w:id="76"/>
    </w:p>
    <w:p w14:paraId="44391043">
      <w:pPr>
        <w:spacing w:line="600" w:lineRule="exact"/>
        <w:jc w:val="left"/>
        <w:rPr>
          <w:rFonts w:ascii="宋体"/>
          <w:b/>
          <w:color w:val="auto"/>
          <w:sz w:val="44"/>
          <w:szCs w:val="44"/>
          <w:highlight w:val="none"/>
        </w:rPr>
      </w:pPr>
    </w:p>
    <w:p w14:paraId="2AE4CCAB">
      <w:pPr>
        <w:pStyle w:val="28"/>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14:paraId="7144E0FB">
      <w:pPr>
        <w:pStyle w:val="28"/>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w:t>
      </w:r>
    </w:p>
    <w:p w14:paraId="5C0EE14E">
      <w:pPr>
        <w:pStyle w:val="28"/>
        <w:spacing w:line="560" w:lineRule="exact"/>
        <w:ind w:firstLine="640" w:firstLineChars="200"/>
        <w:rPr>
          <w:rFonts w:hint="eastAsia"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经营收入：指事业单位在专业业务活动及其辅助活动之外开展非独立核算经营活动取得的收入。</w:t>
      </w:r>
    </w:p>
    <w:p w14:paraId="3C3C3DD1">
      <w:pPr>
        <w:pStyle w:val="28"/>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其他收入：指单位取得的除上述收入以外的各项收入。</w:t>
      </w:r>
      <w:r>
        <w:rPr>
          <w:rFonts w:ascii="仿宋_GB2312" w:eastAsia="仿宋_GB2312"/>
          <w:sz w:val="32"/>
          <w:szCs w:val="32"/>
        </w:rPr>
        <w:t xml:space="preserve"> </w:t>
      </w:r>
    </w:p>
    <w:p w14:paraId="469FD057">
      <w:pPr>
        <w:pStyle w:val="28"/>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使用非财政拨款结余：指事业单位使用以前年度积累的非财政拨款结余弥补当年收支差额的金额。</w:t>
      </w:r>
      <w:r>
        <w:rPr>
          <w:rFonts w:ascii="仿宋_GB2312" w:eastAsia="仿宋_GB2312"/>
          <w:sz w:val="32"/>
          <w:szCs w:val="32"/>
        </w:rPr>
        <w:t xml:space="preserve"> </w:t>
      </w:r>
    </w:p>
    <w:p w14:paraId="5079009E">
      <w:pPr>
        <w:pStyle w:val="28"/>
        <w:spacing w:line="56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14:paraId="0F121F32">
      <w:pPr>
        <w:pStyle w:val="28"/>
        <w:spacing w:line="560" w:lineRule="exact"/>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结余分配：指事业单位按照会计制度规定缴纳的所得税、提取的专用结余以及转入非财政拨款结余的金额等。</w:t>
      </w:r>
    </w:p>
    <w:p w14:paraId="12B8CE7B">
      <w:pPr>
        <w:pStyle w:val="28"/>
        <w:spacing w:line="560" w:lineRule="exact"/>
        <w:ind w:firstLine="640" w:firstLineChars="200"/>
        <w:rPr>
          <w:rFonts w:hint="eastAsia" w:ascii="仿宋_GB2312" w:eastAsia="仿宋_GB2312"/>
          <w:sz w:val="32"/>
          <w:szCs w:val="32"/>
        </w:rPr>
      </w:pPr>
      <w:r>
        <w:rPr>
          <w:rFonts w:ascii="仿宋_GB2312" w:eastAsia="仿宋_GB2312"/>
          <w:sz w:val="32"/>
          <w:szCs w:val="32"/>
        </w:rPr>
        <w:t>8</w:t>
      </w:r>
      <w:r>
        <w:rPr>
          <w:rFonts w:hint="eastAsia" w:ascii="仿宋_GB2312" w:eastAsia="仿宋_GB2312"/>
          <w:sz w:val="32"/>
          <w:szCs w:val="32"/>
        </w:rPr>
        <w:t>、年末结转和结余：指单位按有关规定结转到下年或以后年度继续使用的资金。</w:t>
      </w:r>
    </w:p>
    <w:p w14:paraId="5A515A27">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9</w:t>
      </w:r>
      <w:r>
        <w:rPr>
          <w:rFonts w:ascii="仿宋_GB2312" w:eastAsia="仿宋_GB2312"/>
          <w:color w:val="000000"/>
          <w:sz w:val="32"/>
          <w:szCs w:val="32"/>
        </w:rPr>
        <w:t>.</w:t>
      </w:r>
      <w:r>
        <w:rPr>
          <w:rFonts w:hint="eastAsia" w:ascii="仿宋_GB2312" w:eastAsia="仿宋_GB2312"/>
          <w:color w:val="000000"/>
          <w:sz w:val="32"/>
          <w:szCs w:val="32"/>
        </w:rPr>
        <w:t>社会保障和就业（类）行政事业单位养老支出（款）机关事业单位基本养老保险缴费支出（项）：指机关事业单位基本养老保险缴费支出，反映机关事业单位实施养老保险制度由单位缴纳的基本养老保险费支出。</w:t>
      </w:r>
    </w:p>
    <w:p w14:paraId="6F3BBAA7">
      <w:pPr>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10</w:t>
      </w:r>
      <w:r>
        <w:rPr>
          <w:rFonts w:ascii="仿宋_GB2312" w:eastAsia="仿宋_GB2312"/>
          <w:color w:val="000000"/>
          <w:sz w:val="32"/>
          <w:szCs w:val="32"/>
        </w:rPr>
        <w:t>.</w:t>
      </w:r>
      <w:r>
        <w:rPr>
          <w:rFonts w:hint="eastAsia" w:ascii="仿宋_GB2312" w:eastAsia="仿宋_GB2312"/>
          <w:color w:val="000000"/>
          <w:sz w:val="32"/>
          <w:szCs w:val="32"/>
        </w:rPr>
        <w:t>社会保障和就业（类）行政事业单位养老支出（款）机关事业单位职业年金缴费支出（项）：指机关事业单位职业年金缴费支出，反映机关事业单位实施养老保险制度由单位缴纳的职业年金支出。</w:t>
      </w:r>
    </w:p>
    <w:p w14:paraId="601618BE">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11.</w:t>
      </w:r>
      <w:r>
        <w:rPr>
          <w:rFonts w:hint="eastAsia" w:ascii="仿宋_GB2312" w:eastAsia="仿宋_GB2312"/>
          <w:color w:val="000000"/>
          <w:sz w:val="32"/>
          <w:szCs w:val="32"/>
        </w:rPr>
        <w:t>社会保障和就业（类）抚恤（款）</w:t>
      </w:r>
      <w:r>
        <w:rPr>
          <w:rFonts w:hint="eastAsia" w:ascii="仿宋_GB2312" w:eastAsia="仿宋_GB2312"/>
          <w:color w:val="000000"/>
          <w:sz w:val="32"/>
          <w:szCs w:val="32"/>
          <w:lang w:eastAsia="zh-CN"/>
        </w:rPr>
        <w:t>死亡</w:t>
      </w:r>
      <w:r>
        <w:rPr>
          <w:rFonts w:hint="eastAsia" w:ascii="仿宋_GB2312" w:eastAsia="仿宋_GB2312"/>
          <w:color w:val="000000"/>
          <w:sz w:val="32"/>
          <w:szCs w:val="32"/>
        </w:rPr>
        <w:t>抚恤（项）</w:t>
      </w:r>
      <w:r>
        <w:rPr>
          <w:rFonts w:hint="eastAsia" w:ascii="仿宋_GB2312" w:eastAsia="仿宋_GB2312"/>
          <w:color w:val="000000"/>
          <w:sz w:val="32"/>
          <w:szCs w:val="32"/>
          <w:lang w:eastAsia="zh-CN"/>
        </w:rPr>
        <w:t>：</w:t>
      </w:r>
    </w:p>
    <w:p w14:paraId="7E74C14A">
      <w:pPr>
        <w:ind w:firstLine="640" w:firstLineChars="200"/>
        <w:rPr>
          <w:rFonts w:hint="eastAsia"/>
        </w:rPr>
      </w:pPr>
      <w:r>
        <w:rPr>
          <w:rFonts w:hint="eastAsia" w:ascii="仿宋_GB2312" w:eastAsia="仿宋_GB2312"/>
          <w:color w:val="000000"/>
          <w:sz w:val="32"/>
          <w:szCs w:val="32"/>
        </w:rPr>
        <w:t>反映按规定用于</w:t>
      </w:r>
      <w:r>
        <w:rPr>
          <w:rFonts w:hint="eastAsia" w:ascii="仿宋_GB2312" w:eastAsia="仿宋_GB2312"/>
          <w:color w:val="000000"/>
          <w:sz w:val="32"/>
          <w:szCs w:val="32"/>
          <w:lang w:eastAsia="zh-CN"/>
        </w:rPr>
        <w:t>烈士和牺牲、病故人员家属的一次性和定期抚恤金以及丧葬</w:t>
      </w:r>
      <w:r>
        <w:rPr>
          <w:rFonts w:hint="eastAsia" w:ascii="仿宋_GB2312" w:eastAsia="仿宋_GB2312"/>
          <w:color w:val="000000"/>
          <w:sz w:val="32"/>
          <w:szCs w:val="32"/>
        </w:rPr>
        <w:t>补助费。</w:t>
      </w:r>
    </w:p>
    <w:p w14:paraId="0EC65D3A">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12.</w:t>
      </w:r>
      <w:r>
        <w:rPr>
          <w:rFonts w:hint="eastAsia" w:ascii="仿宋_GB2312" w:eastAsia="仿宋_GB2312"/>
          <w:color w:val="000000"/>
          <w:sz w:val="32"/>
          <w:szCs w:val="32"/>
        </w:rPr>
        <w:t>社会保障和就业（类）抚恤（款）伤残抚恤（项）</w:t>
      </w:r>
      <w:r>
        <w:rPr>
          <w:rFonts w:hint="eastAsia" w:ascii="仿宋_GB2312" w:eastAsia="仿宋_GB2312"/>
          <w:color w:val="000000"/>
          <w:sz w:val="32"/>
          <w:szCs w:val="32"/>
          <w:lang w:eastAsia="zh-CN"/>
        </w:rPr>
        <w:t>：</w:t>
      </w:r>
    </w:p>
    <w:p w14:paraId="44E64276">
      <w:pPr>
        <w:rPr>
          <w:rFonts w:ascii="仿宋_GB2312" w:eastAsia="仿宋_GB2312"/>
          <w:color w:val="000000"/>
          <w:sz w:val="32"/>
          <w:szCs w:val="32"/>
        </w:rPr>
      </w:pPr>
      <w:r>
        <w:rPr>
          <w:rFonts w:hint="eastAsia" w:ascii="仿宋_GB2312" w:eastAsia="仿宋_GB2312"/>
          <w:color w:val="000000"/>
          <w:sz w:val="32"/>
          <w:szCs w:val="32"/>
        </w:rPr>
        <w:t>反映按规定用于伤残人员的抚恤金和按规定开支的各种伤残补助费。</w:t>
      </w:r>
    </w:p>
    <w:p w14:paraId="55C667C8">
      <w:pPr>
        <w:numPr>
          <w:ilvl w:val="0"/>
          <w:numId w:val="0"/>
        </w:numPr>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13.</w:t>
      </w:r>
      <w:r>
        <w:rPr>
          <w:rFonts w:hint="eastAsia" w:ascii="仿宋_GB2312" w:eastAsia="仿宋_GB2312"/>
          <w:color w:val="000000"/>
          <w:sz w:val="32"/>
          <w:szCs w:val="32"/>
        </w:rPr>
        <w:t>社会保障和就业（类）抚恤（款）在乡复员、退伍军人生活补助（项）</w:t>
      </w:r>
      <w:r>
        <w:rPr>
          <w:rFonts w:hint="eastAsia" w:ascii="仿宋_GB2312" w:eastAsia="仿宋_GB2312"/>
          <w:color w:val="000000"/>
          <w:sz w:val="32"/>
          <w:szCs w:val="32"/>
          <w:lang w:eastAsia="zh-CN"/>
        </w:rPr>
        <w:t>：</w:t>
      </w:r>
      <w:r>
        <w:rPr>
          <w:rFonts w:hint="eastAsia" w:ascii="仿宋_GB2312" w:eastAsia="仿宋_GB2312"/>
          <w:color w:val="000000"/>
          <w:sz w:val="32"/>
          <w:szCs w:val="32"/>
        </w:rPr>
        <w:t>反映在乡退伍红军老战士（含西路军红军老战士、红军失散人员）、</w:t>
      </w:r>
      <w:r>
        <w:rPr>
          <w:rFonts w:ascii="仿宋_GB2312" w:eastAsia="仿宋_GB2312"/>
          <w:color w:val="000000"/>
          <w:sz w:val="32"/>
          <w:szCs w:val="32"/>
        </w:rPr>
        <w:t>1954</w:t>
      </w:r>
      <w:r>
        <w:rPr>
          <w:rFonts w:hint="eastAsia" w:ascii="仿宋_GB2312" w:eastAsia="仿宋_GB2312"/>
          <w:color w:val="000000"/>
          <w:sz w:val="32"/>
          <w:szCs w:val="32"/>
        </w:rPr>
        <w:t>年</w:t>
      </w:r>
      <w:r>
        <w:rPr>
          <w:rFonts w:ascii="仿宋_GB2312" w:eastAsia="仿宋_GB2312"/>
          <w:color w:val="000000"/>
          <w:sz w:val="32"/>
          <w:szCs w:val="32"/>
        </w:rPr>
        <w:t>10</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日前入伍的在乡老复员军人、按规定办理带病回乡手续的退伍军人生活补助。</w:t>
      </w:r>
    </w:p>
    <w:p w14:paraId="1AF760B6">
      <w:pPr>
        <w:numPr>
          <w:ilvl w:val="0"/>
          <w:numId w:val="0"/>
        </w:numPr>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14.</w:t>
      </w:r>
      <w:r>
        <w:rPr>
          <w:rFonts w:hint="eastAsia" w:ascii="仿宋_GB2312" w:eastAsia="仿宋_GB2312"/>
          <w:color w:val="000000"/>
          <w:sz w:val="32"/>
          <w:szCs w:val="32"/>
        </w:rPr>
        <w:t>社会保障和就业（类）抚恤（款）</w:t>
      </w:r>
      <w:r>
        <w:rPr>
          <w:rFonts w:hint="eastAsia" w:ascii="仿宋_GB2312" w:eastAsia="仿宋_GB2312"/>
          <w:color w:val="000000"/>
          <w:sz w:val="32"/>
          <w:szCs w:val="32"/>
          <w:lang w:eastAsia="zh-CN"/>
        </w:rPr>
        <w:t>优抚事业单位支出</w:t>
      </w:r>
      <w:r>
        <w:rPr>
          <w:rFonts w:hint="eastAsia" w:ascii="仿宋_GB2312" w:eastAsia="仿宋_GB2312"/>
          <w:color w:val="000000"/>
          <w:sz w:val="32"/>
          <w:szCs w:val="32"/>
        </w:rPr>
        <w:t>（项）</w:t>
      </w:r>
      <w:r>
        <w:rPr>
          <w:rFonts w:hint="eastAsia" w:ascii="仿宋_GB2312" w:eastAsia="仿宋_GB2312"/>
          <w:color w:val="000000"/>
          <w:sz w:val="32"/>
          <w:szCs w:val="32"/>
          <w:lang w:eastAsia="zh-CN"/>
        </w:rPr>
        <w:t>：反映退役军人事务部门管理的优抚事业单位支出，对集体优抚事业单位的补助，对烈士纪念设施的维修改造和管理保护支出，以及军供站设施维修改造和设备更新支出。</w:t>
      </w:r>
    </w:p>
    <w:p w14:paraId="5752EEEC">
      <w:pPr>
        <w:numPr>
          <w:ilvl w:val="0"/>
          <w:numId w:val="0"/>
        </w:numPr>
        <w:ind w:firstLine="640" w:firstLineChars="200"/>
        <w:rPr>
          <w:rFonts w:hint="default" w:ascii="仿宋_GB2312" w:hAnsi="Times New Roman" w:eastAsia="仿宋_GB2312"/>
          <w:color w:val="000000"/>
          <w:sz w:val="32"/>
          <w:szCs w:val="32"/>
          <w:lang w:val="en-US" w:eastAsia="zh-CN"/>
        </w:rPr>
      </w:pPr>
      <w:r>
        <w:rPr>
          <w:rFonts w:hint="eastAsia" w:ascii="仿宋_GB2312" w:hAnsi="Times New Roman" w:eastAsia="仿宋_GB2312"/>
          <w:color w:val="000000"/>
          <w:sz w:val="32"/>
          <w:szCs w:val="32"/>
          <w:lang w:val="en-US" w:eastAsia="zh-CN"/>
        </w:rPr>
        <w:t>15.</w:t>
      </w:r>
      <w:r>
        <w:rPr>
          <w:rFonts w:hint="eastAsia" w:ascii="仿宋_GB2312" w:hAnsi="Times New Roman" w:eastAsia="仿宋_GB2312"/>
          <w:color w:val="000000"/>
          <w:sz w:val="32"/>
          <w:szCs w:val="32"/>
        </w:rPr>
        <w:t>社会保障和就业（类）抚恤（款）义务兵优待（项）</w:t>
      </w:r>
      <w:r>
        <w:rPr>
          <w:rFonts w:hint="eastAsia" w:ascii="仿宋_GB2312" w:eastAsia="仿宋_GB2312"/>
          <w:color w:val="000000"/>
          <w:sz w:val="32"/>
          <w:szCs w:val="32"/>
          <w:lang w:eastAsia="zh-CN"/>
        </w:rPr>
        <w:t>：</w:t>
      </w:r>
      <w:r>
        <w:rPr>
          <w:rFonts w:hint="eastAsia" w:ascii="仿宋_GB2312" w:hAnsi="Times New Roman" w:eastAsia="仿宋_GB2312"/>
          <w:color w:val="000000"/>
          <w:sz w:val="32"/>
          <w:szCs w:val="32"/>
        </w:rPr>
        <w:t>反映用于义务兵优待方面的支出。</w:t>
      </w:r>
    </w:p>
    <w:p w14:paraId="700DB5AB">
      <w:pPr>
        <w:pStyle w:val="2"/>
        <w:jc w:val="left"/>
        <w:rPr>
          <w:rFonts w:hint="default" w:eastAsia="仿宋_GB2312"/>
          <w:lang w:val="en-US" w:eastAsia="zh-CN"/>
        </w:rPr>
      </w:pPr>
      <w:r>
        <w:rPr>
          <w:rFonts w:hint="eastAsia" w:ascii="仿宋_GB2312" w:eastAsia="仿宋_GB2312"/>
          <w:color w:val="000000"/>
          <w:sz w:val="32"/>
          <w:szCs w:val="32"/>
          <w:lang w:val="en-US" w:eastAsia="zh-CN"/>
        </w:rPr>
        <w:t xml:space="preserve">    16.</w:t>
      </w:r>
      <w:r>
        <w:rPr>
          <w:rFonts w:hint="eastAsia" w:ascii="仿宋_GB2312" w:hAnsi="Times New Roman" w:eastAsia="仿宋_GB2312"/>
          <w:color w:val="000000"/>
          <w:sz w:val="32"/>
          <w:szCs w:val="32"/>
        </w:rPr>
        <w:t>社会保障和就业（类）抚恤（款）</w:t>
      </w:r>
      <w:r>
        <w:rPr>
          <w:rFonts w:hint="eastAsia" w:ascii="仿宋_GB2312" w:eastAsia="仿宋_GB2312"/>
          <w:color w:val="000000"/>
          <w:sz w:val="32"/>
          <w:szCs w:val="32"/>
          <w:lang w:eastAsia="zh-CN"/>
        </w:rPr>
        <w:t>农村籍退役士兵老年生活补助</w:t>
      </w:r>
      <w:r>
        <w:rPr>
          <w:rFonts w:hint="eastAsia" w:ascii="仿宋_GB2312" w:hAnsi="Times New Roman" w:eastAsia="仿宋_GB2312"/>
          <w:color w:val="000000"/>
          <w:sz w:val="32"/>
          <w:szCs w:val="32"/>
        </w:rPr>
        <w:t>（项）</w:t>
      </w:r>
      <w:r>
        <w:rPr>
          <w:rFonts w:hint="eastAsia" w:ascii="仿宋_GB2312" w:eastAsia="仿宋_GB2312"/>
          <w:color w:val="000000"/>
          <w:sz w:val="32"/>
          <w:szCs w:val="32"/>
          <w:lang w:eastAsia="zh-CN"/>
        </w:rPr>
        <w:t>：用于</w:t>
      </w:r>
      <w:r>
        <w:rPr>
          <w:rFonts w:hint="eastAsia" w:ascii="仿宋_GB2312" w:eastAsia="仿宋_GB2312"/>
          <w:color w:val="000000"/>
          <w:sz w:val="32"/>
          <w:szCs w:val="32"/>
          <w:lang w:val="en-US" w:eastAsia="zh-CN"/>
        </w:rPr>
        <w:t>1954年11月1日试行义务兵役制后至《退役士兵安置条例》实施前入伍、年龄在60周岁以上（含60岁）、未享受到国家定期抚恤补助的农村籍退役士兵的老年生活补助。</w:t>
      </w:r>
    </w:p>
    <w:p w14:paraId="20796740">
      <w:pPr>
        <w:ind w:firstLine="640" w:firstLineChars="200"/>
        <w:rPr>
          <w:rFonts w:hint="eastAsia" w:ascii="仿宋_GB2312" w:eastAsia="仿宋_GB2312"/>
          <w:color w:val="000000"/>
          <w:sz w:val="32"/>
          <w:szCs w:val="32"/>
          <w:lang w:val="en-US" w:eastAsia="zh-CN"/>
        </w:rPr>
      </w:pPr>
      <w:r>
        <w:rPr>
          <w:rFonts w:ascii="仿宋_GB2312" w:eastAsia="仿宋_GB2312"/>
          <w:color w:val="000000"/>
          <w:sz w:val="32"/>
          <w:szCs w:val="32"/>
        </w:rPr>
        <w:t>1</w:t>
      </w:r>
      <w:r>
        <w:rPr>
          <w:rFonts w:hint="eastAsia" w:ascii="仿宋_GB2312" w:eastAsia="仿宋_GB2312"/>
          <w:color w:val="000000"/>
          <w:sz w:val="32"/>
          <w:szCs w:val="32"/>
          <w:lang w:val="en-US" w:eastAsia="zh-CN"/>
        </w:rPr>
        <w:t>7</w:t>
      </w:r>
      <w:r>
        <w:rPr>
          <w:rFonts w:ascii="仿宋_GB2312" w:eastAsia="仿宋_GB2312"/>
          <w:color w:val="000000"/>
          <w:sz w:val="32"/>
          <w:szCs w:val="32"/>
        </w:rPr>
        <w:t>.</w:t>
      </w:r>
      <w:r>
        <w:rPr>
          <w:rFonts w:hint="eastAsia" w:ascii="仿宋_GB2312" w:eastAsia="仿宋_GB2312"/>
          <w:color w:val="000000"/>
          <w:sz w:val="32"/>
          <w:szCs w:val="32"/>
        </w:rPr>
        <w:t>社会保障和就业（类）抚恤（款）其他优抚支出（项）</w:t>
      </w:r>
      <w:r>
        <w:rPr>
          <w:rFonts w:hint="eastAsia" w:ascii="仿宋_GB2312" w:eastAsia="仿宋_GB2312"/>
          <w:color w:val="000000"/>
          <w:sz w:val="32"/>
          <w:szCs w:val="32"/>
          <w:lang w:eastAsia="zh-CN"/>
        </w:rPr>
        <w:t>：</w:t>
      </w:r>
      <w:r>
        <w:rPr>
          <w:rFonts w:hint="eastAsia" w:ascii="仿宋_GB2312" w:eastAsia="仿宋_GB2312"/>
          <w:color w:val="000000"/>
          <w:sz w:val="32"/>
          <w:szCs w:val="32"/>
        </w:rPr>
        <w:t>反映除上述项目以外其他用于优抚方面的支出</w:t>
      </w:r>
      <w:r>
        <w:rPr>
          <w:rFonts w:hint="eastAsia" w:ascii="仿宋_GB2312" w:eastAsia="仿宋_GB2312"/>
          <w:color w:val="000000"/>
          <w:sz w:val="32"/>
          <w:szCs w:val="32"/>
          <w:lang w:eastAsia="zh-CN"/>
        </w:rPr>
        <w:t>。</w:t>
      </w:r>
    </w:p>
    <w:p w14:paraId="2CA75EE5">
      <w:pPr>
        <w:ind w:firstLine="640" w:firstLineChars="200"/>
        <w:rPr>
          <w:rFonts w:ascii="仿宋_GB2312" w:eastAsia="仿宋_GB2312"/>
          <w:color w:val="000000"/>
          <w:sz w:val="32"/>
          <w:szCs w:val="32"/>
        </w:rPr>
      </w:pPr>
      <w:r>
        <w:rPr>
          <w:rFonts w:ascii="仿宋_GB2312" w:eastAsia="仿宋_GB2312"/>
          <w:color w:val="000000"/>
          <w:sz w:val="32"/>
          <w:szCs w:val="32"/>
        </w:rPr>
        <w:t>1</w:t>
      </w:r>
      <w:r>
        <w:rPr>
          <w:rFonts w:hint="eastAsia" w:ascii="仿宋_GB2312" w:eastAsia="仿宋_GB2312"/>
          <w:color w:val="000000"/>
          <w:sz w:val="32"/>
          <w:szCs w:val="32"/>
          <w:lang w:val="en-US" w:eastAsia="zh-CN"/>
        </w:rPr>
        <w:t>8</w:t>
      </w:r>
      <w:r>
        <w:rPr>
          <w:rFonts w:ascii="仿宋_GB2312" w:eastAsia="仿宋_GB2312"/>
          <w:color w:val="000000"/>
          <w:sz w:val="32"/>
          <w:szCs w:val="32"/>
        </w:rPr>
        <w:t>.</w:t>
      </w:r>
      <w:r>
        <w:rPr>
          <w:rFonts w:hint="eastAsia" w:ascii="仿宋_GB2312" w:eastAsia="仿宋_GB2312"/>
          <w:color w:val="000000"/>
          <w:sz w:val="32"/>
          <w:szCs w:val="32"/>
        </w:rPr>
        <w:t>社会保障和就业（类）退役安置（款）退役士兵安置（项）</w:t>
      </w:r>
      <w:r>
        <w:rPr>
          <w:rFonts w:hint="eastAsia" w:ascii="仿宋_GB2312" w:eastAsia="仿宋_GB2312"/>
          <w:color w:val="000000"/>
          <w:sz w:val="32"/>
          <w:szCs w:val="32"/>
          <w:lang w:eastAsia="zh-CN"/>
        </w:rPr>
        <w:t>：</w:t>
      </w:r>
      <w:r>
        <w:rPr>
          <w:rFonts w:hint="eastAsia" w:ascii="仿宋_GB2312" w:eastAsia="仿宋_GB2312"/>
          <w:color w:val="000000"/>
          <w:sz w:val="32"/>
          <w:szCs w:val="32"/>
        </w:rPr>
        <w:t>反映按规定用于伤残义务兵的一次性建房补助，对符合条件的退役士兵，转业士官的安置支出。</w:t>
      </w:r>
    </w:p>
    <w:p w14:paraId="21D1D8EA">
      <w:pPr>
        <w:ind w:firstLine="640" w:firstLineChars="200"/>
        <w:rPr>
          <w:rFonts w:ascii="仿宋_GB2312" w:eastAsia="仿宋_GB2312"/>
          <w:color w:val="000000"/>
          <w:sz w:val="32"/>
          <w:szCs w:val="32"/>
        </w:rPr>
      </w:pPr>
      <w:r>
        <w:rPr>
          <w:rFonts w:ascii="仿宋_GB2312" w:eastAsia="仿宋_GB2312"/>
          <w:color w:val="000000"/>
          <w:sz w:val="32"/>
          <w:szCs w:val="32"/>
        </w:rPr>
        <w:t>1</w:t>
      </w:r>
      <w:r>
        <w:rPr>
          <w:rFonts w:hint="eastAsia" w:ascii="仿宋_GB2312" w:eastAsia="仿宋_GB2312"/>
          <w:color w:val="000000"/>
          <w:sz w:val="32"/>
          <w:szCs w:val="32"/>
          <w:lang w:val="en-US" w:eastAsia="zh-CN"/>
        </w:rPr>
        <w:t>9</w:t>
      </w:r>
      <w:r>
        <w:rPr>
          <w:rFonts w:ascii="仿宋_GB2312" w:eastAsia="仿宋_GB2312"/>
          <w:color w:val="000000"/>
          <w:sz w:val="32"/>
          <w:szCs w:val="32"/>
        </w:rPr>
        <w:t>.</w:t>
      </w:r>
      <w:r>
        <w:rPr>
          <w:rFonts w:hint="eastAsia" w:ascii="仿宋_GB2312" w:eastAsia="仿宋_GB2312"/>
          <w:color w:val="000000"/>
          <w:sz w:val="32"/>
          <w:szCs w:val="32"/>
        </w:rPr>
        <w:t>社会保障和就业（类）退役安置（款）军队移交政府的离退休人员安置（项）</w:t>
      </w:r>
      <w:r>
        <w:rPr>
          <w:rFonts w:hint="eastAsia" w:ascii="仿宋_GB2312" w:eastAsia="仿宋_GB2312"/>
          <w:color w:val="000000"/>
          <w:sz w:val="32"/>
          <w:szCs w:val="32"/>
          <w:lang w:eastAsia="zh-CN"/>
        </w:rPr>
        <w:t>：</w:t>
      </w:r>
      <w:r>
        <w:rPr>
          <w:rFonts w:hint="eastAsia" w:ascii="仿宋_GB2312" w:eastAsia="仿宋_GB2312"/>
          <w:color w:val="000000"/>
          <w:sz w:val="32"/>
          <w:szCs w:val="32"/>
        </w:rPr>
        <w:t>反映移交政府的军队离退休人员安置支出。</w:t>
      </w:r>
    </w:p>
    <w:p w14:paraId="567B0321">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20</w:t>
      </w:r>
      <w:r>
        <w:rPr>
          <w:rFonts w:ascii="仿宋_GB2312" w:eastAsia="仿宋_GB2312"/>
          <w:color w:val="000000"/>
          <w:sz w:val="32"/>
          <w:szCs w:val="32"/>
        </w:rPr>
        <w:t>.</w:t>
      </w:r>
      <w:r>
        <w:rPr>
          <w:rFonts w:hint="eastAsia" w:ascii="仿宋_GB2312" w:eastAsia="仿宋_GB2312"/>
          <w:color w:val="000000"/>
          <w:sz w:val="32"/>
          <w:szCs w:val="32"/>
        </w:rPr>
        <w:t>社会保障和就业（类）退役安置（款）军队移交政府离退休干部管理机构（项）</w:t>
      </w:r>
      <w:r>
        <w:rPr>
          <w:rFonts w:hint="eastAsia" w:ascii="仿宋_GB2312" w:eastAsia="仿宋_GB2312"/>
          <w:color w:val="000000"/>
          <w:sz w:val="32"/>
          <w:szCs w:val="32"/>
          <w:lang w:eastAsia="zh-CN"/>
        </w:rPr>
        <w:t>：</w:t>
      </w:r>
      <w:r>
        <w:rPr>
          <w:rFonts w:hint="eastAsia" w:ascii="仿宋_GB2312" w:eastAsia="仿宋_GB2312"/>
          <w:color w:val="000000"/>
          <w:sz w:val="32"/>
          <w:szCs w:val="32"/>
        </w:rPr>
        <w:t>反映管理的军队移交政府安置的离退休干部管理机构列入事业编制的人员经费、公用经费以及管理机构用房建设经费等开支。</w:t>
      </w:r>
    </w:p>
    <w:p w14:paraId="10B69185">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21</w:t>
      </w:r>
      <w:r>
        <w:rPr>
          <w:rFonts w:ascii="仿宋_GB2312" w:eastAsia="仿宋_GB2312"/>
          <w:color w:val="000000"/>
          <w:sz w:val="32"/>
          <w:szCs w:val="32"/>
        </w:rPr>
        <w:t>.</w:t>
      </w:r>
      <w:r>
        <w:rPr>
          <w:rFonts w:hint="eastAsia" w:ascii="仿宋_GB2312" w:eastAsia="仿宋_GB2312"/>
          <w:color w:val="000000"/>
          <w:sz w:val="32"/>
          <w:szCs w:val="32"/>
        </w:rPr>
        <w:t>社会保障和就业（类）退役安置（款）退役士兵管理教育（项）：反映退役士兵职业教育、转业士官待分配期间管理教育、医疗等支出。</w:t>
      </w:r>
    </w:p>
    <w:p w14:paraId="7A5798CA">
      <w:pPr>
        <w:ind w:firstLine="640" w:firstLineChars="200"/>
        <w:rPr>
          <w:rFonts w:hint="eastAsia"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lang w:val="en-US" w:eastAsia="zh-CN"/>
        </w:rPr>
        <w:t>2</w:t>
      </w:r>
      <w:r>
        <w:rPr>
          <w:rFonts w:ascii="仿宋_GB2312" w:eastAsia="仿宋_GB2312"/>
          <w:color w:val="000000"/>
          <w:sz w:val="32"/>
          <w:szCs w:val="32"/>
        </w:rPr>
        <w:t>.</w:t>
      </w:r>
      <w:r>
        <w:rPr>
          <w:rFonts w:hint="eastAsia" w:ascii="仿宋_GB2312" w:eastAsia="仿宋_GB2312"/>
          <w:color w:val="000000"/>
          <w:sz w:val="32"/>
          <w:szCs w:val="32"/>
        </w:rPr>
        <w:t>社会保障和就业（类）退役安置（款）军队转业干部安置（项）</w:t>
      </w:r>
      <w:r>
        <w:rPr>
          <w:rFonts w:hint="eastAsia" w:ascii="仿宋_GB2312" w:eastAsia="仿宋_GB2312"/>
          <w:color w:val="000000"/>
          <w:sz w:val="32"/>
          <w:szCs w:val="32"/>
          <w:lang w:eastAsia="zh-CN"/>
        </w:rPr>
        <w:t>：</w:t>
      </w:r>
      <w:r>
        <w:rPr>
          <w:rFonts w:hint="eastAsia" w:ascii="仿宋_GB2312" w:eastAsia="仿宋_GB2312"/>
          <w:color w:val="000000"/>
          <w:sz w:val="32"/>
          <w:szCs w:val="32"/>
        </w:rPr>
        <w:t>反映军转干部安置、人员经费、自主择业退役金等方面的支出。</w:t>
      </w:r>
    </w:p>
    <w:p w14:paraId="16220C0A">
      <w:pPr>
        <w:ind w:firstLine="640" w:firstLineChars="200"/>
        <w:rPr>
          <w:rFonts w:hint="eastAsia" w:ascii="仿宋_GB2312" w:eastAsia="仿宋_GB2312"/>
          <w:color w:val="000000"/>
          <w:sz w:val="32"/>
          <w:szCs w:val="32"/>
          <w:lang w:eastAsia="zh-CN"/>
        </w:rPr>
      </w:pPr>
      <w:r>
        <w:rPr>
          <w:rFonts w:hint="eastAsia" w:ascii="仿宋_GB2312" w:eastAsia="仿宋_GB2312"/>
          <w:color w:val="000000"/>
          <w:sz w:val="32"/>
          <w:szCs w:val="32"/>
          <w:lang w:val="en-US" w:eastAsia="zh-CN"/>
        </w:rPr>
        <w:t>23.</w:t>
      </w:r>
      <w:r>
        <w:rPr>
          <w:rFonts w:hint="eastAsia" w:ascii="仿宋_GB2312" w:eastAsia="仿宋_GB2312"/>
          <w:color w:val="000000"/>
          <w:sz w:val="32"/>
          <w:szCs w:val="32"/>
        </w:rPr>
        <w:t>社会保障和就业（类）退役安置（款）</w:t>
      </w:r>
      <w:r>
        <w:rPr>
          <w:rFonts w:hint="eastAsia" w:ascii="仿宋_GB2312" w:eastAsia="仿宋_GB2312"/>
          <w:color w:val="000000"/>
          <w:sz w:val="32"/>
          <w:szCs w:val="32"/>
          <w:lang w:eastAsia="zh-CN"/>
        </w:rPr>
        <w:t>其他退役安置支出</w:t>
      </w:r>
      <w:r>
        <w:rPr>
          <w:rFonts w:hint="eastAsia" w:ascii="仿宋_GB2312" w:eastAsia="仿宋_GB2312"/>
          <w:color w:val="000000"/>
          <w:sz w:val="32"/>
          <w:szCs w:val="32"/>
        </w:rPr>
        <w:t>（项）</w:t>
      </w:r>
      <w:r>
        <w:rPr>
          <w:rFonts w:hint="eastAsia" w:ascii="仿宋_GB2312" w:eastAsia="仿宋_GB2312"/>
          <w:color w:val="000000"/>
          <w:sz w:val="32"/>
          <w:szCs w:val="32"/>
          <w:lang w:eastAsia="zh-CN"/>
        </w:rPr>
        <w:t>：其他用于退役安置方面的支出。</w:t>
      </w:r>
    </w:p>
    <w:p w14:paraId="66F373F3">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24.</w:t>
      </w:r>
      <w:r>
        <w:rPr>
          <w:rFonts w:hint="eastAsia" w:ascii="仿宋_GB2312" w:eastAsia="仿宋_GB2312"/>
          <w:color w:val="000000"/>
          <w:sz w:val="32"/>
          <w:szCs w:val="32"/>
        </w:rPr>
        <w:t>社会保障和就业（类）退役军人管理事务（款）行政运行（项）</w:t>
      </w:r>
      <w:r>
        <w:rPr>
          <w:rFonts w:hint="eastAsia" w:ascii="仿宋_GB2312" w:eastAsia="仿宋_GB2312"/>
          <w:color w:val="000000"/>
          <w:sz w:val="32"/>
          <w:szCs w:val="32"/>
          <w:lang w:eastAsia="zh-CN"/>
        </w:rPr>
        <w:t>：</w:t>
      </w:r>
      <w:r>
        <w:rPr>
          <w:rFonts w:hint="eastAsia" w:ascii="仿宋_GB2312" w:eastAsia="仿宋_GB2312"/>
          <w:color w:val="000000"/>
          <w:sz w:val="32"/>
          <w:szCs w:val="32"/>
        </w:rPr>
        <w:t>反映行政单位（包括实现公务员管理的事业单位）的基本支出。</w:t>
      </w:r>
    </w:p>
    <w:p w14:paraId="36889236">
      <w:pPr>
        <w:ind w:firstLine="640" w:firstLineChars="200"/>
        <w:rPr>
          <w:rFonts w:hint="eastAsia"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lang w:val="en-US" w:eastAsia="zh-CN"/>
        </w:rPr>
        <w:t>5</w:t>
      </w:r>
      <w:r>
        <w:rPr>
          <w:rFonts w:ascii="仿宋_GB2312" w:eastAsia="仿宋_GB2312"/>
          <w:color w:val="000000"/>
          <w:sz w:val="32"/>
          <w:szCs w:val="32"/>
        </w:rPr>
        <w:t>.</w:t>
      </w:r>
      <w:r>
        <w:rPr>
          <w:rFonts w:hint="eastAsia" w:ascii="仿宋_GB2312" w:eastAsia="仿宋_GB2312"/>
          <w:color w:val="000000"/>
          <w:sz w:val="32"/>
          <w:szCs w:val="32"/>
        </w:rPr>
        <w:t>社会保障和就业（类）退役军人管理事务（款）一般行政管理事务（项）：反映行政单位（包括实现公务员管理的事业单位）未单独设置项级科目的其他项目支出。</w:t>
      </w:r>
    </w:p>
    <w:p w14:paraId="30F82010">
      <w:pPr>
        <w:ind w:firstLine="640" w:firstLineChars="200"/>
        <w:rPr>
          <w:rFonts w:hint="eastAsia" w:ascii="仿宋_GB2312" w:eastAsia="仿宋_GB2312"/>
          <w:color w:val="000000"/>
          <w:sz w:val="32"/>
          <w:szCs w:val="32"/>
          <w:lang w:eastAsia="zh-CN"/>
        </w:rPr>
      </w:pPr>
      <w:r>
        <w:rPr>
          <w:rFonts w:ascii="仿宋_GB2312" w:eastAsia="仿宋_GB2312"/>
          <w:color w:val="000000"/>
          <w:sz w:val="32"/>
          <w:szCs w:val="32"/>
        </w:rPr>
        <w:t>2</w:t>
      </w:r>
      <w:r>
        <w:rPr>
          <w:rFonts w:hint="eastAsia" w:ascii="仿宋_GB2312" w:eastAsia="仿宋_GB2312"/>
          <w:color w:val="000000"/>
          <w:sz w:val="32"/>
          <w:szCs w:val="32"/>
          <w:lang w:val="en-US" w:eastAsia="zh-CN"/>
        </w:rPr>
        <w:t>6</w:t>
      </w:r>
      <w:r>
        <w:rPr>
          <w:rFonts w:ascii="仿宋_GB2312" w:eastAsia="仿宋_GB2312"/>
          <w:color w:val="000000"/>
          <w:sz w:val="32"/>
          <w:szCs w:val="32"/>
        </w:rPr>
        <w:t>.</w:t>
      </w:r>
      <w:r>
        <w:rPr>
          <w:rFonts w:hint="eastAsia" w:ascii="仿宋_GB2312" w:eastAsia="仿宋_GB2312"/>
          <w:color w:val="000000"/>
          <w:sz w:val="32"/>
          <w:szCs w:val="32"/>
        </w:rPr>
        <w:t>社会保障和就业（类）退役军人管理事务（款）</w:t>
      </w:r>
      <w:r>
        <w:rPr>
          <w:rFonts w:hint="eastAsia" w:ascii="仿宋_GB2312" w:eastAsia="仿宋_GB2312"/>
          <w:color w:val="000000"/>
          <w:sz w:val="32"/>
          <w:szCs w:val="32"/>
          <w:lang w:eastAsia="zh-CN"/>
        </w:rPr>
        <w:t>机关服务</w:t>
      </w:r>
      <w:r>
        <w:rPr>
          <w:rFonts w:hint="eastAsia" w:ascii="仿宋_GB2312" w:eastAsia="仿宋_GB2312"/>
          <w:color w:val="000000"/>
          <w:sz w:val="32"/>
          <w:szCs w:val="32"/>
        </w:rPr>
        <w:t>（项）：</w:t>
      </w:r>
      <w:r>
        <w:rPr>
          <w:rFonts w:hint="eastAsia" w:ascii="仿宋_GB2312" w:eastAsia="仿宋_GB2312"/>
          <w:color w:val="000000"/>
          <w:sz w:val="32"/>
          <w:szCs w:val="32"/>
          <w:lang w:eastAsia="zh-CN"/>
        </w:rPr>
        <w:t>反映行政单位</w:t>
      </w:r>
      <w:r>
        <w:rPr>
          <w:rFonts w:hint="eastAsia" w:ascii="仿宋_GB2312" w:eastAsia="仿宋_GB2312"/>
          <w:color w:val="000000"/>
          <w:sz w:val="32"/>
          <w:szCs w:val="32"/>
        </w:rPr>
        <w:t>（包括实现公务员管理的事业单位）</w:t>
      </w:r>
      <w:r>
        <w:rPr>
          <w:rFonts w:hint="eastAsia" w:ascii="仿宋_GB2312" w:eastAsia="仿宋_GB2312"/>
          <w:color w:val="000000"/>
          <w:sz w:val="32"/>
          <w:szCs w:val="32"/>
          <w:lang w:eastAsia="zh-CN"/>
        </w:rPr>
        <w:t>提供后勤服务的各类附属事业单位的支出。</w:t>
      </w:r>
    </w:p>
    <w:p w14:paraId="065C1907">
      <w:pPr>
        <w:ind w:firstLine="640" w:firstLineChars="200"/>
        <w:rPr>
          <w:rFonts w:hint="eastAsia"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lang w:val="en-US" w:eastAsia="zh-CN"/>
        </w:rPr>
        <w:t>7</w:t>
      </w:r>
      <w:r>
        <w:rPr>
          <w:rFonts w:ascii="仿宋_GB2312" w:eastAsia="仿宋_GB2312"/>
          <w:color w:val="000000"/>
          <w:sz w:val="32"/>
          <w:szCs w:val="32"/>
        </w:rPr>
        <w:t>.</w:t>
      </w:r>
      <w:r>
        <w:rPr>
          <w:rFonts w:hint="eastAsia" w:ascii="仿宋_GB2312" w:eastAsia="仿宋_GB2312"/>
          <w:color w:val="000000"/>
          <w:sz w:val="32"/>
          <w:szCs w:val="32"/>
        </w:rPr>
        <w:t>社会保障和就业（类）退役军人管理事务（款）拥军优属（项）：反映开展拥军优属活动的支出。</w:t>
      </w:r>
    </w:p>
    <w:p w14:paraId="514EBF4A">
      <w:pPr>
        <w:ind w:firstLine="640" w:firstLineChars="200"/>
        <w:rPr>
          <w:rFonts w:hint="eastAsia"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lang w:val="en-US" w:eastAsia="zh-CN"/>
        </w:rPr>
        <w:t>8</w:t>
      </w:r>
      <w:r>
        <w:rPr>
          <w:rFonts w:ascii="仿宋_GB2312" w:eastAsia="仿宋_GB2312"/>
          <w:color w:val="000000"/>
          <w:sz w:val="32"/>
          <w:szCs w:val="32"/>
        </w:rPr>
        <w:t>.</w:t>
      </w:r>
      <w:r>
        <w:rPr>
          <w:rFonts w:hint="eastAsia" w:ascii="仿宋_GB2312" w:eastAsia="仿宋_GB2312"/>
          <w:color w:val="000000"/>
          <w:sz w:val="32"/>
          <w:szCs w:val="32"/>
        </w:rPr>
        <w:t>社会保障和就业（类）退役军人管理事务（款）</w:t>
      </w:r>
      <w:r>
        <w:rPr>
          <w:rFonts w:hint="eastAsia" w:ascii="仿宋_GB2312" w:eastAsia="仿宋_GB2312"/>
          <w:color w:val="000000"/>
          <w:sz w:val="32"/>
          <w:szCs w:val="32"/>
          <w:lang w:eastAsia="zh-CN"/>
        </w:rPr>
        <w:t>事业运行</w:t>
      </w:r>
      <w:r>
        <w:rPr>
          <w:rFonts w:hint="eastAsia" w:ascii="仿宋_GB2312" w:eastAsia="仿宋_GB2312"/>
          <w:color w:val="000000"/>
          <w:sz w:val="32"/>
          <w:szCs w:val="32"/>
        </w:rPr>
        <w:t>（项）：反映</w:t>
      </w:r>
      <w:r>
        <w:rPr>
          <w:rFonts w:hint="eastAsia" w:ascii="仿宋_GB2312" w:eastAsia="仿宋_GB2312"/>
          <w:color w:val="000000"/>
          <w:sz w:val="32"/>
          <w:szCs w:val="32"/>
          <w:lang w:eastAsia="zh-CN"/>
        </w:rPr>
        <w:t>事业单位</w:t>
      </w:r>
      <w:r>
        <w:rPr>
          <w:rFonts w:hint="eastAsia" w:ascii="仿宋_GB2312" w:eastAsia="仿宋_GB2312"/>
          <w:color w:val="000000"/>
          <w:sz w:val="32"/>
          <w:szCs w:val="32"/>
        </w:rPr>
        <w:t>的支出。</w:t>
      </w:r>
    </w:p>
    <w:p w14:paraId="6CEC7ABA">
      <w:pPr>
        <w:ind w:firstLine="640" w:firstLineChars="200"/>
        <w:rPr>
          <w:rFonts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lang w:val="en-US" w:eastAsia="zh-CN"/>
        </w:rPr>
        <w:t>9</w:t>
      </w:r>
      <w:r>
        <w:rPr>
          <w:rFonts w:ascii="仿宋_GB2312" w:eastAsia="仿宋_GB2312"/>
          <w:color w:val="000000"/>
          <w:sz w:val="32"/>
          <w:szCs w:val="32"/>
        </w:rPr>
        <w:t>.</w:t>
      </w:r>
      <w:r>
        <w:rPr>
          <w:rFonts w:hint="eastAsia" w:ascii="仿宋_GB2312" w:eastAsia="仿宋_GB2312"/>
          <w:color w:val="000000"/>
          <w:sz w:val="32"/>
          <w:szCs w:val="32"/>
        </w:rPr>
        <w:t>社会保障和就业（类）其他社会保障和就业支出（款）其他社会保障和就业支出（项）：反映除上述项目以外其他用于社会保障和就业方面的支出。</w:t>
      </w:r>
    </w:p>
    <w:p w14:paraId="0D4E63DB">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30</w:t>
      </w:r>
      <w:r>
        <w:rPr>
          <w:rFonts w:ascii="仿宋_GB2312" w:eastAsia="仿宋_GB2312"/>
          <w:color w:val="000000"/>
          <w:sz w:val="32"/>
          <w:szCs w:val="32"/>
        </w:rPr>
        <w:t>.</w:t>
      </w:r>
      <w:r>
        <w:rPr>
          <w:rFonts w:hint="eastAsia" w:ascii="仿宋_GB2312" w:eastAsia="仿宋_GB2312"/>
          <w:color w:val="000000"/>
          <w:sz w:val="32"/>
          <w:szCs w:val="32"/>
        </w:rPr>
        <w:t>卫生健康（类）行政事业单位医疗（款）行政单位医疗（项）：反映财政部门安排的行政单位基本医疗保险缴费经费，未参加医疗保险的行政单位的公费医疗经费，按国家规定享受离休人员、红军老战士待遇人员的医疗经费。</w:t>
      </w:r>
    </w:p>
    <w:p w14:paraId="2742EA3A">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31</w:t>
      </w:r>
      <w:r>
        <w:rPr>
          <w:rFonts w:ascii="仿宋_GB2312" w:eastAsia="仿宋_GB2312"/>
          <w:color w:val="000000"/>
          <w:sz w:val="32"/>
          <w:szCs w:val="32"/>
        </w:rPr>
        <w:t>.</w:t>
      </w:r>
      <w:r>
        <w:rPr>
          <w:rFonts w:hint="eastAsia" w:ascii="仿宋_GB2312" w:eastAsia="仿宋_GB2312"/>
          <w:color w:val="000000"/>
          <w:sz w:val="32"/>
          <w:szCs w:val="32"/>
        </w:rPr>
        <w:t>卫生健康（类）优抚对象医疗（款）优抚对象医疗补助（项）：反映财政部门安排的事业单位基本医疗保险缴费经费，未参加医疗保险的事业单位公费医疗经费，按国家规定享受离休人员待遇的医疗经费。</w:t>
      </w:r>
    </w:p>
    <w:p w14:paraId="25FC8D11">
      <w:pPr>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32</w:t>
      </w:r>
      <w:r>
        <w:rPr>
          <w:rFonts w:ascii="仿宋_GB2312" w:eastAsia="仿宋_GB2312"/>
          <w:color w:val="000000"/>
          <w:sz w:val="32"/>
          <w:szCs w:val="32"/>
        </w:rPr>
        <w:t>.</w:t>
      </w:r>
      <w:r>
        <w:rPr>
          <w:rFonts w:hint="eastAsia" w:ascii="仿宋_GB2312" w:eastAsia="仿宋_GB2312"/>
          <w:color w:val="000000"/>
          <w:sz w:val="32"/>
          <w:szCs w:val="32"/>
        </w:rPr>
        <w:t>住房保障支出（类）住房改革支出（款）住房公积金（项）：反映行政事业单位按照人力资源和社会保障部、财政部规定的基本工资和津贴补贴以及规定比例为职工缴纳的住房公积金。</w:t>
      </w:r>
    </w:p>
    <w:p w14:paraId="033980EC">
      <w:pPr>
        <w:pStyle w:val="2"/>
        <w:ind w:firstLine="600" w:firstLineChars="200"/>
        <w:jc w:val="left"/>
      </w:pPr>
      <w:r>
        <w:rPr>
          <w:rFonts w:hint="eastAsia" w:ascii="仿宋_GB2312" w:hAnsi="仿宋_GB2312" w:eastAsia="仿宋_GB2312" w:cs="仿宋_GB2312"/>
          <w:sz w:val="30"/>
          <w:szCs w:val="30"/>
          <w:lang w:val="en-US" w:eastAsia="zh-CN"/>
        </w:rPr>
        <w:t>33.卫生健康（类）行政事业单位医疗（款）公务员医疗补助（项）：</w:t>
      </w:r>
      <w:r>
        <w:rPr>
          <w:rFonts w:hint="eastAsia" w:ascii="仿宋_GB2312" w:hAnsi="仿宋_GB2312" w:eastAsia="仿宋_GB2312" w:cs="仿宋_GB2312"/>
          <w:color w:val="auto"/>
          <w:sz w:val="30"/>
          <w:szCs w:val="30"/>
        </w:rPr>
        <w:t>指财政部门集中安排的</w:t>
      </w:r>
      <w:r>
        <w:rPr>
          <w:rFonts w:hint="eastAsia" w:ascii="仿宋_GB2312" w:hAnsi="仿宋_GB2312" w:eastAsia="仿宋_GB2312" w:cs="仿宋_GB2312"/>
          <w:color w:val="auto"/>
          <w:sz w:val="30"/>
          <w:szCs w:val="30"/>
          <w:lang w:val="en-US" w:eastAsia="zh-CN"/>
        </w:rPr>
        <w:t>可享受公务员医疗补助单位为职工缴纳的公务员</w:t>
      </w:r>
      <w:r>
        <w:rPr>
          <w:rFonts w:hint="eastAsia" w:ascii="仿宋_GB2312" w:hAnsi="仿宋_GB2312" w:eastAsia="仿宋_GB2312" w:cs="仿宋_GB2312"/>
          <w:color w:val="auto"/>
          <w:sz w:val="30"/>
          <w:szCs w:val="30"/>
        </w:rPr>
        <w:t>医疗</w:t>
      </w:r>
      <w:r>
        <w:rPr>
          <w:rFonts w:hint="eastAsia" w:ascii="仿宋_GB2312" w:hAnsi="仿宋_GB2312" w:eastAsia="仿宋_GB2312" w:cs="仿宋_GB2312"/>
          <w:color w:val="auto"/>
          <w:sz w:val="30"/>
          <w:szCs w:val="30"/>
          <w:lang w:val="en-US" w:eastAsia="zh-CN"/>
        </w:rPr>
        <w:t>补助费。</w:t>
      </w:r>
    </w:p>
    <w:p w14:paraId="17841B71">
      <w:pPr>
        <w:ind w:firstLine="640" w:firstLineChars="200"/>
        <w:rPr>
          <w:rFonts w:ascii="仿宋_GB2312" w:eastAsia="仿宋_GB2312"/>
          <w:color w:val="auto"/>
          <w:sz w:val="32"/>
          <w:szCs w:val="32"/>
          <w:highlight w:val="none"/>
        </w:rPr>
      </w:pPr>
      <w:r>
        <w:rPr>
          <w:rFonts w:hint="eastAsia" w:ascii="仿宋_GB2312" w:eastAsia="仿宋_GB2312"/>
          <w:color w:val="000000"/>
          <w:sz w:val="32"/>
          <w:szCs w:val="32"/>
          <w:lang w:val="en-US" w:eastAsia="zh-CN"/>
        </w:rPr>
        <w:t>34</w:t>
      </w:r>
      <w:r>
        <w:rPr>
          <w:rFonts w:ascii="仿宋_GB2312" w:eastAsia="仿宋_GB2312"/>
          <w:color w:val="000000"/>
          <w:sz w:val="32"/>
          <w:szCs w:val="32"/>
        </w:rPr>
        <w:t>.</w:t>
      </w:r>
      <w:r>
        <w:rPr>
          <w:rFonts w:hint="eastAsia" w:ascii="仿宋" w:hAnsi="仿宋" w:eastAsia="仿宋" w:cs="仿宋"/>
          <w:sz w:val="30"/>
          <w:szCs w:val="30"/>
          <w:lang w:eastAsia="zh-CN"/>
        </w:rPr>
        <w:t>城乡社区支出（类）国有土地使用权出让收入安排的支出（款）其他国有土地使用权出让收入安排的支出：反映土地出让收入用于其他方面的支出。不包括市县级政府当年按规定用土地出让收入向中央和省级政府缴纳的新增建设用地土地有偿使用费的支出。</w:t>
      </w:r>
      <w:r>
        <w:rPr>
          <w:rFonts w:hint="eastAsia" w:ascii="仿宋_GB2312" w:eastAsia="仿宋_GB2312"/>
          <w:color w:val="auto"/>
          <w:sz w:val="32"/>
          <w:szCs w:val="32"/>
          <w:highlight w:val="none"/>
        </w:rPr>
        <w:t>基本支出：指为保障机构正常运转、完成日常工作任务而发生的人员支出和公用支出。</w:t>
      </w:r>
    </w:p>
    <w:p w14:paraId="0BCB7FD5">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35.</w:t>
      </w:r>
      <w:r>
        <w:rPr>
          <w:rFonts w:hint="eastAsia" w:ascii="仿宋_GB2312" w:eastAsia="仿宋_GB2312"/>
          <w:color w:val="000000"/>
          <w:sz w:val="32"/>
          <w:szCs w:val="32"/>
        </w:rPr>
        <w:t>基本支出：指为保障机构正常运转、完成日常工作任务而发生的人员支出和公用支出。</w:t>
      </w:r>
    </w:p>
    <w:p w14:paraId="0A092C80">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36</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14:paraId="0967247B">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37</w:t>
      </w:r>
      <w:r>
        <w:rPr>
          <w:rFonts w:ascii="仿宋_GB2312" w:eastAsia="仿宋_GB2312"/>
          <w:color w:val="000000"/>
          <w:sz w:val="32"/>
          <w:szCs w:val="32"/>
        </w:rPr>
        <w:t>.</w:t>
      </w:r>
      <w:r>
        <w:rPr>
          <w:rFonts w:hint="eastAsia" w:ascii="仿宋_GB2312" w:eastAsia="仿宋_GB2312"/>
          <w:color w:val="000000"/>
          <w:sz w:val="32"/>
          <w:szCs w:val="32"/>
        </w:rPr>
        <w:t>经营支出：指事业单位在专业业务活动及其辅助活动之外开展非独立核算经营活动发生的支出。</w:t>
      </w:r>
    </w:p>
    <w:p w14:paraId="25A61E85">
      <w:pPr>
        <w:pStyle w:val="28"/>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38</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7C6F5C0">
      <w:pPr>
        <w:pStyle w:val="28"/>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39</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3F83358">
      <w:pPr>
        <w:spacing w:line="600" w:lineRule="exact"/>
        <w:jc w:val="center"/>
        <w:outlineLvl w:val="9"/>
        <w:rPr>
          <w:rFonts w:hint="eastAsia" w:ascii="黑体" w:hAnsi="黑体" w:eastAsia="黑体"/>
          <w:color w:val="auto"/>
          <w:sz w:val="44"/>
          <w:szCs w:val="44"/>
          <w:highlight w:val="none"/>
        </w:rPr>
        <w:sectPr>
          <w:pgSz w:w="11906" w:h="16838"/>
          <w:pgMar w:top="1440" w:right="1800" w:bottom="1440" w:left="1800" w:header="851" w:footer="992" w:gutter="0"/>
          <w:pgNumType w:start="1"/>
          <w:cols w:space="425" w:num="1"/>
          <w:titlePg/>
          <w:docGrid w:type="lines" w:linePitch="312" w:charSpace="0"/>
        </w:sectPr>
      </w:pPr>
      <w:bookmarkStart w:id="77" w:name="_Toc15396614"/>
      <w:bookmarkStart w:id="78" w:name="_Toc15377226"/>
    </w:p>
    <w:p w14:paraId="197FB828">
      <w:pPr>
        <w:pStyle w:val="3"/>
        <w:bidi w:val="0"/>
        <w:jc w:val="center"/>
        <w:rPr>
          <w:rFonts w:hint="eastAsia"/>
          <w:lang w:eastAsia="zh-CN"/>
        </w:rPr>
      </w:pPr>
      <w:bookmarkStart w:id="79" w:name="_Toc21667"/>
      <w:r>
        <w:rPr>
          <w:rFonts w:hint="eastAsia"/>
        </w:rPr>
        <w:t>第四部分 附件</w:t>
      </w:r>
      <w:bookmarkEnd w:id="77"/>
      <w:bookmarkEnd w:id="79"/>
    </w:p>
    <w:p w14:paraId="45F2D22F">
      <w:pPr>
        <w:keepNext w:val="0"/>
        <w:keepLines w:val="0"/>
        <w:pageBreakBefore w:val="0"/>
        <w:kinsoku/>
        <w:wordWrap/>
        <w:overflowPunct/>
        <w:topLinePunct w:val="0"/>
        <w:autoSpaceDE/>
        <w:autoSpaceDN/>
        <w:bidi w:val="0"/>
        <w:spacing w:line="572" w:lineRule="exact"/>
        <w:jc w:val="left"/>
        <w:textAlignment w:val="auto"/>
        <w:rPr>
          <w:rFonts w:hint="eastAsia" w:ascii="方正小标宋简体" w:hAnsi="宋体" w:eastAsia="方正小标宋简体"/>
          <w:color w:val="auto"/>
          <w:kern w:val="0"/>
          <w:sz w:val="40"/>
          <w:szCs w:val="44"/>
          <w:highlight w:val="none"/>
          <w:lang w:eastAsia="zh-CN"/>
        </w:rPr>
      </w:pPr>
      <w:r>
        <w:rPr>
          <w:rFonts w:hint="eastAsia" w:ascii="方正小标宋简体" w:hAnsi="宋体" w:eastAsia="方正小标宋简体"/>
          <w:color w:val="auto"/>
          <w:kern w:val="0"/>
          <w:sz w:val="40"/>
          <w:szCs w:val="44"/>
          <w:highlight w:val="none"/>
          <w:lang w:eastAsia="zh-CN"/>
        </w:rPr>
        <w:t>部门预算项目支出绩效自评表（</w:t>
      </w:r>
      <w:r>
        <w:rPr>
          <w:rFonts w:hint="eastAsia" w:ascii="方正小标宋简体" w:hAnsi="宋体" w:eastAsia="方正小标宋简体"/>
          <w:color w:val="auto"/>
          <w:kern w:val="0"/>
          <w:sz w:val="40"/>
          <w:szCs w:val="44"/>
          <w:highlight w:val="none"/>
          <w:lang w:val="en-US" w:eastAsia="zh-CN"/>
        </w:rPr>
        <w:t>2023年度</w:t>
      </w:r>
      <w:r>
        <w:rPr>
          <w:rFonts w:hint="eastAsia" w:ascii="方正小标宋简体" w:hAnsi="宋体" w:eastAsia="方正小标宋简体"/>
          <w:color w:val="auto"/>
          <w:kern w:val="0"/>
          <w:sz w:val="40"/>
          <w:szCs w:val="44"/>
          <w:highlight w:val="none"/>
          <w:lang w:eastAsia="zh-CN"/>
        </w:rPr>
        <w:t>）</w:t>
      </w:r>
    </w:p>
    <w:p w14:paraId="431EF226">
      <w:pPr>
        <w:pStyle w:val="2"/>
        <w:spacing w:line="240" w:lineRule="auto"/>
        <w:rPr>
          <w:rFonts w:hint="eastAsia"/>
          <w:lang w:eastAsia="zh-CN"/>
        </w:rPr>
      </w:pPr>
      <w:r>
        <w:rPr>
          <w:rFonts w:hint="eastAsia"/>
          <w:lang w:eastAsia="zh-CN"/>
        </w:rPr>
        <w:drawing>
          <wp:inline distT="0" distB="0" distL="114300" distR="114300">
            <wp:extent cx="5269230" cy="7237730"/>
            <wp:effectExtent l="0" t="0" r="7620" b="127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6"/>
                    <a:stretch>
                      <a:fillRect/>
                    </a:stretch>
                  </pic:blipFill>
                  <pic:spPr>
                    <a:xfrm>
                      <a:off x="0" y="0"/>
                      <a:ext cx="5269230" cy="7237730"/>
                    </a:xfrm>
                    <a:prstGeom prst="rect">
                      <a:avLst/>
                    </a:prstGeom>
                  </pic:spPr>
                </pic:pic>
              </a:graphicData>
            </a:graphic>
          </wp:inline>
        </w:drawing>
      </w:r>
    </w:p>
    <w:p w14:paraId="35D4066B">
      <w:pPr>
        <w:keepNext w:val="0"/>
        <w:keepLines w:val="0"/>
        <w:pageBreakBefore w:val="0"/>
        <w:widowControl/>
        <w:kinsoku/>
        <w:wordWrap/>
        <w:overflowPunct/>
        <w:topLinePunct w:val="0"/>
        <w:autoSpaceDE/>
        <w:autoSpaceDN/>
        <w:bidi w:val="0"/>
        <w:adjustRightInd w:val="0"/>
        <w:snapToGrid w:val="0"/>
        <w:spacing w:line="240" w:lineRule="auto"/>
        <w:contextualSpacing/>
        <w:jc w:val="left"/>
        <w:textAlignment w:val="auto"/>
        <w:rPr>
          <w:rFonts w:hint="eastAsia" w:ascii="黑体" w:hAnsi="宋体" w:eastAsia="黑体" w:cs="宋体"/>
          <w:color w:val="auto"/>
          <w:kern w:val="0"/>
          <w:sz w:val="32"/>
          <w:szCs w:val="32"/>
          <w:highlight w:val="none"/>
          <w:shd w:val="clear" w:color="auto" w:fill="FFFFFF"/>
          <w:lang w:eastAsia="zh-CN"/>
        </w:rPr>
      </w:pPr>
      <w:r>
        <w:rPr>
          <w:rFonts w:hint="eastAsia" w:ascii="黑体" w:hAnsi="宋体" w:eastAsia="黑体" w:cs="宋体"/>
          <w:color w:val="auto"/>
          <w:kern w:val="0"/>
          <w:sz w:val="32"/>
          <w:szCs w:val="32"/>
          <w:highlight w:val="none"/>
          <w:shd w:val="clear" w:color="auto" w:fill="FFFFFF"/>
          <w:lang w:eastAsia="zh-CN"/>
        </w:rPr>
        <w:drawing>
          <wp:inline distT="0" distB="0" distL="114300" distR="114300">
            <wp:extent cx="5267960" cy="8509000"/>
            <wp:effectExtent l="0" t="0" r="8890" b="6350"/>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17"/>
                    <a:stretch>
                      <a:fillRect/>
                    </a:stretch>
                  </pic:blipFill>
                  <pic:spPr>
                    <a:xfrm>
                      <a:off x="0" y="0"/>
                      <a:ext cx="5267960" cy="8509000"/>
                    </a:xfrm>
                    <a:prstGeom prst="rect">
                      <a:avLst/>
                    </a:prstGeom>
                  </pic:spPr>
                </pic:pic>
              </a:graphicData>
            </a:graphic>
          </wp:inline>
        </w:drawing>
      </w:r>
    </w:p>
    <w:p w14:paraId="39462713">
      <w:pPr>
        <w:keepNext w:val="0"/>
        <w:keepLines w:val="0"/>
        <w:pageBreakBefore w:val="0"/>
        <w:widowControl/>
        <w:kinsoku/>
        <w:wordWrap/>
        <w:overflowPunct/>
        <w:topLinePunct w:val="0"/>
        <w:autoSpaceDE/>
        <w:autoSpaceDN/>
        <w:bidi w:val="0"/>
        <w:adjustRightInd w:val="0"/>
        <w:snapToGrid w:val="0"/>
        <w:spacing w:line="240" w:lineRule="auto"/>
        <w:contextualSpacing/>
        <w:jc w:val="left"/>
        <w:textAlignment w:val="auto"/>
        <w:rPr>
          <w:rFonts w:hint="eastAsia" w:ascii="黑体" w:hAnsi="宋体" w:eastAsia="黑体" w:cs="宋体"/>
          <w:color w:val="auto"/>
          <w:kern w:val="0"/>
          <w:sz w:val="32"/>
          <w:szCs w:val="32"/>
          <w:highlight w:val="none"/>
          <w:shd w:val="clear" w:color="auto" w:fill="FFFFFF"/>
        </w:rPr>
      </w:pPr>
    </w:p>
    <w:p w14:paraId="6D548156">
      <w:pPr>
        <w:keepNext w:val="0"/>
        <w:keepLines w:val="0"/>
        <w:pageBreakBefore w:val="0"/>
        <w:widowControl/>
        <w:kinsoku/>
        <w:wordWrap/>
        <w:overflowPunct/>
        <w:topLinePunct w:val="0"/>
        <w:autoSpaceDE/>
        <w:autoSpaceDN/>
        <w:bidi w:val="0"/>
        <w:adjustRightInd w:val="0"/>
        <w:snapToGrid w:val="0"/>
        <w:spacing w:line="240" w:lineRule="auto"/>
        <w:contextualSpacing/>
        <w:jc w:val="left"/>
        <w:textAlignment w:val="auto"/>
        <w:rPr>
          <w:rFonts w:hint="eastAsia" w:ascii="黑体" w:hAnsi="宋体" w:eastAsia="黑体" w:cs="宋体"/>
          <w:color w:val="auto"/>
          <w:kern w:val="0"/>
          <w:sz w:val="32"/>
          <w:szCs w:val="32"/>
          <w:highlight w:val="none"/>
          <w:shd w:val="clear" w:color="auto" w:fill="FFFFFF"/>
          <w:lang w:eastAsia="zh-CN"/>
        </w:rPr>
      </w:pPr>
      <w:r>
        <w:rPr>
          <w:rFonts w:hint="eastAsia" w:ascii="黑体" w:hAnsi="宋体" w:eastAsia="黑体" w:cs="宋体"/>
          <w:color w:val="auto"/>
          <w:kern w:val="0"/>
          <w:sz w:val="32"/>
          <w:szCs w:val="32"/>
          <w:highlight w:val="none"/>
          <w:shd w:val="clear" w:color="auto" w:fill="FFFFFF"/>
          <w:lang w:eastAsia="zh-CN"/>
        </w:rPr>
        <w:drawing>
          <wp:inline distT="0" distB="0" distL="114300" distR="114300">
            <wp:extent cx="5268595" cy="8654415"/>
            <wp:effectExtent l="0" t="0" r="8255" b="13335"/>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8"/>
                    <a:stretch>
                      <a:fillRect/>
                    </a:stretch>
                  </pic:blipFill>
                  <pic:spPr>
                    <a:xfrm>
                      <a:off x="0" y="0"/>
                      <a:ext cx="5268595" cy="8654415"/>
                    </a:xfrm>
                    <a:prstGeom prst="rect">
                      <a:avLst/>
                    </a:prstGeom>
                  </pic:spPr>
                </pic:pic>
              </a:graphicData>
            </a:graphic>
          </wp:inline>
        </w:drawing>
      </w:r>
    </w:p>
    <w:p w14:paraId="21BEB80A">
      <w:pPr>
        <w:keepNext w:val="0"/>
        <w:keepLines w:val="0"/>
        <w:pageBreakBefore w:val="0"/>
        <w:widowControl/>
        <w:kinsoku/>
        <w:wordWrap/>
        <w:overflowPunct/>
        <w:topLinePunct w:val="0"/>
        <w:autoSpaceDE/>
        <w:autoSpaceDN/>
        <w:bidi w:val="0"/>
        <w:adjustRightInd w:val="0"/>
        <w:snapToGrid w:val="0"/>
        <w:spacing w:line="240" w:lineRule="auto"/>
        <w:contextualSpacing/>
        <w:jc w:val="left"/>
        <w:textAlignment w:val="auto"/>
        <w:rPr>
          <w:rFonts w:hint="eastAsia" w:ascii="黑体" w:hAnsi="宋体" w:eastAsia="黑体" w:cs="宋体"/>
          <w:color w:val="auto"/>
          <w:kern w:val="0"/>
          <w:sz w:val="32"/>
          <w:szCs w:val="32"/>
          <w:highlight w:val="none"/>
          <w:shd w:val="clear" w:color="auto" w:fill="FFFFFF"/>
          <w:lang w:eastAsia="zh-CN"/>
        </w:rPr>
      </w:pPr>
      <w:r>
        <w:rPr>
          <w:rFonts w:hint="eastAsia" w:ascii="黑体" w:hAnsi="宋体" w:eastAsia="黑体" w:cs="宋体"/>
          <w:color w:val="auto"/>
          <w:kern w:val="0"/>
          <w:sz w:val="32"/>
          <w:szCs w:val="32"/>
          <w:highlight w:val="none"/>
          <w:shd w:val="clear" w:color="auto" w:fill="FFFFFF"/>
          <w:lang w:eastAsia="zh-CN"/>
        </w:rPr>
        <w:drawing>
          <wp:inline distT="0" distB="0" distL="114300" distR="114300">
            <wp:extent cx="5268595" cy="8649970"/>
            <wp:effectExtent l="0" t="0" r="8255" b="17780"/>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19"/>
                    <a:stretch>
                      <a:fillRect/>
                    </a:stretch>
                  </pic:blipFill>
                  <pic:spPr>
                    <a:xfrm>
                      <a:off x="0" y="0"/>
                      <a:ext cx="5268595" cy="8649970"/>
                    </a:xfrm>
                    <a:prstGeom prst="rect">
                      <a:avLst/>
                    </a:prstGeom>
                  </pic:spPr>
                </pic:pic>
              </a:graphicData>
            </a:graphic>
          </wp:inline>
        </w:drawing>
      </w:r>
    </w:p>
    <w:p w14:paraId="734BA6A9">
      <w:pPr>
        <w:keepNext w:val="0"/>
        <w:keepLines w:val="0"/>
        <w:pageBreakBefore w:val="0"/>
        <w:widowControl/>
        <w:kinsoku/>
        <w:wordWrap/>
        <w:overflowPunct/>
        <w:topLinePunct w:val="0"/>
        <w:autoSpaceDE/>
        <w:autoSpaceDN/>
        <w:bidi w:val="0"/>
        <w:adjustRightInd w:val="0"/>
        <w:snapToGrid w:val="0"/>
        <w:spacing w:line="240" w:lineRule="auto"/>
        <w:contextualSpacing/>
        <w:jc w:val="left"/>
        <w:textAlignment w:val="auto"/>
        <w:rPr>
          <w:rFonts w:hint="eastAsia" w:ascii="黑体" w:hAnsi="宋体" w:eastAsia="黑体" w:cs="宋体"/>
          <w:color w:val="auto"/>
          <w:kern w:val="0"/>
          <w:sz w:val="32"/>
          <w:szCs w:val="32"/>
          <w:highlight w:val="none"/>
          <w:shd w:val="clear" w:color="auto" w:fill="FFFFFF"/>
          <w:lang w:eastAsia="zh-CN"/>
        </w:rPr>
      </w:pPr>
      <w:r>
        <w:rPr>
          <w:rFonts w:hint="eastAsia" w:ascii="黑体" w:hAnsi="宋体" w:eastAsia="黑体" w:cs="宋体"/>
          <w:color w:val="auto"/>
          <w:kern w:val="0"/>
          <w:sz w:val="32"/>
          <w:szCs w:val="32"/>
          <w:highlight w:val="none"/>
          <w:shd w:val="clear" w:color="auto" w:fill="FFFFFF"/>
          <w:lang w:eastAsia="zh-CN"/>
        </w:rPr>
        <w:drawing>
          <wp:inline distT="0" distB="0" distL="114300" distR="114300">
            <wp:extent cx="5267960" cy="8724265"/>
            <wp:effectExtent l="0" t="0" r="8890" b="635"/>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20"/>
                    <a:stretch>
                      <a:fillRect/>
                    </a:stretch>
                  </pic:blipFill>
                  <pic:spPr>
                    <a:xfrm>
                      <a:off x="0" y="0"/>
                      <a:ext cx="5267960" cy="8724265"/>
                    </a:xfrm>
                    <a:prstGeom prst="rect">
                      <a:avLst/>
                    </a:prstGeom>
                  </pic:spPr>
                </pic:pic>
              </a:graphicData>
            </a:graphic>
          </wp:inline>
        </w:drawing>
      </w:r>
    </w:p>
    <w:p w14:paraId="0E4F6194">
      <w:pPr>
        <w:pStyle w:val="2"/>
        <w:spacing w:line="240" w:lineRule="auto"/>
        <w:jc w:val="both"/>
        <w:rPr>
          <w:rFonts w:hint="eastAsia" w:ascii="黑体" w:hAnsi="宋体" w:eastAsia="黑体" w:cs="宋体"/>
          <w:color w:val="auto"/>
          <w:kern w:val="0"/>
          <w:sz w:val="32"/>
          <w:szCs w:val="32"/>
          <w:highlight w:val="none"/>
          <w:shd w:val="clear" w:color="auto" w:fill="FFFFFF"/>
          <w:lang w:eastAsia="zh-CN"/>
        </w:rPr>
      </w:pPr>
      <w:r>
        <w:rPr>
          <w:rFonts w:hint="eastAsia" w:ascii="黑体" w:hAnsi="宋体" w:eastAsia="黑体" w:cs="宋体"/>
          <w:color w:val="auto"/>
          <w:kern w:val="0"/>
          <w:sz w:val="32"/>
          <w:szCs w:val="32"/>
          <w:highlight w:val="none"/>
          <w:shd w:val="clear" w:color="auto" w:fill="FFFFFF"/>
          <w:lang w:eastAsia="zh-CN"/>
        </w:rPr>
        <w:drawing>
          <wp:inline distT="0" distB="0" distL="114300" distR="114300">
            <wp:extent cx="5273040" cy="8684260"/>
            <wp:effectExtent l="0" t="0" r="3810" b="2540"/>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21"/>
                    <a:stretch>
                      <a:fillRect/>
                    </a:stretch>
                  </pic:blipFill>
                  <pic:spPr>
                    <a:xfrm>
                      <a:off x="0" y="0"/>
                      <a:ext cx="5273040" cy="8684260"/>
                    </a:xfrm>
                    <a:prstGeom prst="rect">
                      <a:avLst/>
                    </a:prstGeom>
                  </pic:spPr>
                </pic:pic>
              </a:graphicData>
            </a:graphic>
          </wp:inline>
        </w:drawing>
      </w:r>
    </w:p>
    <w:p w14:paraId="74A093DC">
      <w:pPr>
        <w:numPr>
          <w:ilvl w:val="0"/>
          <w:numId w:val="0"/>
        </w:numPr>
        <w:spacing w:line="600" w:lineRule="exact"/>
        <w:ind w:leftChars="0"/>
        <w:jc w:val="center"/>
        <w:outlineLvl w:val="0"/>
        <w:rPr>
          <w:rStyle w:val="30"/>
          <w:rFonts w:hint="eastAsia" w:ascii="黑体" w:hAnsi="黑体" w:eastAsia="黑体"/>
          <w:b w:val="0"/>
          <w:color w:val="auto"/>
          <w:highlight w:val="none"/>
          <w:lang w:eastAsia="zh-CN"/>
        </w:rPr>
      </w:pPr>
      <w:bookmarkStart w:id="80" w:name="_Toc15396618"/>
    </w:p>
    <w:p w14:paraId="557FDA66">
      <w:pPr>
        <w:numPr>
          <w:ilvl w:val="0"/>
          <w:numId w:val="0"/>
        </w:numPr>
        <w:spacing w:line="600" w:lineRule="exact"/>
        <w:ind w:leftChars="0"/>
        <w:jc w:val="center"/>
        <w:outlineLvl w:val="0"/>
        <w:rPr>
          <w:rFonts w:hint="eastAsia"/>
        </w:rPr>
      </w:pPr>
      <w:bookmarkStart w:id="81" w:name="_Toc21303"/>
      <w:r>
        <w:rPr>
          <w:rStyle w:val="30"/>
          <w:rFonts w:hint="eastAsia" w:ascii="黑体" w:hAnsi="黑体" w:eastAsia="黑体"/>
          <w:b w:val="0"/>
          <w:color w:val="auto"/>
          <w:highlight w:val="none"/>
          <w:lang w:eastAsia="zh-CN"/>
        </w:rPr>
        <w:t>第五部分</w:t>
      </w:r>
      <w:r>
        <w:rPr>
          <w:rStyle w:val="30"/>
          <w:rFonts w:hint="eastAsia" w:ascii="黑体" w:hAnsi="黑体" w:eastAsia="黑体"/>
          <w:b w:val="0"/>
          <w:color w:val="auto"/>
          <w:highlight w:val="none"/>
        </w:rPr>
        <w:t>附表</w:t>
      </w:r>
      <w:bookmarkEnd w:id="78"/>
      <w:bookmarkEnd w:id="80"/>
      <w:bookmarkEnd w:id="81"/>
      <w:bookmarkStart w:id="82" w:name="_Toc15396619"/>
    </w:p>
    <w:p w14:paraId="0CFCE672">
      <w:pPr>
        <w:numPr>
          <w:ilvl w:val="0"/>
          <w:numId w:val="0"/>
        </w:numPr>
        <w:spacing w:line="600" w:lineRule="exact"/>
        <w:ind w:leftChars="0"/>
        <w:jc w:val="both"/>
        <w:outlineLvl w:val="0"/>
        <w:rPr>
          <w:rFonts w:hint="eastAsia"/>
          <w:b/>
          <w:bCs/>
          <w:sz w:val="32"/>
          <w:szCs w:val="32"/>
        </w:rPr>
      </w:pPr>
      <w:bookmarkStart w:id="83" w:name="_Toc19325"/>
      <w:r>
        <w:rPr>
          <w:rFonts w:hint="eastAsia"/>
          <w:b/>
          <w:bCs/>
          <w:sz w:val="32"/>
          <w:szCs w:val="32"/>
        </w:rPr>
        <w:t>一、收入支出决算总表</w:t>
      </w:r>
      <w:bookmarkEnd w:id="82"/>
      <w:bookmarkEnd w:id="83"/>
    </w:p>
    <w:p w14:paraId="238263DB">
      <w:pPr>
        <w:pStyle w:val="4"/>
        <w:bidi w:val="0"/>
      </w:pPr>
      <w:bookmarkStart w:id="84" w:name="_Toc15396620"/>
      <w:bookmarkStart w:id="85" w:name="_Toc30569"/>
      <w:r>
        <w:rPr>
          <w:rFonts w:hint="eastAsia"/>
        </w:rPr>
        <w:t>二、收入决算表</w:t>
      </w:r>
      <w:bookmarkEnd w:id="84"/>
      <w:bookmarkEnd w:id="85"/>
    </w:p>
    <w:p w14:paraId="59818A79">
      <w:pPr>
        <w:pStyle w:val="4"/>
        <w:bidi w:val="0"/>
      </w:pPr>
      <w:bookmarkStart w:id="86" w:name="_Toc15396621"/>
      <w:bookmarkStart w:id="87" w:name="_Toc30361"/>
      <w:r>
        <w:rPr>
          <w:rFonts w:hint="eastAsia"/>
        </w:rPr>
        <w:t>三、支出决算表</w:t>
      </w:r>
      <w:bookmarkEnd w:id="86"/>
      <w:bookmarkEnd w:id="87"/>
    </w:p>
    <w:p w14:paraId="5BADE17C">
      <w:pPr>
        <w:pStyle w:val="4"/>
        <w:bidi w:val="0"/>
      </w:pPr>
      <w:bookmarkStart w:id="88" w:name="_Toc15396622"/>
      <w:bookmarkStart w:id="89" w:name="_Toc27804"/>
      <w:r>
        <w:rPr>
          <w:rFonts w:hint="eastAsia"/>
        </w:rPr>
        <w:t>四、财政拨款收入支出决算总表</w:t>
      </w:r>
      <w:bookmarkEnd w:id="88"/>
      <w:bookmarkEnd w:id="89"/>
    </w:p>
    <w:p w14:paraId="7D717EE7">
      <w:pPr>
        <w:pStyle w:val="4"/>
        <w:bidi w:val="0"/>
      </w:pPr>
      <w:bookmarkStart w:id="90" w:name="_Toc31371"/>
      <w:bookmarkStart w:id="91" w:name="_Toc15396623"/>
      <w:r>
        <w:rPr>
          <w:rFonts w:hint="eastAsia"/>
        </w:rPr>
        <w:t>五、财政拨款支出决算明细表</w:t>
      </w:r>
      <w:bookmarkEnd w:id="90"/>
      <w:bookmarkEnd w:id="91"/>
      <w:bookmarkStart w:id="92" w:name="_Toc15396624"/>
    </w:p>
    <w:p w14:paraId="6CE74C74">
      <w:pPr>
        <w:pStyle w:val="4"/>
        <w:bidi w:val="0"/>
      </w:pPr>
      <w:bookmarkStart w:id="93" w:name="_Toc24776"/>
      <w:r>
        <w:rPr>
          <w:rFonts w:hint="eastAsia"/>
        </w:rPr>
        <w:t>六、一般公共预算财政拨款支出决算表</w:t>
      </w:r>
      <w:bookmarkEnd w:id="92"/>
      <w:bookmarkEnd w:id="93"/>
    </w:p>
    <w:p w14:paraId="2FE345BC">
      <w:pPr>
        <w:pStyle w:val="4"/>
        <w:bidi w:val="0"/>
      </w:pPr>
      <w:bookmarkStart w:id="94" w:name="_Toc7714"/>
      <w:bookmarkStart w:id="95" w:name="_Toc15396625"/>
      <w:r>
        <w:rPr>
          <w:rFonts w:hint="eastAsia"/>
        </w:rPr>
        <w:t>七、一般公共预算财政拨款支出决算明细表</w:t>
      </w:r>
      <w:bookmarkEnd w:id="94"/>
      <w:bookmarkEnd w:id="95"/>
    </w:p>
    <w:p w14:paraId="582A28C4">
      <w:pPr>
        <w:pStyle w:val="4"/>
        <w:bidi w:val="0"/>
      </w:pPr>
      <w:bookmarkStart w:id="96" w:name="_Toc30034"/>
      <w:bookmarkStart w:id="97" w:name="_Toc15396626"/>
      <w:r>
        <w:rPr>
          <w:rFonts w:hint="eastAsia"/>
        </w:rPr>
        <w:t>八、一般公共预算财政拨款基本支出决算</w:t>
      </w:r>
      <w:r>
        <w:rPr>
          <w:rFonts w:hint="eastAsia"/>
          <w:lang w:eastAsia="zh-CN"/>
        </w:rPr>
        <w:t>明细</w:t>
      </w:r>
      <w:r>
        <w:rPr>
          <w:rFonts w:hint="eastAsia"/>
        </w:rPr>
        <w:t>表</w:t>
      </w:r>
      <w:bookmarkEnd w:id="96"/>
      <w:bookmarkEnd w:id="97"/>
    </w:p>
    <w:p w14:paraId="18AEDDC2">
      <w:pPr>
        <w:pStyle w:val="4"/>
        <w:bidi w:val="0"/>
      </w:pPr>
      <w:bookmarkStart w:id="98" w:name="_Toc15396627"/>
      <w:bookmarkStart w:id="99" w:name="_Toc25531"/>
      <w:r>
        <w:rPr>
          <w:rFonts w:hint="eastAsia"/>
        </w:rPr>
        <w:t>九、一般公共预算财政拨款项目支出决算表</w:t>
      </w:r>
      <w:bookmarkEnd w:id="98"/>
      <w:bookmarkEnd w:id="99"/>
    </w:p>
    <w:p w14:paraId="3625EEA8">
      <w:pPr>
        <w:pStyle w:val="4"/>
        <w:bidi w:val="0"/>
      </w:pPr>
      <w:bookmarkStart w:id="100" w:name="_Toc6018"/>
      <w:bookmarkStart w:id="101" w:name="_Toc15396628"/>
      <w:r>
        <w:rPr>
          <w:rFonts w:hint="eastAsia"/>
        </w:rPr>
        <w:t>十、政府性基金预算财政拨款收入支出决算表</w:t>
      </w:r>
      <w:bookmarkEnd w:id="100"/>
    </w:p>
    <w:bookmarkEnd w:id="101"/>
    <w:p w14:paraId="5AD92283">
      <w:pPr>
        <w:pStyle w:val="4"/>
        <w:numPr>
          <w:ilvl w:val="0"/>
          <w:numId w:val="3"/>
        </w:numPr>
        <w:bidi w:val="0"/>
        <w:ind w:left="0" w:leftChars="0" w:firstLine="0" w:firstLineChars="0"/>
        <w:rPr>
          <w:rFonts w:hint="eastAsia"/>
        </w:rPr>
      </w:pPr>
      <w:bookmarkStart w:id="102" w:name="_Toc11862"/>
      <w:bookmarkStart w:id="103" w:name="_Toc15396630"/>
      <w:r>
        <w:rPr>
          <w:rFonts w:hint="eastAsia"/>
        </w:rPr>
        <w:t>国有资本经营预算</w:t>
      </w:r>
      <w:r>
        <w:rPr>
          <w:rFonts w:hint="eastAsia"/>
          <w:lang w:eastAsia="zh-CN"/>
        </w:rPr>
        <w:t>财政拨款收入</w:t>
      </w:r>
      <w:r>
        <w:rPr>
          <w:rFonts w:hint="eastAsia"/>
        </w:rPr>
        <w:t>支出决算表</w:t>
      </w:r>
      <w:bookmarkEnd w:id="102"/>
    </w:p>
    <w:p w14:paraId="4A04492D">
      <w:pPr>
        <w:pStyle w:val="4"/>
        <w:numPr>
          <w:ilvl w:val="0"/>
          <w:numId w:val="3"/>
        </w:numPr>
        <w:bidi w:val="0"/>
        <w:ind w:left="0" w:leftChars="0" w:firstLine="0" w:firstLineChars="0"/>
      </w:pPr>
      <w:bookmarkStart w:id="104" w:name="_Toc1486"/>
      <w:r>
        <w:rPr>
          <w:rFonts w:hint="eastAsia"/>
          <w:lang w:eastAsia="zh-CN"/>
        </w:rPr>
        <w:t>国有资本经营预算财政拨款支出决算表</w:t>
      </w:r>
      <w:bookmarkEnd w:id="104"/>
    </w:p>
    <w:p w14:paraId="05ACFF1B">
      <w:pPr>
        <w:pStyle w:val="4"/>
        <w:numPr>
          <w:ilvl w:val="0"/>
          <w:numId w:val="3"/>
        </w:numPr>
        <w:bidi w:val="0"/>
        <w:ind w:left="0" w:leftChars="0" w:firstLine="0" w:firstLineChars="0"/>
      </w:pPr>
      <w:bookmarkStart w:id="105" w:name="_Toc21568"/>
      <w:r>
        <w:rPr>
          <w:rFonts w:hint="eastAsia"/>
        </w:rPr>
        <w:t>财政拨款“三公”经费支出决算表</w:t>
      </w:r>
      <w:bookmarkEnd w:id="103"/>
      <w:bookmarkEnd w:id="105"/>
    </w:p>
    <w:p w14:paraId="03DFCF62">
      <w:pPr>
        <w:pStyle w:val="4"/>
        <w:bidi w:val="0"/>
        <w:rPr>
          <w:rFonts w:hint="eastAsia"/>
          <w:lang w:eastAsia="zh-CN"/>
        </w:rPr>
      </w:pPr>
    </w:p>
    <w:p w14:paraId="4825D9CB">
      <w:pPr>
        <w:rPr>
          <w:rFonts w:hint="eastAsia" w:eastAsia="仿宋"/>
          <w:color w:val="auto"/>
          <w:highlight w:val="none"/>
          <w:lang w:eastAsia="zh-CN"/>
        </w:rPr>
      </w:pPr>
    </w:p>
    <w:sectPr>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84C503F-9CFE-415A-9CB1-0AAE748BB47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C9DF9CC2-BAF6-4D69-96A1-52BC1F09BD55}"/>
  </w:font>
  <w:font w:name="仿宋">
    <w:panose1 w:val="02010609060101010101"/>
    <w:charset w:val="86"/>
    <w:family w:val="modern"/>
    <w:pitch w:val="default"/>
    <w:sig w:usb0="800002BF" w:usb1="38CF7CFA" w:usb2="00000016" w:usb3="00000000" w:csb0="00040001" w:csb1="00000000"/>
    <w:embedRegular r:id="rId3" w:fontKey="{A5348571-8707-4506-8A70-8B5077DE354D}"/>
  </w:font>
  <w:font w:name="Cambria">
    <w:panose1 w:val="02040503050406030204"/>
    <w:charset w:val="00"/>
    <w:family w:val="roman"/>
    <w:pitch w:val="default"/>
    <w:sig w:usb0="E00002FF" w:usb1="400004FF" w:usb2="00000000" w:usb3="00000000" w:csb0="2000019F" w:csb1="00000000"/>
    <w:embedRegular r:id="rId4" w:fontKey="{96C9B1B8-0963-4408-8B26-5A45C8C31784}"/>
  </w:font>
  <w:font w:name="方正小标宋简体">
    <w:panose1 w:val="02000000000000000000"/>
    <w:charset w:val="86"/>
    <w:family w:val="script"/>
    <w:pitch w:val="default"/>
    <w:sig w:usb0="00000001" w:usb1="080E0000" w:usb2="00000000" w:usb3="00000000" w:csb0="00040000" w:csb1="00000000"/>
    <w:embedRegular r:id="rId5" w:fontKey="{578921FB-6456-442E-A206-698D5D1CA80F}"/>
  </w:font>
  <w:font w:name="仿宋_GB2312">
    <w:panose1 w:val="02010609030101010101"/>
    <w:charset w:val="86"/>
    <w:family w:val="modern"/>
    <w:pitch w:val="default"/>
    <w:sig w:usb0="00000001" w:usb1="080E0000" w:usb2="00000000" w:usb3="00000000" w:csb0="00040000" w:csb1="00000000"/>
    <w:embedRegular r:id="rId6" w:fontKey="{41285C0D-92AD-4599-A41C-398221A54B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0AF52521">
        <w:pPr>
          <w:pStyle w:val="12"/>
          <w:jc w:val="center"/>
        </w:pPr>
        <w:r>
          <w:fldChar w:fldCharType="begin"/>
        </w:r>
        <w:r>
          <w:instrText xml:space="preserve">PAGE   \* MERGEFORMAT</w:instrText>
        </w:r>
        <w:r>
          <w:fldChar w:fldCharType="separate"/>
        </w:r>
        <w:r>
          <w:rPr>
            <w:lang w:val="zh-CN"/>
          </w:rPr>
          <w:t>8</w:t>
        </w:r>
        <w:r>
          <w:fldChar w:fldCharType="end"/>
        </w:r>
      </w:p>
    </w:sdtContent>
  </w:sdt>
  <w:p w14:paraId="36BD0FFC">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8336"/>
    </w:sdtPr>
    <w:sdtContent>
      <w:p w14:paraId="310533A4">
        <w:pPr>
          <w:pStyle w:val="12"/>
          <w:jc w:val="center"/>
        </w:pPr>
        <w:r>
          <w:fldChar w:fldCharType="begin"/>
        </w:r>
        <w:r>
          <w:instrText xml:space="preserve">PAGE   \* MERGEFORMAT</w:instrText>
        </w:r>
        <w:r>
          <w:fldChar w:fldCharType="separate"/>
        </w:r>
        <w:r>
          <w:rPr>
            <w:lang w:val="zh-CN"/>
          </w:rPr>
          <w:t>8</w:t>
        </w:r>
        <w:r>
          <w:fldChar w:fldCharType="end"/>
        </w:r>
      </w:p>
    </w:sdtContent>
  </w:sdt>
  <w:p w14:paraId="7D161D94">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B9505">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C570F">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ED71C9C"/>
    <w:multiLevelType w:val="singleLevel"/>
    <w:tmpl w:val="DED71C9C"/>
    <w:lvl w:ilvl="0" w:tentative="0">
      <w:start w:val="1"/>
      <w:numFmt w:val="decimal"/>
      <w:lvlText w:val="%1."/>
      <w:lvlJc w:val="left"/>
      <w:pPr>
        <w:tabs>
          <w:tab w:val="left" w:pos="312"/>
        </w:tabs>
      </w:pPr>
    </w:lvl>
  </w:abstractNum>
  <w:abstractNum w:abstractNumId="2">
    <w:nsid w:val="E2FA047D"/>
    <w:multiLevelType w:val="singleLevel"/>
    <w:tmpl w:val="E2FA047D"/>
    <w:lvl w:ilvl="0" w:tentative="0">
      <w:start w:val="3"/>
      <w:numFmt w:val="chineseCounting"/>
      <w:suff w:val="space"/>
      <w:lvlText w:val="第%1部分"/>
      <w:lvlJc w:val="left"/>
      <w:rPr>
        <w:rFonts w:hint="eastAsia"/>
        <w:b/>
        <w:bCs/>
        <w:sz w:val="44"/>
        <w:szCs w:val="44"/>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38E3799"/>
    <w:rsid w:val="066E0107"/>
    <w:rsid w:val="07996F6E"/>
    <w:rsid w:val="0A2032A3"/>
    <w:rsid w:val="0CAE50FC"/>
    <w:rsid w:val="0CF71EEF"/>
    <w:rsid w:val="0E3B0EDB"/>
    <w:rsid w:val="0EE86120"/>
    <w:rsid w:val="0F0830D8"/>
    <w:rsid w:val="101860EC"/>
    <w:rsid w:val="10C055FF"/>
    <w:rsid w:val="11205904"/>
    <w:rsid w:val="115D4E4C"/>
    <w:rsid w:val="11742A6F"/>
    <w:rsid w:val="118107EC"/>
    <w:rsid w:val="13D50BC4"/>
    <w:rsid w:val="16BB723D"/>
    <w:rsid w:val="1AB118EE"/>
    <w:rsid w:val="1AFA3008"/>
    <w:rsid w:val="1BE8440E"/>
    <w:rsid w:val="1D155CEE"/>
    <w:rsid w:val="1D6B43AB"/>
    <w:rsid w:val="1D966FB6"/>
    <w:rsid w:val="20467B9F"/>
    <w:rsid w:val="23031329"/>
    <w:rsid w:val="23860B96"/>
    <w:rsid w:val="240371BF"/>
    <w:rsid w:val="241F2972"/>
    <w:rsid w:val="27684462"/>
    <w:rsid w:val="29FD04D3"/>
    <w:rsid w:val="2C8A61B5"/>
    <w:rsid w:val="2D294976"/>
    <w:rsid w:val="2DF04E50"/>
    <w:rsid w:val="2EEF76BE"/>
    <w:rsid w:val="303C62B0"/>
    <w:rsid w:val="319F7F4E"/>
    <w:rsid w:val="31AD54D9"/>
    <w:rsid w:val="3479669F"/>
    <w:rsid w:val="35BB7C07"/>
    <w:rsid w:val="367D0870"/>
    <w:rsid w:val="36AA5135"/>
    <w:rsid w:val="37E16F03"/>
    <w:rsid w:val="37EF46E1"/>
    <w:rsid w:val="38C5750B"/>
    <w:rsid w:val="38CA3C25"/>
    <w:rsid w:val="3D3C4A51"/>
    <w:rsid w:val="3D98207C"/>
    <w:rsid w:val="3DCC49C7"/>
    <w:rsid w:val="44E268DA"/>
    <w:rsid w:val="4A627F82"/>
    <w:rsid w:val="4B4F25DA"/>
    <w:rsid w:val="4BE068DB"/>
    <w:rsid w:val="4BFA56D5"/>
    <w:rsid w:val="4C481197"/>
    <w:rsid w:val="4D230240"/>
    <w:rsid w:val="4D577224"/>
    <w:rsid w:val="4EAB630A"/>
    <w:rsid w:val="4ECE2238"/>
    <w:rsid w:val="514B6B64"/>
    <w:rsid w:val="58C57556"/>
    <w:rsid w:val="5AF92295"/>
    <w:rsid w:val="5B1913C0"/>
    <w:rsid w:val="5C08686E"/>
    <w:rsid w:val="5CD71FC4"/>
    <w:rsid w:val="5FEA06E5"/>
    <w:rsid w:val="62D901E5"/>
    <w:rsid w:val="63705CD8"/>
    <w:rsid w:val="64260FB6"/>
    <w:rsid w:val="691602F4"/>
    <w:rsid w:val="6C3A32CA"/>
    <w:rsid w:val="6C4A05C8"/>
    <w:rsid w:val="6D6E3AC8"/>
    <w:rsid w:val="6E7E3605"/>
    <w:rsid w:val="6FF5CC65"/>
    <w:rsid w:val="7065725D"/>
    <w:rsid w:val="70AF17AC"/>
    <w:rsid w:val="70EF6BF1"/>
    <w:rsid w:val="715C0E4B"/>
    <w:rsid w:val="72734D90"/>
    <w:rsid w:val="73AD73D5"/>
    <w:rsid w:val="73B6EB34"/>
    <w:rsid w:val="74496BF1"/>
    <w:rsid w:val="76536E1B"/>
    <w:rsid w:val="778C0E71"/>
    <w:rsid w:val="79EE5BA4"/>
    <w:rsid w:val="7A894339"/>
    <w:rsid w:val="7E16558E"/>
    <w:rsid w:val="7EEF11D3"/>
    <w:rsid w:val="7FA30C79"/>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9">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widowControl w:val="0"/>
      <w:spacing w:line="700" w:lineRule="exact"/>
      <w:jc w:val="center"/>
    </w:pPr>
    <w:rPr>
      <w:rFonts w:ascii="Times New Roman" w:hAnsi="Times New Roman" w:eastAsia="方正小标宋简体" w:cs="Times New Roman"/>
      <w:kern w:val="1"/>
      <w:sz w:val="44"/>
      <w:szCs w:val="44"/>
      <w:lang w:val="en-US" w:eastAsia="zh-CN" w:bidi="ar-SA"/>
    </w:rPr>
  </w:style>
  <w:style w:type="paragraph" w:styleId="6">
    <w:name w:val="annotation text"/>
    <w:basedOn w:val="1"/>
    <w:semiHidden/>
    <w:unhideWhenUsed/>
    <w:qFormat/>
    <w:uiPriority w:val="99"/>
    <w:pPr>
      <w:jc w:val="left"/>
    </w:pPr>
  </w:style>
  <w:style w:type="paragraph" w:styleId="7">
    <w:name w:val="Body Text"/>
    <w:basedOn w:val="1"/>
    <w:link w:val="27"/>
    <w:qFormat/>
    <w:uiPriority w:val="99"/>
    <w:pPr>
      <w:spacing w:beforeLines="30"/>
    </w:pPr>
    <w:rPr>
      <w:rFonts w:ascii="仿宋_GB2312" w:eastAsia="仿宋_GB2312"/>
      <w:kern w:val="0"/>
      <w:sz w:val="30"/>
    </w:rPr>
  </w:style>
  <w:style w:type="paragraph" w:styleId="8">
    <w:name w:val="Body Text Indent"/>
    <w:basedOn w:val="1"/>
    <w:next w:val="9"/>
    <w:unhideWhenUsed/>
    <w:qFormat/>
    <w:uiPriority w:val="99"/>
    <w:pPr>
      <w:ind w:firstLine="540"/>
    </w:pPr>
    <w:rPr>
      <w:sz w:val="30"/>
    </w:rPr>
  </w:style>
  <w:style w:type="paragraph" w:styleId="9">
    <w:name w:val="Body Text First Indent 2"/>
    <w:basedOn w:val="8"/>
    <w:unhideWhenUsed/>
    <w:qFormat/>
    <w:uiPriority w:val="99"/>
    <w:pPr>
      <w:ind w:firstLine="420" w:firstLineChars="200"/>
    </w:pPr>
  </w:style>
  <w:style w:type="paragraph" w:styleId="10">
    <w:name w:val="toc 3"/>
    <w:basedOn w:val="1"/>
    <w:next w:val="1"/>
    <w:unhideWhenUsed/>
    <w:qFormat/>
    <w:uiPriority w:val="39"/>
    <w:pPr>
      <w:tabs>
        <w:tab w:val="right" w:leader="dot" w:pos="8296"/>
      </w:tabs>
      <w:ind w:left="840" w:leftChars="400"/>
    </w:pPr>
  </w:style>
  <w:style w:type="paragraph" w:styleId="11">
    <w:name w:val="Balloon Text"/>
    <w:basedOn w:val="1"/>
    <w:link w:val="33"/>
    <w:unhideWhenUsed/>
    <w:qFormat/>
    <w:uiPriority w:val="99"/>
    <w:rPr>
      <w:sz w:val="18"/>
      <w:szCs w:val="18"/>
    </w:rPr>
  </w:style>
  <w:style w:type="paragraph" w:styleId="12">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footnote text"/>
    <w:basedOn w:val="1"/>
    <w:next w:val="9"/>
    <w:semiHidden/>
    <w:qFormat/>
    <w:uiPriority w:val="0"/>
    <w:pPr>
      <w:snapToGrid w:val="0"/>
      <w:jc w:val="left"/>
    </w:pPr>
    <w:rPr>
      <w:sz w:val="18"/>
      <w:szCs w:val="18"/>
    </w:rPr>
  </w:style>
  <w:style w:type="paragraph" w:styleId="16">
    <w:name w:val="toc 2"/>
    <w:basedOn w:val="1"/>
    <w:next w:val="1"/>
    <w:unhideWhenUsed/>
    <w:qFormat/>
    <w:uiPriority w:val="39"/>
    <w:pPr>
      <w:tabs>
        <w:tab w:val="right" w:leader="dot" w:pos="8296"/>
      </w:tabs>
      <w:ind w:left="420" w:leftChars="200"/>
    </w:pPr>
  </w:style>
  <w:style w:type="paragraph" w:styleId="17">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customStyle="1" w:styleId="22">
    <w:name w:val="Header Char"/>
    <w:basedOn w:val="19"/>
    <w:semiHidden/>
    <w:qFormat/>
    <w:uiPriority w:val="99"/>
    <w:rPr>
      <w:rFonts w:ascii="Times New Roman" w:hAnsi="Times New Roman"/>
      <w:sz w:val="18"/>
      <w:szCs w:val="18"/>
    </w:rPr>
  </w:style>
  <w:style w:type="character" w:customStyle="1" w:styleId="23">
    <w:name w:val="页眉 Char"/>
    <w:link w:val="13"/>
    <w:semiHidden/>
    <w:qFormat/>
    <w:locked/>
    <w:uiPriority w:val="99"/>
    <w:rPr>
      <w:sz w:val="18"/>
    </w:rPr>
  </w:style>
  <w:style w:type="character" w:customStyle="1" w:styleId="24">
    <w:name w:val="Footer Char"/>
    <w:basedOn w:val="19"/>
    <w:semiHidden/>
    <w:qFormat/>
    <w:uiPriority w:val="99"/>
    <w:rPr>
      <w:rFonts w:ascii="Times New Roman" w:hAnsi="Times New Roman"/>
      <w:sz w:val="18"/>
      <w:szCs w:val="18"/>
    </w:rPr>
  </w:style>
  <w:style w:type="character" w:customStyle="1" w:styleId="25">
    <w:name w:val="页脚 Char"/>
    <w:link w:val="12"/>
    <w:qFormat/>
    <w:locked/>
    <w:uiPriority w:val="99"/>
    <w:rPr>
      <w:sz w:val="18"/>
    </w:rPr>
  </w:style>
  <w:style w:type="character" w:customStyle="1" w:styleId="26">
    <w:name w:val="Body Text Char"/>
    <w:basedOn w:val="19"/>
    <w:semiHidden/>
    <w:qFormat/>
    <w:uiPriority w:val="99"/>
    <w:rPr>
      <w:rFonts w:ascii="Times New Roman" w:hAnsi="Times New Roman"/>
      <w:szCs w:val="24"/>
    </w:rPr>
  </w:style>
  <w:style w:type="character" w:customStyle="1" w:styleId="27">
    <w:name w:val="正文文本 Char"/>
    <w:link w:val="7"/>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9">
    <w:name w:val="List Paragraph"/>
    <w:basedOn w:val="1"/>
    <w:qFormat/>
    <w:uiPriority w:val="34"/>
    <w:pPr>
      <w:ind w:firstLine="420" w:firstLineChars="200"/>
    </w:pPr>
  </w:style>
  <w:style w:type="character" w:customStyle="1" w:styleId="30">
    <w:name w:val="标题 1 Char"/>
    <w:basedOn w:val="19"/>
    <w:link w:val="3"/>
    <w:qFormat/>
    <w:uiPriority w:val="9"/>
    <w:rPr>
      <w:rFonts w:ascii="Times New Roman" w:hAnsi="Times New Roman"/>
      <w:b/>
      <w:bCs/>
      <w:kern w:val="44"/>
      <w:sz w:val="44"/>
      <w:szCs w:val="44"/>
    </w:rPr>
  </w:style>
  <w:style w:type="character" w:customStyle="1" w:styleId="31">
    <w:name w:val="标题 2 Char"/>
    <w:basedOn w:val="19"/>
    <w:link w:val="4"/>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19"/>
    <w:link w:val="11"/>
    <w:semiHidden/>
    <w:qFormat/>
    <w:uiPriority w:val="99"/>
    <w:rPr>
      <w:rFonts w:ascii="Times New Roman" w:hAnsi="Times New Roman"/>
      <w:kern w:val="2"/>
      <w:sz w:val="18"/>
      <w:szCs w:val="18"/>
    </w:rPr>
  </w:style>
  <w:style w:type="character" w:customStyle="1" w:styleId="34">
    <w:name w:val="标题 3 Char"/>
    <w:basedOn w:val="19"/>
    <w:link w:val="5"/>
    <w:qFormat/>
    <w:uiPriority w:val="9"/>
    <w:rPr>
      <w:rFonts w:ascii="Times New Roman" w:hAnsi="Times New Roman"/>
      <w:b/>
      <w:bCs/>
      <w:kern w:val="2"/>
      <w:sz w:val="32"/>
      <w:szCs w:val="32"/>
    </w:r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标题 2 字符"/>
    <w:link w:val="4"/>
    <w:qFormat/>
    <w:locked/>
    <w:uiPriority w:val="9"/>
    <w:rPr>
      <w:rFonts w:ascii="Cambria" w:hAnsi="Cambria" w:eastAsia="宋体" w:cs="Times New Roman"/>
      <w:b/>
      <w:bCs/>
      <w:kern w:val="2"/>
      <w:sz w:val="32"/>
      <w:szCs w:val="32"/>
    </w:rPr>
  </w:style>
  <w:style w:type="paragraph" w:customStyle="1" w:styleId="37">
    <w:name w:val="WPSOffice手动目录 1"/>
    <w:qFormat/>
    <w:uiPriority w:val="0"/>
    <w:pPr>
      <w:ind w:leftChars="0"/>
    </w:pPr>
    <w:rPr>
      <w:rFonts w:asciiTheme="minorHAnsi" w:hAnsiTheme="minorHAnsi" w:eastAsiaTheme="minorEastAsia" w:cstheme="minorBidi"/>
      <w:sz w:val="20"/>
      <w:szCs w:val="20"/>
    </w:rPr>
  </w:style>
  <w:style w:type="paragraph" w:customStyle="1" w:styleId="38">
    <w:name w:val="WPSOffice手动目录 2"/>
    <w:qFormat/>
    <w:uiPriority w:val="0"/>
    <w:pPr>
      <w:ind w:leftChars="200"/>
    </w:pPr>
    <w:rPr>
      <w:rFonts w:asciiTheme="minorHAnsi" w:hAnsiTheme="minorHAnsi" w:eastAsiaTheme="minorEastAsia" w:cstheme="minorBidi"/>
      <w:sz w:val="20"/>
      <w:szCs w:val="20"/>
    </w:rPr>
  </w:style>
  <w:style w:type="character" w:customStyle="1" w:styleId="39">
    <w:name w:val="NormalCharacter"/>
    <w:qFormat/>
    <w:uiPriority w:val="0"/>
    <w:rPr>
      <w:rFonts w:ascii="Calibri" w:hAnsi="Calibri" w:eastAsia="宋体" w:cs="Times New Roman"/>
      <w:color w:val="auto"/>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28</Pages>
  <Words>6846</Words>
  <Characters>7407</Characters>
  <Lines>61</Lines>
  <Paragraphs>17</Paragraphs>
  <TotalTime>2</TotalTime>
  <ScaleCrop>false</ScaleCrop>
  <LinksUpToDate>false</LinksUpToDate>
  <CharactersWithSpaces>7908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碧云天</cp:lastModifiedBy>
  <cp:lastPrinted>2023-10-25T06:12:00Z</cp:lastPrinted>
  <dcterms:modified xsi:type="dcterms:W3CDTF">2024-10-17T02:48:09Z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B8E1FE5C6DC64AB9AA607B49FD4EDE43</vt:lpwstr>
  </property>
</Properties>
</file>