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F21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项目支出绩效自评报告</w:t>
      </w:r>
    </w:p>
    <w:p w14:paraId="5C9668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宋体"/>
        </w:rPr>
      </w:pPr>
      <w:r>
        <w:rPr>
          <w:rFonts w:hint="eastAsia" w:ascii="仿宋_GB2312" w:hAnsi="宋体"/>
        </w:rPr>
        <w:t>（</w:t>
      </w:r>
      <w:r>
        <w:rPr>
          <w:rFonts w:hint="eastAsia" w:ascii="仿宋_GB2312" w:hAnsi="宋体"/>
          <w:lang w:eastAsia="zh-CN"/>
        </w:rPr>
        <w:t>企业军转干部生活困难补助</w:t>
      </w:r>
      <w:r>
        <w:rPr>
          <w:rFonts w:hint="eastAsia" w:ascii="仿宋_GB2312" w:hAnsi="宋体"/>
        </w:rPr>
        <w:t>）</w:t>
      </w:r>
    </w:p>
    <w:p w14:paraId="5585FB8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 w14:paraId="21B57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4AD17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（一）项目基本情况。</w:t>
      </w:r>
    </w:p>
    <w:p w14:paraId="0E665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lang w:val="zh-CN"/>
        </w:rPr>
        <w:t>1．</w:t>
      </w:r>
      <w:r>
        <w:rPr>
          <w:rFonts w:hint="eastAsia" w:ascii="仿宋_GB2312" w:hAnsi="宋体"/>
          <w:color w:val="auto"/>
          <w:lang w:val="zh-CN"/>
        </w:rPr>
        <w:t>项目主管部门（单位）在该项目管理中的职能。</w:t>
      </w:r>
      <w:r>
        <w:rPr>
          <w:rFonts w:hint="eastAsia" w:ascii="仿宋_GB2312" w:hAnsi="宋体"/>
          <w:color w:val="auto"/>
          <w:lang w:val="en-US" w:eastAsia="zh-CN"/>
        </w:rPr>
        <w:t>我单位相关业务股室作为该项目实施的责任人，办公室及局党组为该项目的监督责任人。</w:t>
      </w:r>
    </w:p>
    <w:p w14:paraId="3082662C">
      <w:pPr>
        <w:adjustRightInd w:val="0"/>
        <w:snapToGrid w:val="0"/>
        <w:spacing w:line="52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/>
          <w:lang w:val="zh-CN"/>
        </w:rPr>
        <w:t>2．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根据中央、省、市有关解困政策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发放企业退休军转干部经费，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切实解决他们的实际困难，体现党委政府对企业军转干部的关怀。</w:t>
      </w:r>
      <w:r>
        <w:rPr>
          <w:rFonts w:hint="eastAsia" w:ascii="仿宋_GB2312" w:hAnsi="宋体" w:eastAsia="仿宋_GB2312"/>
          <w:sz w:val="32"/>
          <w:szCs w:val="32"/>
        </w:rPr>
        <w:t>所需资金由所属地县（市、区）政府负责落实并足额发放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。</w:t>
      </w:r>
    </w:p>
    <w:p w14:paraId="1EF01B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</w:p>
    <w:p w14:paraId="3D8349CE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绩效目标和指标设置按我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县企业退休军转干部实际人数</w:t>
      </w:r>
      <w:r>
        <w:rPr>
          <w:rFonts w:hint="eastAsia" w:ascii="仿宋_GB2312" w:hAnsi="宋体" w:eastAsia="仿宋_GB2312"/>
          <w:sz w:val="32"/>
          <w:szCs w:val="32"/>
        </w:rPr>
        <w:t>设置，设置</w:t>
      </w:r>
      <w:r>
        <w:rPr>
          <w:rFonts w:hint="eastAsia" w:ascii="仿宋_GB2312" w:hAnsi="宋体"/>
          <w:sz w:val="32"/>
          <w:szCs w:val="32"/>
          <w:lang w:eastAsia="zh-CN"/>
        </w:rPr>
        <w:t>量化</w:t>
      </w:r>
      <w:r>
        <w:rPr>
          <w:rFonts w:hint="eastAsia" w:ascii="仿宋_GB2312" w:hAnsi="宋体" w:eastAsia="仿宋_GB2312"/>
          <w:sz w:val="32"/>
          <w:szCs w:val="32"/>
        </w:rPr>
        <w:t>考核，与实际支出数匹配，符合项目实质。</w:t>
      </w:r>
    </w:p>
    <w:p w14:paraId="144D65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color w:val="auto"/>
          <w:lang w:val="zh-CN"/>
        </w:rPr>
        <w:t>项目实施进度计划</w:t>
      </w:r>
      <w:r>
        <w:rPr>
          <w:rFonts w:hint="eastAsia" w:ascii="仿宋_GB2312" w:hAnsi="宋体"/>
          <w:color w:val="auto"/>
          <w:lang w:val="en-US" w:eastAsia="zh-CN"/>
        </w:rPr>
        <w:t>及资金拨付据实据效。</w:t>
      </w:r>
    </w:p>
    <w:p w14:paraId="5879FE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3．分析评价申报内容是否与实际相符，申报目标是否合理可行。</w:t>
      </w:r>
      <w:r>
        <w:rPr>
          <w:rFonts w:hint="eastAsia" w:ascii="仿宋_GB2312" w:hAnsi="宋体"/>
          <w:lang w:val="en-US" w:eastAsia="zh-CN"/>
        </w:rPr>
        <w:t>与实际相符，申报目标合理可行。</w:t>
      </w:r>
    </w:p>
    <w:p w14:paraId="5843A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（三）项目自评步骤及方法。</w:t>
      </w:r>
    </w:p>
    <w:p w14:paraId="30A20E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color w:val="auto"/>
          <w:lang w:val="en-US" w:eastAsia="zh-CN"/>
        </w:rPr>
        <w:t>该</w:t>
      </w:r>
      <w:r>
        <w:rPr>
          <w:rFonts w:hint="eastAsia" w:ascii="仿宋_GB2312" w:hAnsi="宋体"/>
          <w:color w:val="auto"/>
          <w:lang w:val="zh-CN"/>
        </w:rPr>
        <w:t>项目绩效自评</w:t>
      </w:r>
      <w:r>
        <w:rPr>
          <w:rFonts w:hint="eastAsia" w:ascii="仿宋_GB2312" w:hAnsi="宋体"/>
          <w:color w:val="auto"/>
          <w:lang w:val="en-US" w:eastAsia="zh-CN"/>
        </w:rPr>
        <w:t>根据项目支出绩效评价指标体系内容，结合工作开展情况，逐项量化评价。</w:t>
      </w:r>
    </w:p>
    <w:p w14:paraId="5B998A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二、项目资金申报及使用情况</w:t>
      </w:r>
    </w:p>
    <w:p w14:paraId="241388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</w:p>
    <w:p w14:paraId="76AC5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color w:val="auto"/>
          <w:lang w:val="en-US" w:eastAsia="zh-CN"/>
        </w:rPr>
        <w:t>该项目</w:t>
      </w:r>
      <w:r>
        <w:rPr>
          <w:rFonts w:hint="eastAsia" w:ascii="仿宋_GB2312" w:hAnsi="宋体"/>
          <w:color w:val="auto"/>
          <w:lang w:val="zh-CN"/>
        </w:rPr>
        <w:t>资金</w:t>
      </w:r>
      <w:r>
        <w:rPr>
          <w:rFonts w:hint="eastAsia" w:ascii="仿宋_GB2312" w:hAnsi="宋体"/>
          <w:color w:val="auto"/>
          <w:lang w:val="en-US" w:eastAsia="zh-CN"/>
        </w:rPr>
        <w:t>按照财政预算流程经一上、一下、二上、二下、人民代表大会讨论审定、财政批复进行预算下达，资金使用据实逐月向财政申请。</w:t>
      </w:r>
    </w:p>
    <w:p w14:paraId="1AC6E0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（二）资金计划、到位及使用情况（可用表格形式反映）。</w:t>
      </w:r>
    </w:p>
    <w:p w14:paraId="7E8B3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color w:val="auto"/>
          <w:lang w:val="zh-CN"/>
        </w:rPr>
      </w:pPr>
      <w:r>
        <w:rPr>
          <w:rFonts w:hint="eastAsia" w:ascii="楷体_GB2312" w:hAnsi="宋体" w:eastAsia="楷体_GB2312"/>
          <w:color w:val="auto"/>
          <w:lang w:val="zh-CN"/>
        </w:rPr>
        <w:t>1．资金计划。</w:t>
      </w:r>
      <w:r>
        <w:rPr>
          <w:rFonts w:hint="eastAsia" w:ascii="仿宋_GB2312" w:hAnsi="宋体"/>
          <w:color w:val="auto"/>
          <w:lang w:val="zh-CN"/>
        </w:rPr>
        <w:t>该项目资金计划</w:t>
      </w:r>
      <w:r>
        <w:rPr>
          <w:rFonts w:hint="eastAsia" w:ascii="仿宋_GB2312" w:hAnsi="宋体"/>
          <w:color w:val="auto"/>
          <w:lang w:val="en-US" w:eastAsia="zh-CN"/>
        </w:rPr>
        <w:t>全部由县本级财政预算。无</w:t>
      </w:r>
      <w:r>
        <w:rPr>
          <w:rFonts w:hint="eastAsia" w:ascii="仿宋_GB2312" w:hAnsi="宋体"/>
          <w:color w:val="auto"/>
          <w:lang w:val="zh-CN"/>
        </w:rPr>
        <w:t>单位自筹、其他渠道资金。</w:t>
      </w:r>
    </w:p>
    <w:p w14:paraId="55ACEB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楷体_GB2312" w:hAnsi="宋体" w:eastAsia="楷体_GB2312"/>
          <w:color w:val="auto"/>
          <w:lang w:val="zh-CN"/>
        </w:rPr>
        <w:t>2．资金到位。</w:t>
      </w:r>
      <w:r>
        <w:rPr>
          <w:rFonts w:hint="eastAsia" w:ascii="仿宋_GB2312" w:hAnsi="宋体"/>
          <w:color w:val="auto"/>
          <w:lang w:val="zh-CN"/>
        </w:rPr>
        <w:t>该项目资金截止评价时点，</w:t>
      </w:r>
      <w:r>
        <w:rPr>
          <w:rFonts w:hint="eastAsia" w:ascii="仿宋_GB2312" w:hAnsi="宋体"/>
          <w:color w:val="auto"/>
          <w:lang w:val="en-US" w:eastAsia="zh-CN"/>
        </w:rPr>
        <w:t>该项目预算为55.26万元，我单位按时按实向财政申请55.26万元已全部及时</w:t>
      </w:r>
      <w:r>
        <w:rPr>
          <w:rFonts w:hint="eastAsia" w:ascii="仿宋_GB2312" w:hAnsi="宋体"/>
          <w:color w:val="auto"/>
          <w:lang w:val="zh-CN"/>
        </w:rPr>
        <w:t>到位，</w:t>
      </w:r>
      <w:r>
        <w:rPr>
          <w:rFonts w:hint="eastAsia" w:ascii="仿宋_GB2312" w:hAnsi="宋体"/>
          <w:color w:val="auto"/>
          <w:lang w:val="en-US" w:eastAsia="zh-CN"/>
        </w:rPr>
        <w:t>均为本级财政安排。</w:t>
      </w:r>
    </w:p>
    <w:p w14:paraId="4A6ECDC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color w:val="auto"/>
          <w:lang w:val="zh-CN"/>
        </w:rPr>
      </w:pPr>
      <w:r>
        <w:rPr>
          <w:rFonts w:hint="eastAsia" w:ascii="楷体_GB2312" w:hAnsi="宋体" w:eastAsia="楷体_GB2312"/>
          <w:color w:val="auto"/>
          <w:lang w:val="zh-CN"/>
        </w:rPr>
        <w:t>资金使用。</w:t>
      </w:r>
      <w:r>
        <w:rPr>
          <w:rFonts w:hint="eastAsia" w:ascii="仿宋_GB2312" w:hAnsi="宋体"/>
          <w:color w:val="auto"/>
          <w:lang w:val="zh-CN"/>
        </w:rPr>
        <w:t>该项目资金截至评价时点，</w:t>
      </w:r>
      <w:r>
        <w:rPr>
          <w:rFonts w:hint="eastAsia" w:ascii="仿宋_GB2312" w:hAnsi="宋体"/>
          <w:color w:val="auto"/>
          <w:lang w:val="en-US" w:eastAsia="zh-CN"/>
        </w:rPr>
        <w:t>按实已全部</w:t>
      </w:r>
      <w:r>
        <w:rPr>
          <w:rFonts w:hint="eastAsia" w:ascii="仿宋_GB2312" w:hAnsi="宋体"/>
          <w:color w:val="auto"/>
          <w:lang w:val="zh-CN"/>
        </w:rPr>
        <w:t>支出，</w:t>
      </w:r>
      <w:r>
        <w:rPr>
          <w:rFonts w:hint="eastAsia" w:ascii="仿宋_GB2312" w:hAnsi="宋体"/>
          <w:color w:val="auto"/>
          <w:lang w:val="en-US" w:eastAsia="zh-CN"/>
        </w:rPr>
        <w:t>支付</w:t>
      </w:r>
      <w:r>
        <w:rPr>
          <w:rFonts w:hint="eastAsia" w:ascii="仿宋_GB2312" w:hAnsi="宋体"/>
          <w:color w:val="auto"/>
          <w:lang w:val="zh-CN"/>
        </w:rPr>
        <w:t>范围、支付标准、支付进度、支付依据等</w:t>
      </w:r>
      <w:r>
        <w:rPr>
          <w:rFonts w:hint="eastAsia" w:ascii="仿宋_GB2312" w:hAnsi="宋体"/>
          <w:color w:val="auto"/>
          <w:lang w:val="en-US" w:eastAsia="zh-CN"/>
        </w:rPr>
        <w:t>均</w:t>
      </w:r>
      <w:r>
        <w:rPr>
          <w:rFonts w:hint="eastAsia" w:ascii="仿宋_GB2312" w:hAnsi="宋体"/>
          <w:color w:val="auto"/>
          <w:lang w:val="zh-CN"/>
        </w:rPr>
        <w:t>合规合法、与预算相符。资金</w:t>
      </w:r>
      <w:r>
        <w:rPr>
          <w:rFonts w:hint="eastAsia" w:ascii="仿宋_GB2312" w:hAnsi="宋体"/>
          <w:color w:val="auto"/>
          <w:lang w:val="en-US" w:eastAsia="zh-CN"/>
        </w:rPr>
        <w:t>拨付全部通过银行转账，安全性高</w:t>
      </w:r>
      <w:r>
        <w:rPr>
          <w:rFonts w:hint="eastAsia" w:ascii="仿宋_GB2312" w:hAnsi="宋体"/>
          <w:color w:val="auto"/>
          <w:lang w:val="zh-CN"/>
        </w:rPr>
        <w:t>；</w:t>
      </w:r>
      <w:r>
        <w:rPr>
          <w:rFonts w:hint="eastAsia" w:ascii="仿宋_GB2312" w:hAnsi="宋体"/>
          <w:color w:val="auto"/>
          <w:lang w:val="en-US" w:eastAsia="zh-CN"/>
        </w:rPr>
        <w:t>资金拨付按照财政资金列支程序实施，</w:t>
      </w:r>
      <w:r>
        <w:rPr>
          <w:rFonts w:hint="eastAsia" w:ascii="仿宋_GB2312" w:hAnsi="宋体"/>
          <w:color w:val="auto"/>
          <w:lang w:val="zh-CN"/>
        </w:rPr>
        <w:t>规范性</w:t>
      </w:r>
      <w:r>
        <w:rPr>
          <w:rFonts w:hint="eastAsia" w:ascii="仿宋_GB2312" w:hAnsi="宋体"/>
          <w:color w:val="auto"/>
          <w:lang w:val="en-US" w:eastAsia="zh-CN"/>
        </w:rPr>
        <w:t>强；该资金使用有效保障了</w:t>
      </w:r>
      <w:r>
        <w:rPr>
          <w:rFonts w:hint="eastAsia" w:ascii="仿宋_GB2312" w:hAnsi="宋体"/>
          <w:lang w:val="en-US" w:eastAsia="zh-CN"/>
        </w:rPr>
        <w:t>企业军转干部待遇</w:t>
      </w:r>
      <w:r>
        <w:rPr>
          <w:rFonts w:hint="eastAsia" w:ascii="仿宋_GB2312" w:hAnsi="宋体"/>
          <w:color w:val="auto"/>
          <w:lang w:val="en-US" w:eastAsia="zh-CN"/>
        </w:rPr>
        <w:t>，资金使用的</w:t>
      </w:r>
      <w:r>
        <w:rPr>
          <w:rFonts w:hint="eastAsia" w:ascii="仿宋_GB2312" w:hAnsi="宋体"/>
          <w:color w:val="auto"/>
          <w:lang w:val="zh-CN"/>
        </w:rPr>
        <w:t>有效性</w:t>
      </w:r>
      <w:r>
        <w:rPr>
          <w:rFonts w:hint="eastAsia" w:ascii="仿宋_GB2312" w:hAnsi="宋体"/>
          <w:color w:val="auto"/>
          <w:lang w:val="en-US" w:eastAsia="zh-CN"/>
        </w:rPr>
        <w:t>基本达到预定效果</w:t>
      </w:r>
      <w:r>
        <w:rPr>
          <w:rFonts w:hint="eastAsia" w:ascii="仿宋_GB2312" w:hAnsi="宋体"/>
          <w:color w:val="auto"/>
          <w:lang w:val="zh-CN"/>
        </w:rPr>
        <w:t>。</w:t>
      </w:r>
    </w:p>
    <w:p w14:paraId="5A2D0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（三）项目财务管理情况。</w:t>
      </w:r>
    </w:p>
    <w:p w14:paraId="469B1C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en-US" w:eastAsia="zh-CN"/>
        </w:rPr>
        <w:t>我局</w:t>
      </w:r>
      <w:r>
        <w:rPr>
          <w:rFonts w:hint="eastAsia" w:ascii="仿宋_GB2312" w:hAnsi="宋体"/>
          <w:lang w:val="zh-CN"/>
        </w:rPr>
        <w:t>财务管理制度健全，严格执行财务管理制度，账务处理及时，会计核算规范。</w:t>
      </w:r>
    </w:p>
    <w:p w14:paraId="69D4F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三、项目实施及管理情况</w:t>
      </w:r>
    </w:p>
    <w:p w14:paraId="402FAD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（一）项目组织架构及实施流程。</w:t>
      </w:r>
      <w:r>
        <w:rPr>
          <w:rFonts w:hint="eastAsia" w:ascii="仿宋_GB2312" w:hAnsi="宋体"/>
          <w:color w:val="auto"/>
          <w:lang w:val="en-US" w:eastAsia="zh-CN"/>
        </w:rPr>
        <w:t>该项目为主要领导审定的方式实施。</w:t>
      </w:r>
    </w:p>
    <w:p w14:paraId="139F8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（二）项目管理情况。</w:t>
      </w:r>
      <w:r>
        <w:rPr>
          <w:rFonts w:hint="eastAsia" w:ascii="仿宋_GB2312" w:hAnsi="宋体"/>
          <w:color w:val="auto"/>
          <w:lang w:val="zh-CN"/>
        </w:rPr>
        <w:t>结合</w:t>
      </w:r>
      <w:r>
        <w:rPr>
          <w:rFonts w:hint="eastAsia" w:ascii="仿宋_GB2312" w:hAnsi="宋体"/>
          <w:color w:val="auto"/>
          <w:lang w:val="en-US" w:eastAsia="zh-CN"/>
        </w:rPr>
        <w:t>该</w:t>
      </w:r>
      <w:r>
        <w:rPr>
          <w:rFonts w:hint="eastAsia" w:ascii="仿宋_GB2312" w:hAnsi="宋体"/>
          <w:color w:val="auto"/>
          <w:lang w:val="zh-CN"/>
        </w:rPr>
        <w:t>项目特点，</w:t>
      </w:r>
      <w:r>
        <w:rPr>
          <w:rFonts w:hint="eastAsia" w:ascii="仿宋_GB2312" w:hAnsi="宋体"/>
          <w:color w:val="auto"/>
          <w:lang w:val="en-US" w:eastAsia="zh-CN"/>
        </w:rPr>
        <w:t>我单位均按照据实据效的方式开展，严格执行预算法、财政资金支付有关规定。不涉及</w:t>
      </w:r>
      <w:r>
        <w:rPr>
          <w:rFonts w:hint="eastAsia" w:ascii="仿宋_GB2312" w:hAnsi="宋体"/>
          <w:color w:val="auto"/>
          <w:lang w:val="zh-CN"/>
        </w:rPr>
        <w:t>招投标、政府采购、项目公示制等相关规定。</w:t>
      </w:r>
    </w:p>
    <w:p w14:paraId="7952A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楷体_GB2312" w:hAnsi="宋体" w:eastAsia="楷体_GB2312"/>
          <w:b/>
          <w:lang w:val="zh-CN"/>
        </w:rPr>
        <w:t>（三）项目监管情况。</w:t>
      </w:r>
      <w:r>
        <w:rPr>
          <w:rFonts w:hint="eastAsia" w:ascii="仿宋_GB2312" w:hAnsi="宋体"/>
          <w:color w:val="auto"/>
          <w:lang w:val="en-US" w:eastAsia="zh-CN"/>
        </w:rPr>
        <w:t>我单位严格</w:t>
      </w:r>
      <w:r>
        <w:rPr>
          <w:rFonts w:hint="eastAsia" w:ascii="仿宋_GB2312" w:hAnsi="宋体"/>
          <w:color w:val="auto"/>
          <w:lang w:val="zh-CN"/>
        </w:rPr>
        <w:t>项目管理</w:t>
      </w:r>
      <w:r>
        <w:rPr>
          <w:rFonts w:hint="eastAsia" w:ascii="仿宋_GB2312" w:hAnsi="宋体"/>
          <w:color w:val="auto"/>
          <w:lang w:val="zh-CN" w:eastAsia="zh-CN"/>
        </w:rPr>
        <w:t>，</w:t>
      </w:r>
      <w:r>
        <w:rPr>
          <w:rFonts w:hint="eastAsia" w:ascii="仿宋_GB2312" w:hAnsi="宋体"/>
          <w:color w:val="auto"/>
          <w:lang w:val="en-US" w:eastAsia="zh-CN"/>
        </w:rPr>
        <w:t>建立健全内部控制制度，采取预算编制与审核分离；预算审批与执行分离；预算执行与分析分离；决算编制与审核分离；实行收款与会计核算分离；支出申请与审批分离；支出审批与付款分离；业务经办与会计核算分离。</w:t>
      </w:r>
    </w:p>
    <w:p w14:paraId="572FD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四、项目绩效情况</w:t>
      </w:r>
      <w:r>
        <w:rPr>
          <w:rFonts w:hint="eastAsia" w:ascii="仿宋_GB2312" w:hAnsi="宋体"/>
          <w:lang w:val="zh-CN"/>
        </w:rPr>
        <w:tab/>
      </w:r>
    </w:p>
    <w:p w14:paraId="31BEF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 w14:paraId="6277D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年末目标完成情况为：按时据实支付，100%完成。</w:t>
      </w:r>
    </w:p>
    <w:p w14:paraId="26476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color w:val="auto"/>
          <w:lang w:val="zh-CN"/>
        </w:rPr>
        <w:t>项目实施进度计划</w:t>
      </w:r>
      <w:r>
        <w:rPr>
          <w:rFonts w:hint="eastAsia" w:ascii="仿宋_GB2312" w:hAnsi="宋体"/>
          <w:color w:val="auto"/>
          <w:lang w:val="en-US" w:eastAsia="zh-CN"/>
        </w:rPr>
        <w:t>及资金拨付均据实据效实施。项目实施资金在预算控制范围内资金。</w:t>
      </w:r>
    </w:p>
    <w:p w14:paraId="2FC3A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（二）项目效益情况。</w:t>
      </w:r>
    </w:p>
    <w:p w14:paraId="5916AB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项目经济效益：</w:t>
      </w:r>
      <w:r>
        <w:rPr>
          <w:rFonts w:hint="eastAsia" w:ascii="仿宋_GB2312" w:hAnsi="宋体"/>
          <w:lang w:val="en-US" w:eastAsia="zh-CN"/>
        </w:rPr>
        <w:t>提高义务兵家属优待</w:t>
      </w:r>
      <w:r>
        <w:rPr>
          <w:rFonts w:hint="eastAsia" w:ascii="仿宋_GB2312" w:hAnsi="宋体"/>
          <w:lang w:val="zh-CN"/>
        </w:rPr>
        <w:t>；社会效益：</w:t>
      </w:r>
      <w:r>
        <w:rPr>
          <w:rFonts w:hint="eastAsia" w:ascii="仿宋_GB2312" w:hAnsi="宋体"/>
          <w:lang w:val="en-US" w:eastAsia="zh-CN"/>
        </w:rPr>
        <w:t>使之与全市经济社会发展水平相适应；</w:t>
      </w:r>
      <w:r>
        <w:rPr>
          <w:rFonts w:hint="eastAsia" w:ascii="仿宋_GB2312" w:hAnsi="宋体"/>
          <w:lang w:val="zh-CN"/>
        </w:rPr>
        <w:t>可持续效益：</w:t>
      </w:r>
      <w:r>
        <w:rPr>
          <w:rFonts w:hint="eastAsia" w:ascii="仿宋_GB2312" w:hAnsi="宋体"/>
          <w:lang w:val="en-US" w:eastAsia="zh-CN"/>
        </w:rPr>
        <w:t>加强新形势下</w:t>
      </w:r>
      <w:bookmarkStart w:id="0" w:name="_GoBack"/>
      <w:bookmarkEnd w:id="0"/>
      <w:r>
        <w:rPr>
          <w:rFonts w:hint="eastAsia" w:ascii="仿宋_GB2312" w:hAnsi="宋体"/>
          <w:lang w:val="en-US" w:eastAsia="zh-CN"/>
        </w:rPr>
        <w:t>征兵工作，巩固国防建设；</w:t>
      </w:r>
      <w:r>
        <w:rPr>
          <w:rFonts w:hint="eastAsia" w:ascii="仿宋_GB2312" w:hAnsi="宋体"/>
          <w:lang w:val="zh-CN"/>
        </w:rPr>
        <w:t>服务对象满意度：</w:t>
      </w:r>
      <w:r>
        <w:rPr>
          <w:rFonts w:hint="eastAsia" w:ascii="仿宋_GB2312" w:hAnsi="宋体"/>
          <w:lang w:val="en-US" w:eastAsia="zh-CN"/>
        </w:rPr>
        <w:t>100%</w:t>
      </w:r>
      <w:r>
        <w:rPr>
          <w:rFonts w:hint="eastAsia" w:ascii="仿宋_GB2312" w:hAnsi="宋体"/>
          <w:lang w:val="zh-CN"/>
        </w:rPr>
        <w:t>。</w:t>
      </w:r>
    </w:p>
    <w:p w14:paraId="14962C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五、评价结论及建议</w:t>
      </w:r>
    </w:p>
    <w:p w14:paraId="0ADCB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（一）评价结论。</w:t>
      </w:r>
    </w:p>
    <w:p w14:paraId="04B902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bdr w:val="single" w:color="auto" w:sz="4" w:space="0"/>
          <w:lang w:val="zh-CN"/>
        </w:rPr>
      </w:pPr>
      <w:r>
        <w:rPr>
          <w:rFonts w:hint="eastAsia" w:ascii="仿宋_GB2312" w:hAnsi="宋体"/>
          <w:lang w:val="en-US" w:eastAsia="zh-CN"/>
        </w:rPr>
        <w:t>该</w:t>
      </w:r>
      <w:r>
        <w:rPr>
          <w:rFonts w:hint="eastAsia" w:ascii="仿宋_GB2312" w:hAnsi="宋体"/>
          <w:lang w:val="zh-CN"/>
        </w:rPr>
        <w:t>项目</w:t>
      </w:r>
      <w:r>
        <w:rPr>
          <w:rFonts w:hint="eastAsia" w:ascii="仿宋_GB2312" w:hAnsi="宋体"/>
          <w:lang w:val="en-US" w:eastAsia="zh-CN"/>
        </w:rPr>
        <w:t>结合</w:t>
      </w:r>
      <w:r>
        <w:rPr>
          <w:rFonts w:hint="eastAsia" w:ascii="仿宋_GB2312" w:hAnsi="宋体"/>
          <w:lang w:val="zh-CN"/>
        </w:rPr>
        <w:t>自身特点、评价重点及管理办法等要求，</w:t>
      </w:r>
      <w:r>
        <w:rPr>
          <w:rFonts w:hint="eastAsia" w:ascii="仿宋_GB2312" w:hAnsi="宋体"/>
          <w:lang w:val="en-US" w:eastAsia="zh-CN"/>
        </w:rPr>
        <w:t>按照</w:t>
      </w:r>
      <w:r>
        <w:rPr>
          <w:rFonts w:hint="eastAsia" w:ascii="仿宋_GB2312" w:hAnsi="宋体"/>
          <w:lang w:val="zh-CN"/>
        </w:rPr>
        <w:t>项目支出绩效评价指标体系对项目</w:t>
      </w:r>
      <w:r>
        <w:rPr>
          <w:rFonts w:hint="eastAsia" w:ascii="仿宋_GB2312" w:hAnsi="宋体"/>
          <w:lang w:val="en-US" w:eastAsia="zh-CN"/>
        </w:rPr>
        <w:t>逐项分析评价</w:t>
      </w:r>
      <w:r>
        <w:rPr>
          <w:rFonts w:hint="eastAsia" w:ascii="仿宋_GB2312" w:hAnsi="宋体"/>
          <w:lang w:val="zh-CN"/>
        </w:rPr>
        <w:t>。</w:t>
      </w:r>
      <w:r>
        <w:rPr>
          <w:rFonts w:hint="eastAsia" w:ascii="仿宋_GB2312" w:hAnsi="宋体"/>
          <w:lang w:val="en-US" w:eastAsia="zh-CN"/>
        </w:rPr>
        <w:t>该</w:t>
      </w:r>
      <w:r>
        <w:rPr>
          <w:rFonts w:hint="eastAsia" w:ascii="仿宋_GB2312" w:hAnsi="宋体"/>
          <w:lang w:val="zh-CN" w:eastAsia="zh-CN"/>
        </w:rPr>
        <w:t>项</w:t>
      </w:r>
      <w:r>
        <w:rPr>
          <w:rFonts w:hint="eastAsia" w:ascii="仿宋_GB2312" w:hAnsi="宋体"/>
          <w:lang w:val="zh-CN"/>
        </w:rPr>
        <w:t>目决策</w:t>
      </w:r>
      <w:r>
        <w:rPr>
          <w:rFonts w:hint="eastAsia" w:ascii="仿宋_GB2312" w:hAnsi="宋体"/>
          <w:lang w:val="en-US" w:eastAsia="zh-CN"/>
        </w:rPr>
        <w:t>得分</w:t>
      </w:r>
      <w:r>
        <w:rPr>
          <w:rFonts w:hint="eastAsia" w:ascii="仿宋_GB2312" w:hAnsi="宋体"/>
          <w:lang w:val="zh-CN"/>
        </w:rPr>
        <w:t>8分、项目实施12分、完成结果</w:t>
      </w:r>
      <w:r>
        <w:rPr>
          <w:rFonts w:hint="eastAsia" w:ascii="仿宋_GB2312" w:hAnsi="宋体"/>
          <w:lang w:val="en-US" w:eastAsia="zh-CN"/>
        </w:rPr>
        <w:t>8.08</w:t>
      </w:r>
      <w:r>
        <w:rPr>
          <w:rFonts w:hint="eastAsia" w:ascii="仿宋_GB2312" w:hAnsi="宋体"/>
          <w:lang w:val="zh-CN"/>
        </w:rPr>
        <w:t>分、项目效果</w:t>
      </w:r>
      <w:r>
        <w:rPr>
          <w:rFonts w:hint="eastAsia" w:ascii="仿宋_GB2312" w:hAnsi="宋体"/>
          <w:lang w:val="en-US" w:eastAsia="zh-CN"/>
        </w:rPr>
        <w:t>得分20分、</w:t>
      </w:r>
      <w:r>
        <w:rPr>
          <w:rFonts w:hint="eastAsia" w:ascii="仿宋_GB2312" w:hAnsi="宋体"/>
          <w:lang w:val="zh-CN"/>
        </w:rPr>
        <w:t>产出指标</w:t>
      </w:r>
      <w:r>
        <w:rPr>
          <w:rFonts w:hint="eastAsia" w:ascii="仿宋_GB2312" w:hAnsi="宋体"/>
          <w:lang w:val="en-US" w:eastAsia="zh-CN"/>
        </w:rPr>
        <w:t>得分</w:t>
      </w:r>
      <w:r>
        <w:rPr>
          <w:rFonts w:hint="eastAsia" w:ascii="仿宋_GB2312" w:hAnsi="宋体"/>
          <w:lang w:val="zh-CN"/>
        </w:rPr>
        <w:t>30分、效益指标</w:t>
      </w:r>
      <w:r>
        <w:rPr>
          <w:rFonts w:hint="eastAsia" w:ascii="仿宋_GB2312" w:hAnsi="宋体"/>
          <w:lang w:val="en-US" w:eastAsia="zh-CN"/>
        </w:rPr>
        <w:t>得分10分、</w:t>
      </w:r>
      <w:r>
        <w:rPr>
          <w:rFonts w:hint="eastAsia" w:ascii="仿宋_GB2312" w:hAnsi="宋体"/>
          <w:lang w:val="zh-CN"/>
        </w:rPr>
        <w:t>满意度指标</w:t>
      </w:r>
      <w:r>
        <w:rPr>
          <w:rFonts w:hint="eastAsia" w:ascii="仿宋_GB2312" w:hAnsi="宋体"/>
          <w:lang w:val="en-US" w:eastAsia="zh-CN"/>
        </w:rPr>
        <w:t>得分</w:t>
      </w:r>
      <w:r>
        <w:rPr>
          <w:rFonts w:hint="eastAsia" w:ascii="仿宋_GB2312" w:hAnsi="宋体"/>
          <w:lang w:val="zh-CN"/>
        </w:rPr>
        <w:t>10分。</w:t>
      </w:r>
      <w:r>
        <w:rPr>
          <w:rFonts w:hint="eastAsia" w:ascii="仿宋_GB2312" w:hAnsi="宋体"/>
          <w:lang w:val="en-US" w:eastAsia="zh-CN"/>
        </w:rPr>
        <w:t>部门整体支出绩效得分为98.08分，整体效果良好。</w:t>
      </w:r>
    </w:p>
    <w:p w14:paraId="0A5FD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（二）存在的问题。</w:t>
      </w:r>
    </w:p>
    <w:p w14:paraId="6EE51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en-US" w:eastAsia="zh-CN"/>
        </w:rPr>
        <w:t>无。</w:t>
      </w:r>
    </w:p>
    <w:p w14:paraId="60964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（三）相关建议。</w:t>
      </w:r>
    </w:p>
    <w:p w14:paraId="74DCF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lang w:val="zh-CN" w:eastAsia="zh-CN"/>
        </w:rPr>
      </w:pPr>
      <w:r>
        <w:rPr>
          <w:rFonts w:hint="eastAsia" w:ascii="仿宋_GB2312" w:hAnsi="宋体"/>
          <w:lang w:val="en-US" w:eastAsia="zh-CN"/>
        </w:rPr>
        <w:t>无。</w:t>
      </w:r>
    </w:p>
    <w:p w14:paraId="6952DD62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E72FB1-F89A-4E5E-9DAB-167700FB7CF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0CABF1D-33A3-4BE7-B0A3-157A19ACC6CC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D6F1BDA-A3EA-4BEE-8142-19FC23F9AF8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0FAF401-1BBD-4D95-82C4-1D518C0195E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DFE60"/>
    <w:multiLevelType w:val="singleLevel"/>
    <w:tmpl w:val="5F4DFE60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771D4D51"/>
    <w:rsid w:val="04637E8C"/>
    <w:rsid w:val="08B71ADA"/>
    <w:rsid w:val="1D857256"/>
    <w:rsid w:val="262F10C7"/>
    <w:rsid w:val="27BE3283"/>
    <w:rsid w:val="286A264A"/>
    <w:rsid w:val="2AF86ED7"/>
    <w:rsid w:val="3DC25F38"/>
    <w:rsid w:val="3FB355DD"/>
    <w:rsid w:val="3FB5503B"/>
    <w:rsid w:val="45584B59"/>
    <w:rsid w:val="46434AD9"/>
    <w:rsid w:val="4BAE74F4"/>
    <w:rsid w:val="67812633"/>
    <w:rsid w:val="68911BAD"/>
    <w:rsid w:val="6B980E4F"/>
    <w:rsid w:val="7346390C"/>
    <w:rsid w:val="771D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1319</Words>
  <Characters>1345</Characters>
  <Lines>0</Lines>
  <Paragraphs>0</Paragraphs>
  <TotalTime>11</TotalTime>
  <ScaleCrop>false</ScaleCrop>
  <LinksUpToDate>false</LinksUpToDate>
  <CharactersWithSpaces>1346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2020-06-30T08:13:00Z</dcterms:created>
  <dc:creator>Administrator</dc:creator>
  <cp:lastModifiedBy>碧云天</cp:lastModifiedBy>
  <cp:lastPrinted>2020-07-07T07:49:00Z</cp:lastPrinted>
  <dcterms:modified xsi:type="dcterms:W3CDTF">2024-10-17T03:26:44Z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0F3229687B19433FA83EF3666227C47A</vt:lpwstr>
  </property>
</Properties>
</file>