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00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</w:t>
      </w:r>
    </w:p>
    <w:p w14:paraId="287E30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</w:t>
      </w:r>
      <w:r>
        <w:rPr>
          <w:rFonts w:hint="eastAsia" w:ascii="仿宋_GB2312" w:hAnsi="宋体"/>
          <w:lang w:val="en-US" w:eastAsia="zh-CN"/>
        </w:rPr>
        <w:t>义务兵优待金（中央）</w:t>
      </w:r>
      <w:r>
        <w:rPr>
          <w:rFonts w:hint="eastAsia" w:ascii="仿宋_GB2312" w:hAnsi="宋体"/>
        </w:rPr>
        <w:t>）</w:t>
      </w:r>
    </w:p>
    <w:p w14:paraId="656D715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 w14:paraId="67713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 w14:paraId="555DE4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（一）项目基本情况。</w:t>
      </w:r>
    </w:p>
    <w:p w14:paraId="3812D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宋体"/>
          <w:color w:val="auto"/>
          <w:lang w:val="zh-CN"/>
        </w:rPr>
        <w:t>项目主管部门（单位）在该项目管理中的职能。</w:t>
      </w:r>
      <w:r>
        <w:rPr>
          <w:rFonts w:hint="eastAsia" w:ascii="仿宋_GB2312" w:hAnsi="宋体"/>
          <w:color w:val="auto"/>
          <w:lang w:val="en-US" w:eastAsia="zh-CN"/>
        </w:rPr>
        <w:t>我单位相关业务股室作为该项目实施的责任人，办公室及局党组为该项目的监督责任人。</w:t>
      </w:r>
    </w:p>
    <w:p w14:paraId="48211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2．项目立项、资金申报的依据。</w:t>
      </w:r>
      <w:r>
        <w:rPr>
          <w:rFonts w:hint="eastAsia" w:ascii="仿宋_GB2312" w:hAnsi="宋体"/>
          <w:lang w:val="en-US" w:eastAsia="zh-CN"/>
        </w:rPr>
        <w:t>依据乐山市人民政府办公室《关于调整义务兵家属优待金发放标准的请示》议定事项的通知（乐府常定〔2014〕172号）文件精神实施。</w:t>
      </w:r>
    </w:p>
    <w:p w14:paraId="20E576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</w:t>
      </w:r>
      <w:r>
        <w:rPr>
          <w:rFonts w:hint="eastAsia" w:ascii="仿宋_GB2312" w:hAnsi="宋体"/>
          <w:lang w:val="en-US" w:eastAsia="zh-CN"/>
        </w:rPr>
        <w:t>严格按照文件标准，据实支付。</w:t>
      </w:r>
    </w:p>
    <w:p w14:paraId="7A8AAB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4．资金分配的原则及考虑因素。</w:t>
      </w:r>
      <w:r>
        <w:rPr>
          <w:rFonts w:hint="eastAsia" w:ascii="仿宋_GB2312" w:hAnsi="宋体"/>
          <w:lang w:val="en-US" w:eastAsia="zh-CN"/>
        </w:rPr>
        <w:t>按义务兵实有人数计划资金分配。</w:t>
      </w:r>
    </w:p>
    <w:p w14:paraId="08F56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（二）项目绩效目标。</w:t>
      </w:r>
    </w:p>
    <w:p w14:paraId="3657B5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1．项目主要内容。</w:t>
      </w:r>
      <w:r>
        <w:rPr>
          <w:rFonts w:hint="eastAsia" w:ascii="仿宋_GB2312" w:hAnsi="宋体"/>
          <w:lang w:val="en-US" w:eastAsia="zh-CN"/>
        </w:rPr>
        <w:t>用于义务兵优待方面支出。</w:t>
      </w:r>
    </w:p>
    <w:p w14:paraId="4134D3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2．项目应实现的具体绩效目标，包括目标的量化、细化情况以及项目实施进度计划等。</w:t>
      </w:r>
      <w:r>
        <w:rPr>
          <w:rFonts w:hint="eastAsia" w:ascii="仿宋_GB2312" w:hAnsi="宋体"/>
          <w:lang w:val="en-US" w:eastAsia="zh-CN"/>
        </w:rPr>
        <w:t>计划发放60名义务兵家属优待金。</w:t>
      </w: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及资金拨付据实据效。</w:t>
      </w:r>
    </w:p>
    <w:p w14:paraId="7DD7C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zh-CN"/>
        </w:rPr>
        <w:t>3．分析评价申报内容是否与实际相符，申报目标是否合理可行。</w:t>
      </w:r>
      <w:r>
        <w:rPr>
          <w:rFonts w:hint="eastAsia" w:ascii="仿宋_GB2312" w:hAnsi="宋体"/>
          <w:lang w:val="en-US" w:eastAsia="zh-CN"/>
        </w:rPr>
        <w:t>与实际相符，申报目标合理可行。</w:t>
      </w:r>
    </w:p>
    <w:p w14:paraId="242BD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（三）项目自评步骤及方法。</w:t>
      </w:r>
    </w:p>
    <w:p w14:paraId="58422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项目绩效自评</w:t>
      </w:r>
      <w:r>
        <w:rPr>
          <w:rFonts w:hint="eastAsia" w:ascii="仿宋_GB2312" w:hAnsi="宋体"/>
          <w:color w:val="auto"/>
          <w:lang w:val="en-US" w:eastAsia="zh-CN"/>
        </w:rPr>
        <w:t>根据项目支出绩效评价指标体系内容，结合工作开展情况，逐项量化评价。</w:t>
      </w:r>
    </w:p>
    <w:p w14:paraId="7A686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二、项目资金申报及使用情况</w:t>
      </w:r>
    </w:p>
    <w:p w14:paraId="43509E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</w:p>
    <w:p w14:paraId="5240A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color w:val="auto"/>
          <w:lang w:val="en-US" w:eastAsia="zh-CN"/>
        </w:rPr>
        <w:t>该项目</w:t>
      </w:r>
      <w:r>
        <w:rPr>
          <w:rFonts w:hint="eastAsia" w:ascii="仿宋_GB2312" w:hAnsi="宋体"/>
          <w:color w:val="auto"/>
          <w:lang w:val="zh-CN"/>
        </w:rPr>
        <w:t>资金</w:t>
      </w:r>
      <w:r>
        <w:rPr>
          <w:rFonts w:hint="eastAsia" w:ascii="仿宋_GB2312" w:hAnsi="宋体"/>
          <w:color w:val="auto"/>
          <w:lang w:val="en-US" w:eastAsia="zh-CN"/>
        </w:rPr>
        <w:t>按照财政预算流程经一上、一下、二上、二下、人民代表大会讨论审定、财政批复进行预算下达，资金使用据实逐月向财政申请。</w:t>
      </w:r>
    </w:p>
    <w:p w14:paraId="4597F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（二）资金计划、到位及使用情况（可用表格形式反映）。</w:t>
      </w:r>
    </w:p>
    <w:p w14:paraId="15DE31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1．资金计划。</w:t>
      </w:r>
      <w:r>
        <w:rPr>
          <w:rFonts w:hint="eastAsia" w:ascii="仿宋_GB2312" w:hAnsi="宋体"/>
          <w:color w:val="auto"/>
          <w:lang w:val="zh-CN"/>
        </w:rPr>
        <w:t>该项目资金计划</w:t>
      </w:r>
      <w:r>
        <w:rPr>
          <w:rFonts w:hint="eastAsia" w:ascii="仿宋_GB2312" w:hAnsi="宋体"/>
          <w:color w:val="auto"/>
          <w:lang w:val="en-US" w:eastAsia="zh-CN"/>
        </w:rPr>
        <w:t>全部由县本级财政预算。无</w:t>
      </w:r>
      <w:r>
        <w:rPr>
          <w:rFonts w:hint="eastAsia" w:ascii="仿宋_GB2312" w:hAnsi="宋体"/>
          <w:color w:val="auto"/>
          <w:lang w:val="zh-CN"/>
        </w:rPr>
        <w:t>单位自筹、其他渠道资金。</w:t>
      </w:r>
    </w:p>
    <w:p w14:paraId="0F44D8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color w:val="auto"/>
          <w:lang w:val="zh-CN"/>
        </w:rPr>
        <w:t>2．资金到位。</w:t>
      </w:r>
      <w:r>
        <w:rPr>
          <w:rFonts w:hint="eastAsia" w:ascii="仿宋_GB2312" w:hAnsi="宋体"/>
          <w:color w:val="auto"/>
          <w:lang w:val="zh-CN"/>
        </w:rPr>
        <w:t>该项目资金截止评价时点</w:t>
      </w:r>
      <w:r>
        <w:rPr>
          <w:rFonts w:hint="eastAsia" w:ascii="仿宋_GB2312" w:hAnsi="宋体"/>
          <w:color w:val="auto"/>
          <w:lang w:val="en-US" w:eastAsia="zh-CN"/>
        </w:rPr>
        <w:t>该项目预算为114.12万元，我单位按时按实向财政申请114.12万元已全部及时</w:t>
      </w:r>
      <w:r>
        <w:rPr>
          <w:rFonts w:hint="eastAsia" w:ascii="仿宋_GB2312" w:hAnsi="宋体"/>
          <w:color w:val="auto"/>
          <w:lang w:val="zh-CN"/>
        </w:rPr>
        <w:t>到位，</w:t>
      </w:r>
      <w:r>
        <w:rPr>
          <w:rFonts w:hint="eastAsia" w:ascii="仿宋_GB2312" w:hAnsi="宋体"/>
          <w:color w:val="auto"/>
          <w:lang w:val="en-US" w:eastAsia="zh-CN"/>
        </w:rPr>
        <w:t>均为本级财政安排。</w:t>
      </w:r>
    </w:p>
    <w:p w14:paraId="1041E18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color w:val="auto"/>
          <w:lang w:val="zh-CN"/>
        </w:rPr>
      </w:pPr>
      <w:r>
        <w:rPr>
          <w:rFonts w:hint="eastAsia" w:ascii="楷体_GB2312" w:hAnsi="宋体" w:eastAsia="楷体_GB2312"/>
          <w:color w:val="auto"/>
          <w:lang w:val="zh-CN"/>
        </w:rPr>
        <w:t>资金使用。</w:t>
      </w:r>
      <w:r>
        <w:rPr>
          <w:rFonts w:hint="eastAsia" w:ascii="仿宋_GB2312" w:hAnsi="宋体"/>
          <w:color w:val="auto"/>
          <w:lang w:val="zh-CN"/>
        </w:rPr>
        <w:t>该项目资金截至评价时点，</w:t>
      </w:r>
      <w:r>
        <w:rPr>
          <w:rFonts w:hint="eastAsia" w:ascii="仿宋_GB2312" w:hAnsi="宋体"/>
          <w:color w:val="auto"/>
          <w:lang w:val="en-US" w:eastAsia="zh-CN"/>
        </w:rPr>
        <w:t>按实已全部</w:t>
      </w:r>
      <w:r>
        <w:rPr>
          <w:rFonts w:hint="eastAsia" w:ascii="仿宋_GB2312" w:hAnsi="宋体"/>
          <w:color w:val="auto"/>
          <w:lang w:val="zh-CN"/>
        </w:rPr>
        <w:t>支出，</w:t>
      </w:r>
      <w:r>
        <w:rPr>
          <w:rFonts w:hint="eastAsia" w:ascii="仿宋_GB2312" w:hAnsi="宋体"/>
          <w:color w:val="auto"/>
          <w:lang w:val="en-US" w:eastAsia="zh-CN"/>
        </w:rPr>
        <w:t>支付</w:t>
      </w:r>
      <w:r>
        <w:rPr>
          <w:rFonts w:hint="eastAsia" w:ascii="仿宋_GB2312" w:hAnsi="宋体"/>
          <w:color w:val="auto"/>
          <w:lang w:val="zh-CN"/>
        </w:rPr>
        <w:t>范围、支付标准、支付进度、支付依据等</w:t>
      </w:r>
      <w:r>
        <w:rPr>
          <w:rFonts w:hint="eastAsia" w:ascii="仿宋_GB2312" w:hAnsi="宋体"/>
          <w:color w:val="auto"/>
          <w:lang w:val="en-US" w:eastAsia="zh-CN"/>
        </w:rPr>
        <w:t>均</w:t>
      </w:r>
      <w:r>
        <w:rPr>
          <w:rFonts w:hint="eastAsia" w:ascii="仿宋_GB2312" w:hAnsi="宋体"/>
          <w:color w:val="auto"/>
          <w:lang w:val="zh-CN"/>
        </w:rPr>
        <w:t>合规合法、与预算相符。资金</w:t>
      </w:r>
      <w:r>
        <w:rPr>
          <w:rFonts w:hint="eastAsia" w:ascii="仿宋_GB2312" w:hAnsi="宋体"/>
          <w:color w:val="auto"/>
          <w:lang w:val="en-US" w:eastAsia="zh-CN"/>
        </w:rPr>
        <w:t>拨付全部通过银行转账，安全性高</w:t>
      </w:r>
      <w:r>
        <w:rPr>
          <w:rFonts w:hint="eastAsia" w:ascii="仿宋_GB2312" w:hAnsi="宋体"/>
          <w:color w:val="auto"/>
          <w:lang w:val="zh-CN"/>
        </w:rPr>
        <w:t>；</w:t>
      </w:r>
      <w:r>
        <w:rPr>
          <w:rFonts w:hint="eastAsia" w:ascii="仿宋_GB2312" w:hAnsi="宋体"/>
          <w:color w:val="auto"/>
          <w:lang w:val="en-US" w:eastAsia="zh-CN"/>
        </w:rPr>
        <w:t>资金拨付按照财政资金列支程序实施，</w:t>
      </w:r>
      <w:r>
        <w:rPr>
          <w:rFonts w:hint="eastAsia" w:ascii="仿宋_GB2312" w:hAnsi="宋体"/>
          <w:color w:val="auto"/>
          <w:lang w:val="zh-CN"/>
        </w:rPr>
        <w:t>规范性</w:t>
      </w:r>
      <w:r>
        <w:rPr>
          <w:rFonts w:hint="eastAsia" w:ascii="仿宋_GB2312" w:hAnsi="宋体"/>
          <w:color w:val="auto"/>
          <w:lang w:val="en-US" w:eastAsia="zh-CN"/>
        </w:rPr>
        <w:t>强；该资金使用有效保障了</w:t>
      </w:r>
      <w:r>
        <w:rPr>
          <w:rFonts w:hint="eastAsia" w:ascii="仿宋_GB2312" w:hAnsi="宋体"/>
          <w:lang w:val="en-US" w:eastAsia="zh-CN"/>
        </w:rPr>
        <w:t>义务兵家庭待遇</w:t>
      </w:r>
      <w:r>
        <w:rPr>
          <w:rFonts w:hint="eastAsia" w:ascii="仿宋_GB2312" w:hAnsi="宋体"/>
          <w:color w:val="auto"/>
          <w:lang w:val="en-US" w:eastAsia="zh-CN"/>
        </w:rPr>
        <w:t>，资金使用的</w:t>
      </w:r>
      <w:r>
        <w:rPr>
          <w:rFonts w:hint="eastAsia" w:ascii="仿宋_GB2312" w:hAnsi="宋体"/>
          <w:color w:val="auto"/>
          <w:lang w:val="zh-CN"/>
        </w:rPr>
        <w:t>有效性</w:t>
      </w:r>
      <w:r>
        <w:rPr>
          <w:rFonts w:hint="eastAsia" w:ascii="仿宋_GB2312" w:hAnsi="宋体"/>
          <w:color w:val="auto"/>
          <w:lang w:val="en-US" w:eastAsia="zh-CN"/>
        </w:rPr>
        <w:t>基本达到预定效果</w:t>
      </w:r>
      <w:r>
        <w:rPr>
          <w:rFonts w:hint="eastAsia" w:ascii="仿宋_GB2312" w:hAnsi="宋体"/>
          <w:color w:val="auto"/>
          <w:lang w:val="zh-CN"/>
        </w:rPr>
        <w:t>。</w:t>
      </w:r>
    </w:p>
    <w:p w14:paraId="7AAD4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（三）项目财务管理情况。</w:t>
      </w:r>
    </w:p>
    <w:p w14:paraId="5E5F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>我局</w:t>
      </w:r>
      <w:r>
        <w:rPr>
          <w:rFonts w:hint="eastAsia" w:ascii="仿宋_GB2312" w:hAnsi="宋体"/>
          <w:lang w:val="zh-CN"/>
        </w:rPr>
        <w:t>财务管理制度健全，严格执行财务管理制度，账务处理及时，会计核算规范。</w:t>
      </w:r>
    </w:p>
    <w:p w14:paraId="6F42A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三、项目实施及管理情况</w:t>
      </w:r>
    </w:p>
    <w:p w14:paraId="37C05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（一）项目组织架构及实施流程。</w:t>
      </w:r>
      <w:r>
        <w:rPr>
          <w:rFonts w:hint="eastAsia" w:ascii="仿宋_GB2312" w:hAnsi="宋体"/>
          <w:color w:val="auto"/>
          <w:lang w:val="en-US" w:eastAsia="zh-CN"/>
        </w:rPr>
        <w:t>该项目为主要领导审定的方式实施。</w:t>
      </w:r>
    </w:p>
    <w:p w14:paraId="32A1EF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（二）项目管理情况。</w:t>
      </w:r>
      <w:r>
        <w:rPr>
          <w:rFonts w:hint="eastAsia" w:ascii="仿宋_GB2312" w:hAnsi="宋体"/>
          <w:color w:val="auto"/>
          <w:lang w:val="zh-CN"/>
        </w:rPr>
        <w:t>结合</w:t>
      </w:r>
      <w:r>
        <w:rPr>
          <w:rFonts w:hint="eastAsia" w:ascii="仿宋_GB2312" w:hAnsi="宋体"/>
          <w:color w:val="auto"/>
          <w:lang w:val="en-US" w:eastAsia="zh-CN"/>
        </w:rPr>
        <w:t>该</w:t>
      </w:r>
      <w:r>
        <w:rPr>
          <w:rFonts w:hint="eastAsia" w:ascii="仿宋_GB2312" w:hAnsi="宋体"/>
          <w:color w:val="auto"/>
          <w:lang w:val="zh-CN"/>
        </w:rPr>
        <w:t>项目特点，</w:t>
      </w:r>
      <w:r>
        <w:rPr>
          <w:rFonts w:hint="eastAsia" w:ascii="仿宋_GB2312" w:hAnsi="宋体"/>
          <w:color w:val="auto"/>
          <w:lang w:val="en-US" w:eastAsia="zh-CN"/>
        </w:rPr>
        <w:t>我单位均按照据实据效的方式开展，严格执行预算法、财政资金支付有关规定。不涉及</w:t>
      </w:r>
      <w:r>
        <w:rPr>
          <w:rFonts w:hint="eastAsia" w:ascii="仿宋_GB2312" w:hAnsi="宋体"/>
          <w:color w:val="auto"/>
          <w:lang w:val="zh-CN"/>
        </w:rPr>
        <w:t>招投标、政府采购、项目公示制等相关规定。</w:t>
      </w:r>
    </w:p>
    <w:p w14:paraId="16F0B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（三）项目监管情况。</w:t>
      </w:r>
      <w:r>
        <w:rPr>
          <w:rFonts w:hint="eastAsia" w:ascii="仿宋_GB2312" w:hAnsi="宋体"/>
          <w:color w:val="auto"/>
          <w:lang w:val="en-US" w:eastAsia="zh-CN"/>
        </w:rPr>
        <w:t>我单位严格</w:t>
      </w:r>
      <w:r>
        <w:rPr>
          <w:rFonts w:hint="eastAsia" w:ascii="仿宋_GB2312" w:hAnsi="宋体"/>
          <w:color w:val="auto"/>
          <w:lang w:val="zh-CN"/>
        </w:rPr>
        <w:t>项目管理</w:t>
      </w:r>
      <w:r>
        <w:rPr>
          <w:rFonts w:hint="eastAsia" w:ascii="仿宋_GB2312" w:hAnsi="宋体"/>
          <w:color w:val="auto"/>
          <w:lang w:val="zh-CN" w:eastAsia="zh-CN"/>
        </w:rPr>
        <w:t>，</w:t>
      </w:r>
      <w:r>
        <w:rPr>
          <w:rFonts w:hint="eastAsia" w:ascii="仿宋_GB2312" w:hAnsi="宋体"/>
          <w:color w:val="auto"/>
          <w:lang w:val="en-US" w:eastAsia="zh-CN"/>
        </w:rPr>
        <w:t>建立健全内部控制制度，采取预算编制与审核分离；预算审批与执行分离；预算执行与分析分离；决算编制与审核分离；实行收款与会计核算分离；支出申请与审批分离；支出审批与付款分离；业务经办与会计核算分离。</w:t>
      </w:r>
    </w:p>
    <w:p w14:paraId="7CE35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四、项目绩效情况</w:t>
      </w:r>
      <w:r>
        <w:rPr>
          <w:rFonts w:hint="eastAsia" w:ascii="仿宋_GB2312" w:hAnsi="宋体"/>
          <w:lang w:val="zh-CN"/>
        </w:rPr>
        <w:tab/>
      </w:r>
    </w:p>
    <w:p w14:paraId="23C6E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 w14:paraId="142FC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default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宋体" w:cs="宋体"/>
          <w:color w:val="auto"/>
          <w:kern w:val="0"/>
          <w:szCs w:val="32"/>
          <w:shd w:val="clear" w:color="auto" w:fill="FFFFFF"/>
          <w:lang w:val="en-US" w:eastAsia="zh-CN"/>
        </w:rPr>
        <w:t>年末目标完成情况为：按时据实支付，100%完成。</w:t>
      </w:r>
    </w:p>
    <w:p w14:paraId="1144E8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/>
          <w:color w:val="auto"/>
          <w:lang w:val="en-US" w:eastAsia="zh-CN"/>
        </w:rPr>
      </w:pPr>
      <w:r>
        <w:rPr>
          <w:rFonts w:hint="eastAsia" w:ascii="仿宋_GB2312" w:hAnsi="宋体"/>
          <w:color w:val="auto"/>
          <w:lang w:val="zh-CN"/>
        </w:rPr>
        <w:t>项目实施进度计划</w:t>
      </w:r>
      <w:r>
        <w:rPr>
          <w:rFonts w:hint="eastAsia" w:ascii="仿宋_GB2312" w:hAnsi="宋体"/>
          <w:color w:val="auto"/>
          <w:lang w:val="en-US" w:eastAsia="zh-CN"/>
        </w:rPr>
        <w:t>及资金拨付均据实据效实施。项目实施资金在预算控制范围内资金。</w:t>
      </w:r>
    </w:p>
    <w:p w14:paraId="2B0850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 w14:paraId="30A7C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项目经济效益：</w:t>
      </w:r>
      <w:r>
        <w:rPr>
          <w:rFonts w:hint="eastAsia" w:ascii="仿宋_GB2312" w:hAnsi="宋体"/>
          <w:lang w:val="en-US" w:eastAsia="zh-CN"/>
        </w:rPr>
        <w:t>提高义务兵家属优待</w:t>
      </w:r>
      <w:r>
        <w:rPr>
          <w:rFonts w:hint="eastAsia" w:ascii="仿宋_GB2312" w:hAnsi="宋体"/>
          <w:lang w:val="zh-CN"/>
        </w:rPr>
        <w:t>；社会效益：</w:t>
      </w:r>
      <w:r>
        <w:rPr>
          <w:rFonts w:hint="eastAsia" w:ascii="仿宋_GB2312" w:hAnsi="宋体"/>
          <w:lang w:val="en-US" w:eastAsia="zh-CN"/>
        </w:rPr>
        <w:t>使之与全市经济社会发展水平相适应；</w:t>
      </w:r>
      <w:r>
        <w:rPr>
          <w:rFonts w:hint="eastAsia" w:ascii="仿宋_GB2312" w:hAnsi="宋体"/>
          <w:lang w:val="zh-CN"/>
        </w:rPr>
        <w:t>可持续效益：</w:t>
      </w:r>
      <w:r>
        <w:rPr>
          <w:rFonts w:hint="eastAsia" w:ascii="仿宋_GB2312" w:hAnsi="宋体"/>
          <w:lang w:val="en-US" w:eastAsia="zh-CN"/>
        </w:rPr>
        <w:t>加强新形势下</w:t>
      </w:r>
      <w:bookmarkStart w:id="0" w:name="_GoBack"/>
      <w:bookmarkEnd w:id="0"/>
      <w:r>
        <w:rPr>
          <w:rFonts w:hint="eastAsia" w:ascii="仿宋_GB2312" w:hAnsi="宋体"/>
          <w:lang w:val="en-US" w:eastAsia="zh-CN"/>
        </w:rPr>
        <w:t>征兵工作，巩固国防建设；</w:t>
      </w:r>
      <w:r>
        <w:rPr>
          <w:rFonts w:hint="eastAsia" w:ascii="仿宋_GB2312" w:hAnsi="宋体"/>
          <w:lang w:val="zh-CN"/>
        </w:rPr>
        <w:t>服务对象满意度：</w:t>
      </w:r>
      <w:r>
        <w:rPr>
          <w:rFonts w:hint="eastAsia" w:ascii="仿宋_GB2312" w:hAnsi="宋体"/>
          <w:lang w:val="en-US" w:eastAsia="zh-CN"/>
        </w:rPr>
        <w:t>100%</w:t>
      </w:r>
      <w:r>
        <w:rPr>
          <w:rFonts w:hint="eastAsia" w:ascii="仿宋_GB2312" w:hAnsi="宋体"/>
          <w:lang w:val="zh-CN"/>
        </w:rPr>
        <w:t>。</w:t>
      </w:r>
    </w:p>
    <w:p w14:paraId="7646A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五、评价结论及建议</w:t>
      </w:r>
    </w:p>
    <w:p w14:paraId="1FA8D7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（一）评价结论。</w:t>
      </w:r>
    </w:p>
    <w:p w14:paraId="68EC0E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bdr w:val="single" w:color="auto" w:sz="4" w:space="0"/>
          <w:lang w:val="zh-CN"/>
        </w:rPr>
      </w:pP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/>
        </w:rPr>
        <w:t>项目</w:t>
      </w:r>
      <w:r>
        <w:rPr>
          <w:rFonts w:hint="eastAsia" w:ascii="仿宋_GB2312" w:hAnsi="宋体"/>
          <w:lang w:val="en-US" w:eastAsia="zh-CN"/>
        </w:rPr>
        <w:t>结合</w:t>
      </w:r>
      <w:r>
        <w:rPr>
          <w:rFonts w:hint="eastAsia" w:ascii="仿宋_GB2312" w:hAnsi="宋体"/>
          <w:lang w:val="zh-CN"/>
        </w:rPr>
        <w:t>自身特点、评价重点及管理办法等要求，</w:t>
      </w:r>
      <w:r>
        <w:rPr>
          <w:rFonts w:hint="eastAsia" w:ascii="仿宋_GB2312" w:hAnsi="宋体"/>
          <w:lang w:val="en-US" w:eastAsia="zh-CN"/>
        </w:rPr>
        <w:t>按照</w:t>
      </w:r>
      <w:r>
        <w:rPr>
          <w:rFonts w:hint="eastAsia" w:ascii="仿宋_GB2312" w:hAnsi="宋体"/>
          <w:lang w:val="zh-CN"/>
        </w:rPr>
        <w:t>项目支出绩效评价指标体系对项目</w:t>
      </w:r>
      <w:r>
        <w:rPr>
          <w:rFonts w:hint="eastAsia" w:ascii="仿宋_GB2312" w:hAnsi="宋体"/>
          <w:lang w:val="en-US" w:eastAsia="zh-CN"/>
        </w:rPr>
        <w:t>逐项分析评价</w:t>
      </w:r>
      <w:r>
        <w:rPr>
          <w:rFonts w:hint="eastAsia" w:ascii="仿宋_GB2312" w:hAnsi="宋体"/>
          <w:lang w:val="zh-CN"/>
        </w:rPr>
        <w:t>。</w:t>
      </w:r>
      <w:r>
        <w:rPr>
          <w:rFonts w:hint="eastAsia" w:ascii="仿宋_GB2312" w:hAnsi="宋体"/>
          <w:lang w:val="en-US" w:eastAsia="zh-CN"/>
        </w:rPr>
        <w:t>该</w:t>
      </w:r>
      <w:r>
        <w:rPr>
          <w:rFonts w:hint="eastAsia" w:ascii="仿宋_GB2312" w:hAnsi="宋体"/>
          <w:lang w:val="zh-CN" w:eastAsia="zh-CN"/>
        </w:rPr>
        <w:t>项</w:t>
      </w:r>
      <w:r>
        <w:rPr>
          <w:rFonts w:hint="eastAsia" w:ascii="仿宋_GB2312" w:hAnsi="宋体"/>
          <w:lang w:val="zh-CN"/>
        </w:rPr>
        <w:t>目决策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8分、项目实施12分、完成结果</w:t>
      </w:r>
      <w:r>
        <w:rPr>
          <w:rFonts w:hint="eastAsia" w:ascii="仿宋_GB2312" w:hAnsi="宋体"/>
          <w:lang w:val="en-US" w:eastAsia="zh-CN"/>
        </w:rPr>
        <w:t>8.08</w:t>
      </w:r>
      <w:r>
        <w:rPr>
          <w:rFonts w:hint="eastAsia" w:ascii="仿宋_GB2312" w:hAnsi="宋体"/>
          <w:lang w:val="zh-CN"/>
        </w:rPr>
        <w:t>分、项目效果</w:t>
      </w:r>
      <w:r>
        <w:rPr>
          <w:rFonts w:hint="eastAsia" w:ascii="仿宋_GB2312" w:hAnsi="宋体"/>
          <w:lang w:val="en-US" w:eastAsia="zh-CN"/>
        </w:rPr>
        <w:t>得分20分、</w:t>
      </w:r>
      <w:r>
        <w:rPr>
          <w:rFonts w:hint="eastAsia" w:ascii="仿宋_GB2312" w:hAnsi="宋体"/>
          <w:lang w:val="zh-CN"/>
        </w:rPr>
        <w:t>产出指标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30分、效益指标</w:t>
      </w:r>
      <w:r>
        <w:rPr>
          <w:rFonts w:hint="eastAsia" w:ascii="仿宋_GB2312" w:hAnsi="宋体"/>
          <w:lang w:val="en-US" w:eastAsia="zh-CN"/>
        </w:rPr>
        <w:t>得分10分、</w:t>
      </w:r>
      <w:r>
        <w:rPr>
          <w:rFonts w:hint="eastAsia" w:ascii="仿宋_GB2312" w:hAnsi="宋体"/>
          <w:lang w:val="zh-CN"/>
        </w:rPr>
        <w:t>满意度指标</w:t>
      </w:r>
      <w:r>
        <w:rPr>
          <w:rFonts w:hint="eastAsia" w:ascii="仿宋_GB2312" w:hAnsi="宋体"/>
          <w:lang w:val="en-US" w:eastAsia="zh-CN"/>
        </w:rPr>
        <w:t>得分</w:t>
      </w:r>
      <w:r>
        <w:rPr>
          <w:rFonts w:hint="eastAsia" w:ascii="仿宋_GB2312" w:hAnsi="宋体"/>
          <w:lang w:val="zh-CN"/>
        </w:rPr>
        <w:t>10分。</w:t>
      </w:r>
      <w:r>
        <w:rPr>
          <w:rFonts w:hint="eastAsia" w:ascii="仿宋_GB2312" w:hAnsi="宋体"/>
          <w:lang w:val="en-US" w:eastAsia="zh-CN"/>
        </w:rPr>
        <w:t>部门整体支出绩效得分为98.08分，整体效果良好。</w:t>
      </w:r>
    </w:p>
    <w:p w14:paraId="43DAD3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（二）存在的问题。</w:t>
      </w:r>
    </w:p>
    <w:p w14:paraId="7A0F2F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2421F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（三）相关建议。</w:t>
      </w:r>
    </w:p>
    <w:p w14:paraId="7BB31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 w14:paraId="72102283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85C5D8-A753-46E7-BE8C-23FA3C0A76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183D51A-E1B8-4845-9B05-5632D39CF78A}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76146FB-34AF-4028-8768-43A985DBF1E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29DC949-C220-4911-B887-45BE602B7D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4DFE60"/>
    <w:multiLevelType w:val="singleLevel"/>
    <w:tmpl w:val="5F4DFE60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771D4D51"/>
    <w:rsid w:val="04637E8C"/>
    <w:rsid w:val="08B71ADA"/>
    <w:rsid w:val="11AF7B43"/>
    <w:rsid w:val="134257E4"/>
    <w:rsid w:val="27BE3283"/>
    <w:rsid w:val="2AF86ED7"/>
    <w:rsid w:val="2C084BA5"/>
    <w:rsid w:val="45584B59"/>
    <w:rsid w:val="46434AD9"/>
    <w:rsid w:val="47BE0F47"/>
    <w:rsid w:val="5B3F3E68"/>
    <w:rsid w:val="67812633"/>
    <w:rsid w:val="6B980E4F"/>
    <w:rsid w:val="7346390C"/>
    <w:rsid w:val="771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1406</Words>
  <Characters>1440</Characters>
  <Lines>0</Lines>
  <Paragraphs>0</Paragraphs>
  <TotalTime>22</TotalTime>
  <ScaleCrop>false</ScaleCrop>
  <LinksUpToDate>false</LinksUpToDate>
  <CharactersWithSpaces>1441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2020-06-30T08:13:00Z</dcterms:created>
  <dc:creator>Administrator</dc:creator>
  <cp:lastModifiedBy>碧云天</cp:lastModifiedBy>
  <cp:lastPrinted>2020-07-07T07:49:00Z</cp:lastPrinted>
  <dcterms:modified xsi:type="dcterms:W3CDTF">2024-10-17T03:25:22Z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07816837671044F68E3695EA5C8F2A10</vt:lpwstr>
  </property>
</Properties>
</file>