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9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1BA36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（</w:t>
      </w:r>
      <w:r>
        <w:rPr>
          <w:rFonts w:hint="eastAsia" w:ascii="仿宋_GB2312" w:hAnsi="宋体"/>
          <w:lang w:val="en-US" w:eastAsia="zh-CN"/>
        </w:rPr>
        <w:t>自主择业军转干部待遇保障</w:t>
      </w:r>
      <w:r>
        <w:rPr>
          <w:rFonts w:hint="eastAsia" w:ascii="仿宋_GB2312" w:hAnsi="宋体"/>
        </w:rPr>
        <w:t>）</w:t>
      </w:r>
    </w:p>
    <w:p w14:paraId="0F99797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05098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51120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 w14:paraId="65AE1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1．说明项目主管部门（单位）在该项目管理中的职能。</w:t>
      </w:r>
      <w:r>
        <w:rPr>
          <w:rFonts w:hint="eastAsia" w:ascii="仿宋_GB2312" w:hAnsi="宋体"/>
          <w:color w:val="auto"/>
          <w:lang w:val="en-US" w:eastAsia="zh-CN"/>
        </w:rPr>
        <w:t>我单位相关业务股室作为该项目实施的责任人，办公室及局党组为该项目的监督责任人。</w:t>
      </w:r>
    </w:p>
    <w:p w14:paraId="0771A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2．项目立项、资金申报的依据。</w:t>
      </w:r>
      <w:r>
        <w:rPr>
          <w:rFonts w:hint="eastAsia" w:ascii="仿宋_GB2312" w:hAnsi="宋体"/>
          <w:lang w:val="en-US" w:eastAsia="zh-CN"/>
        </w:rPr>
        <w:t>依据中共中央 国务院 中央军委《关于进一步做好军队转业干部安置工作的意见》文件。</w:t>
      </w:r>
    </w:p>
    <w:p w14:paraId="6F4C5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3．资金管理办法制定情况，资金支持具体项目的条件、范围与支持方式概况。</w:t>
      </w:r>
      <w:r>
        <w:rPr>
          <w:rFonts w:hint="eastAsia" w:ascii="仿宋_GB2312" w:hAnsi="宋体"/>
          <w:lang w:val="en-US" w:eastAsia="zh-CN"/>
        </w:rPr>
        <w:t>严格按照医保保险政策，据实支付。</w:t>
      </w:r>
    </w:p>
    <w:p w14:paraId="3A722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4．资金分配的原则及考虑因素。</w:t>
      </w:r>
      <w:r>
        <w:rPr>
          <w:rFonts w:hint="eastAsia" w:ascii="仿宋_GB2312" w:hAnsi="宋体"/>
          <w:lang w:val="en-US" w:eastAsia="zh-CN"/>
        </w:rPr>
        <w:t>按照自主择业干部实有人数分配资金。</w:t>
      </w:r>
    </w:p>
    <w:p w14:paraId="6BA9C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369D2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1．项目主要内容。</w:t>
      </w:r>
      <w:r>
        <w:rPr>
          <w:rFonts w:hint="eastAsia" w:ascii="仿宋_GB2312" w:hAnsi="宋体"/>
          <w:lang w:val="en-US" w:eastAsia="zh-CN"/>
        </w:rPr>
        <w:t>主要用于自主择业干部医疗保险单位部分缴费，保障自主择业干部医疗待遇。</w:t>
      </w:r>
    </w:p>
    <w:p w14:paraId="12162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/>
          <w:lang w:val="zh-CN"/>
        </w:rPr>
        <w:t>2．项目应实现的具体绩效目标，包括目标的量化、细化情况以及项目实施进度计划等。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绩效设定目标为：按月完成28名自主择业干部医疗保险单位部分缴费。</w:t>
      </w:r>
    </w:p>
    <w:p w14:paraId="39EC8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及资金拨付按月据实据效。</w:t>
      </w:r>
    </w:p>
    <w:p w14:paraId="18B05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3．分析评价申报内容是否与实际相符，申报目标是否合理可行。</w:t>
      </w:r>
      <w:r>
        <w:rPr>
          <w:rFonts w:hint="eastAsia" w:ascii="仿宋_GB2312" w:hAnsi="宋体"/>
          <w:lang w:val="en-US" w:eastAsia="zh-CN"/>
        </w:rPr>
        <w:t>申报内容与实际相符，目标合理可行。</w:t>
      </w:r>
    </w:p>
    <w:p w14:paraId="405A7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 w14:paraId="5CB4A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项目绩效自评</w:t>
      </w:r>
      <w:r>
        <w:rPr>
          <w:rFonts w:hint="eastAsia" w:ascii="仿宋_GB2312" w:hAnsi="宋体"/>
          <w:color w:val="auto"/>
          <w:lang w:val="en-US" w:eastAsia="zh-CN"/>
        </w:rPr>
        <w:t>根据项目支出绩效评价指标体系内容，结合工作开展情况，逐项量化评价。</w:t>
      </w:r>
    </w:p>
    <w:p w14:paraId="0D6E7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 w14:paraId="44F17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43AC2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color w:val="auto"/>
          <w:lang w:val="en-US" w:eastAsia="zh-CN"/>
        </w:rPr>
        <w:t>该项目</w:t>
      </w:r>
      <w:r>
        <w:rPr>
          <w:rFonts w:hint="eastAsia" w:ascii="仿宋_GB2312" w:hAnsi="宋体"/>
          <w:color w:val="auto"/>
          <w:lang w:val="zh-CN"/>
        </w:rPr>
        <w:t>资金</w:t>
      </w:r>
      <w:r>
        <w:rPr>
          <w:rFonts w:hint="eastAsia" w:ascii="仿宋_GB2312" w:hAnsi="宋体"/>
          <w:color w:val="auto"/>
          <w:lang w:val="en-US" w:eastAsia="zh-CN"/>
        </w:rPr>
        <w:t>按照财政预算流程经一上、一下、二上、二下、人民代表大会讨论审定、财政批复进行预算下达，资金使用按时逐月向财政申请。</w:t>
      </w:r>
    </w:p>
    <w:p w14:paraId="2AAF7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（二）资金计划、到位及使用情况（可用表格形式反映）。</w:t>
      </w:r>
    </w:p>
    <w:p w14:paraId="0EB0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1．资金计划。</w:t>
      </w:r>
      <w:r>
        <w:rPr>
          <w:rFonts w:hint="eastAsia" w:ascii="仿宋_GB2312" w:hAnsi="宋体"/>
          <w:color w:val="auto"/>
          <w:lang w:val="zh-CN"/>
        </w:rPr>
        <w:t>该项目资金计划</w:t>
      </w:r>
      <w:r>
        <w:rPr>
          <w:rFonts w:hint="eastAsia" w:ascii="仿宋_GB2312" w:hAnsi="宋体"/>
          <w:color w:val="auto"/>
          <w:lang w:val="en-US" w:eastAsia="zh-CN"/>
        </w:rPr>
        <w:t>全部由县本级财政预算。无</w:t>
      </w:r>
      <w:r>
        <w:rPr>
          <w:rFonts w:hint="eastAsia" w:ascii="仿宋_GB2312" w:hAnsi="宋体"/>
          <w:color w:val="auto"/>
          <w:lang w:val="zh-CN"/>
        </w:rPr>
        <w:t>单位自筹、其他渠道资金。</w:t>
      </w:r>
    </w:p>
    <w:p w14:paraId="4712F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color w:val="auto"/>
          <w:lang w:val="zh-CN"/>
        </w:rPr>
        <w:t>2．资金到位。</w:t>
      </w:r>
      <w:r>
        <w:rPr>
          <w:rFonts w:hint="eastAsia" w:ascii="仿宋_GB2312" w:hAnsi="宋体"/>
          <w:color w:val="auto"/>
          <w:lang w:val="zh-CN"/>
        </w:rPr>
        <w:t>该项目资金截止评价时点，</w:t>
      </w:r>
      <w:r>
        <w:rPr>
          <w:rFonts w:hint="eastAsia" w:ascii="仿宋_GB2312" w:hAnsi="宋体"/>
          <w:color w:val="auto"/>
          <w:lang w:val="en-US" w:eastAsia="zh-CN"/>
        </w:rPr>
        <w:t>该项目预算为20.26万元，我单位按时按实向财政申请20.26万元已全部及时</w:t>
      </w:r>
      <w:r>
        <w:rPr>
          <w:rFonts w:hint="eastAsia" w:ascii="仿宋_GB2312" w:hAnsi="宋体"/>
          <w:color w:val="auto"/>
          <w:lang w:val="zh-CN"/>
        </w:rPr>
        <w:t>到位，</w:t>
      </w:r>
      <w:r>
        <w:rPr>
          <w:rFonts w:hint="eastAsia" w:ascii="仿宋_GB2312" w:hAnsi="宋体"/>
          <w:color w:val="auto"/>
          <w:lang w:val="en-US" w:eastAsia="zh-CN"/>
        </w:rPr>
        <w:t>均为本级财政安排。</w:t>
      </w:r>
    </w:p>
    <w:p w14:paraId="1184636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资金使用。</w:t>
      </w:r>
      <w:r>
        <w:rPr>
          <w:rFonts w:hint="eastAsia" w:ascii="仿宋_GB2312" w:hAnsi="宋体"/>
          <w:color w:val="auto"/>
          <w:lang w:val="zh-CN"/>
        </w:rPr>
        <w:t>该项目资金截至</w:t>
      </w:r>
      <w:bookmarkStart w:id="0" w:name="_GoBack"/>
      <w:bookmarkEnd w:id="0"/>
      <w:r>
        <w:rPr>
          <w:rFonts w:hint="eastAsia" w:ascii="仿宋_GB2312" w:hAnsi="宋体"/>
          <w:color w:val="auto"/>
          <w:lang w:val="zh-CN"/>
        </w:rPr>
        <w:t>评价时点，</w:t>
      </w:r>
      <w:r>
        <w:rPr>
          <w:rFonts w:hint="eastAsia" w:ascii="仿宋_GB2312" w:hAnsi="宋体"/>
          <w:color w:val="auto"/>
          <w:lang w:val="en-US" w:eastAsia="zh-CN"/>
        </w:rPr>
        <w:t>按实已全部</w:t>
      </w:r>
      <w:r>
        <w:rPr>
          <w:rFonts w:hint="eastAsia" w:ascii="仿宋_GB2312" w:hAnsi="宋体"/>
          <w:color w:val="auto"/>
          <w:lang w:val="zh-CN"/>
        </w:rPr>
        <w:t>支出，</w:t>
      </w:r>
      <w:r>
        <w:rPr>
          <w:rFonts w:hint="eastAsia" w:ascii="仿宋_GB2312" w:hAnsi="宋体"/>
          <w:color w:val="auto"/>
          <w:lang w:val="en-US" w:eastAsia="zh-CN"/>
        </w:rPr>
        <w:t>支付</w:t>
      </w:r>
      <w:r>
        <w:rPr>
          <w:rFonts w:hint="eastAsia" w:ascii="仿宋_GB2312" w:hAnsi="宋体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/>
          <w:color w:val="auto"/>
          <w:lang w:val="en-US" w:eastAsia="zh-CN"/>
        </w:rPr>
        <w:t>均</w:t>
      </w:r>
      <w:r>
        <w:rPr>
          <w:rFonts w:hint="eastAsia" w:ascii="仿宋_GB2312" w:hAnsi="宋体"/>
          <w:color w:val="auto"/>
          <w:lang w:val="zh-CN"/>
        </w:rPr>
        <w:t>合规合法、与预算相符。资金</w:t>
      </w:r>
      <w:r>
        <w:rPr>
          <w:rFonts w:hint="eastAsia" w:ascii="仿宋_GB2312" w:hAnsi="宋体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/>
          <w:color w:val="auto"/>
          <w:lang w:val="zh-CN"/>
        </w:rPr>
        <w:t>；</w:t>
      </w:r>
      <w:r>
        <w:rPr>
          <w:rFonts w:hint="eastAsia" w:ascii="仿宋_GB2312" w:hAnsi="宋体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/>
          <w:color w:val="auto"/>
          <w:lang w:val="zh-CN"/>
        </w:rPr>
        <w:t>规范性</w:t>
      </w:r>
      <w:r>
        <w:rPr>
          <w:rFonts w:hint="eastAsia" w:ascii="仿宋_GB2312" w:hAnsi="宋体"/>
          <w:color w:val="auto"/>
          <w:lang w:val="en-US" w:eastAsia="zh-CN"/>
        </w:rPr>
        <w:t>强；该资金使用有效保障了</w:t>
      </w:r>
      <w:r>
        <w:rPr>
          <w:rFonts w:hint="eastAsia" w:ascii="仿宋_GB2312" w:hAnsi="宋体"/>
          <w:lang w:val="en-US" w:eastAsia="zh-CN"/>
        </w:rPr>
        <w:t>自主择业干部医疗待遇</w:t>
      </w:r>
      <w:r>
        <w:rPr>
          <w:rFonts w:hint="eastAsia" w:ascii="仿宋_GB2312" w:hAnsi="宋体"/>
          <w:color w:val="auto"/>
          <w:lang w:val="en-US" w:eastAsia="zh-CN"/>
        </w:rPr>
        <w:t>，资金使用的</w:t>
      </w:r>
      <w:r>
        <w:rPr>
          <w:rFonts w:hint="eastAsia" w:ascii="仿宋_GB2312" w:hAnsi="宋体"/>
          <w:color w:val="auto"/>
          <w:lang w:val="zh-CN"/>
        </w:rPr>
        <w:t>有效性</w:t>
      </w:r>
      <w:r>
        <w:rPr>
          <w:rFonts w:hint="eastAsia" w:ascii="仿宋_GB2312" w:hAnsi="宋体"/>
          <w:color w:val="auto"/>
          <w:lang w:val="en-US" w:eastAsia="zh-CN"/>
        </w:rPr>
        <w:t>基本达到预定效果</w:t>
      </w:r>
      <w:r>
        <w:rPr>
          <w:rFonts w:hint="eastAsia" w:ascii="仿宋_GB2312" w:hAnsi="宋体"/>
          <w:color w:val="auto"/>
          <w:lang w:val="zh-CN"/>
        </w:rPr>
        <w:t>。</w:t>
      </w:r>
    </w:p>
    <w:p w14:paraId="1ED29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 w14:paraId="7CD1B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我局</w:t>
      </w:r>
      <w:r>
        <w:rPr>
          <w:rFonts w:hint="eastAsia" w:ascii="仿宋_GB2312" w:hAnsi="宋体"/>
          <w:lang w:val="zh-CN"/>
        </w:rPr>
        <w:t>财务管理制度健全，严格执行财务管理制度，账务处理及时，会计核算规范。</w:t>
      </w:r>
    </w:p>
    <w:p w14:paraId="40E66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 w14:paraId="0F9F1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（一）项目组织架构及实施流程。</w:t>
      </w:r>
      <w:r>
        <w:rPr>
          <w:rFonts w:hint="eastAsia" w:ascii="仿宋_GB2312" w:hAnsi="宋体"/>
          <w:color w:val="auto"/>
          <w:lang w:val="en-US" w:eastAsia="zh-CN"/>
        </w:rPr>
        <w:t>该项目为自主择业干部医疗保险缴费，主要领导审定的方式实施。</w:t>
      </w:r>
    </w:p>
    <w:p w14:paraId="7E085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（二）项目管理情况。</w:t>
      </w:r>
      <w:r>
        <w:rPr>
          <w:rFonts w:hint="eastAsia" w:ascii="仿宋_GB2312" w:hAnsi="宋体"/>
          <w:color w:val="auto"/>
          <w:lang w:val="zh-CN"/>
        </w:rPr>
        <w:t>结合</w:t>
      </w: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项目特点，</w:t>
      </w:r>
      <w:r>
        <w:rPr>
          <w:rFonts w:hint="eastAsia" w:ascii="仿宋_GB2312" w:hAnsi="宋体"/>
          <w:color w:val="auto"/>
          <w:lang w:val="en-US" w:eastAsia="zh-CN"/>
        </w:rPr>
        <w:t>我单位均按照据实据效的方式开展，严格执行预算法、财政资金支付有关规定。不涉及</w:t>
      </w:r>
      <w:r>
        <w:rPr>
          <w:rFonts w:hint="eastAsia" w:ascii="仿宋_GB2312" w:hAnsi="宋体"/>
          <w:color w:val="auto"/>
          <w:lang w:val="zh-CN"/>
        </w:rPr>
        <w:t>招投标、政府采购、项目公示制等相关规定。</w:t>
      </w:r>
    </w:p>
    <w:p w14:paraId="45A51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（三）项目监管情况。</w:t>
      </w:r>
      <w:r>
        <w:rPr>
          <w:rFonts w:hint="eastAsia" w:ascii="仿宋_GB2312" w:hAnsi="宋体"/>
          <w:color w:val="auto"/>
          <w:lang w:val="en-US" w:eastAsia="zh-CN"/>
        </w:rPr>
        <w:t>我单位严格</w:t>
      </w:r>
      <w:r>
        <w:rPr>
          <w:rFonts w:hint="eastAsia" w:ascii="仿宋_GB2312" w:hAnsi="宋体"/>
          <w:color w:val="auto"/>
          <w:lang w:val="zh-CN"/>
        </w:rPr>
        <w:t>项目管理</w:t>
      </w:r>
      <w:r>
        <w:rPr>
          <w:rFonts w:hint="eastAsia" w:ascii="仿宋_GB2312" w:hAnsi="宋体"/>
          <w:color w:val="auto"/>
          <w:lang w:val="zh-CN" w:eastAsia="zh-CN"/>
        </w:rPr>
        <w:t>，</w:t>
      </w:r>
      <w:r>
        <w:rPr>
          <w:rFonts w:hint="eastAsia" w:ascii="仿宋_GB2312" w:hAnsi="宋体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04640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四、项目绩效情况</w:t>
      </w:r>
      <w:r>
        <w:rPr>
          <w:rFonts w:hint="eastAsia" w:ascii="仿宋_GB2312" w:hAnsi="宋体"/>
          <w:lang w:val="zh-CN"/>
        </w:rPr>
        <w:tab/>
      </w:r>
    </w:p>
    <w:p w14:paraId="59156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775C4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年末目标完成情况为：按月按时据实支付，100%完成。</w:t>
      </w:r>
    </w:p>
    <w:p w14:paraId="5B14F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及资金拨付均据实据效实施。项目实施资金在预算控制范围内资金。</w:t>
      </w:r>
    </w:p>
    <w:p w14:paraId="7A158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 w14:paraId="622CD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zh-CN"/>
        </w:rPr>
        <w:t>社会效益：</w:t>
      </w:r>
      <w:r>
        <w:rPr>
          <w:rFonts w:hint="eastAsia" w:ascii="仿宋_GB2312" w:hAnsi="宋体"/>
          <w:lang w:val="en-US" w:eastAsia="zh-CN"/>
        </w:rPr>
        <w:t>保障自主择业干部医疗保险待遇；</w:t>
      </w:r>
      <w:r>
        <w:rPr>
          <w:rFonts w:hint="eastAsia" w:ascii="仿宋_GB2312" w:hAnsi="宋体"/>
          <w:lang w:val="zh-CN"/>
        </w:rPr>
        <w:t>可持续效益：</w:t>
      </w:r>
      <w:r>
        <w:rPr>
          <w:rFonts w:hint="eastAsia" w:ascii="仿宋_GB2312" w:hAnsi="宋体"/>
          <w:lang w:val="en-US" w:eastAsia="zh-CN"/>
        </w:rPr>
        <w:t>维护社会稳定；</w:t>
      </w:r>
      <w:r>
        <w:rPr>
          <w:rFonts w:hint="eastAsia" w:ascii="仿宋_GB2312" w:hAnsi="宋体"/>
          <w:lang w:val="zh-CN"/>
        </w:rPr>
        <w:t>服务对象满意度：</w:t>
      </w:r>
      <w:r>
        <w:rPr>
          <w:rFonts w:hint="eastAsia" w:ascii="仿宋_GB2312" w:hAnsi="宋体"/>
          <w:lang w:val="en-US" w:eastAsia="zh-CN"/>
        </w:rPr>
        <w:t>100%。</w:t>
      </w:r>
    </w:p>
    <w:p w14:paraId="02FD9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五、评价结论及建议</w:t>
      </w:r>
    </w:p>
    <w:p w14:paraId="4B93B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（一）评价结论。</w:t>
      </w:r>
    </w:p>
    <w:p w14:paraId="4B721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</w:t>
      </w:r>
      <w:r>
        <w:rPr>
          <w:rFonts w:hint="eastAsia" w:ascii="仿宋_GB2312" w:hAnsi="宋体"/>
          <w:color w:val="auto"/>
          <w:lang w:val="en-US" w:eastAsia="zh-CN"/>
        </w:rPr>
        <w:t>结合</w:t>
      </w:r>
      <w:r>
        <w:rPr>
          <w:rFonts w:hint="eastAsia" w:ascii="仿宋_GB2312" w:hAnsi="宋体"/>
          <w:color w:val="auto"/>
          <w:lang w:val="zh-CN"/>
        </w:rPr>
        <w:t>自身特点、评价重点及管理办法等要求，</w:t>
      </w:r>
      <w:r>
        <w:rPr>
          <w:rFonts w:hint="eastAsia" w:ascii="仿宋_GB2312" w:hAnsi="宋体"/>
          <w:color w:val="auto"/>
          <w:lang w:val="en-US" w:eastAsia="zh-CN"/>
        </w:rPr>
        <w:t>按照</w:t>
      </w:r>
      <w:r>
        <w:rPr>
          <w:rFonts w:hint="eastAsia" w:ascii="仿宋_GB2312" w:hAnsi="宋体"/>
          <w:color w:val="auto"/>
          <w:lang w:val="zh-CN"/>
        </w:rPr>
        <w:t>项目支出绩效评价指标体系对项目</w:t>
      </w:r>
      <w:r>
        <w:rPr>
          <w:rFonts w:hint="eastAsia" w:ascii="仿宋_GB2312" w:hAnsi="宋体"/>
          <w:color w:val="auto"/>
          <w:lang w:val="en-US" w:eastAsia="zh-CN"/>
        </w:rPr>
        <w:t>逐项分析评价</w:t>
      </w:r>
      <w:r>
        <w:rPr>
          <w:rFonts w:hint="eastAsia" w:ascii="仿宋_GB2312" w:hAnsi="宋体"/>
          <w:color w:val="auto"/>
          <w:lang w:val="zh-CN"/>
        </w:rPr>
        <w:t>。</w:t>
      </w: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 w:eastAsia="zh-CN"/>
        </w:rPr>
        <w:t>项</w:t>
      </w:r>
      <w:r>
        <w:rPr>
          <w:rFonts w:hint="eastAsia" w:ascii="仿宋_GB2312" w:hAnsi="宋体"/>
          <w:color w:val="auto"/>
          <w:lang w:val="zh-CN"/>
        </w:rPr>
        <w:t>目决策</w:t>
      </w:r>
      <w:r>
        <w:rPr>
          <w:rFonts w:hint="eastAsia" w:ascii="仿宋_GB2312" w:hAnsi="宋体"/>
          <w:color w:val="auto"/>
          <w:lang w:val="en-US" w:eastAsia="zh-CN"/>
        </w:rPr>
        <w:t>得分</w:t>
      </w:r>
      <w:r>
        <w:rPr>
          <w:rFonts w:hint="eastAsia" w:ascii="仿宋_GB2312" w:hAnsi="宋体"/>
          <w:color w:val="auto"/>
          <w:lang w:val="zh-CN"/>
        </w:rPr>
        <w:t>8分、项目实施12分、完成结果</w:t>
      </w:r>
      <w:r>
        <w:rPr>
          <w:rFonts w:hint="eastAsia" w:ascii="仿宋_GB2312" w:hAnsi="宋体"/>
          <w:color w:val="auto"/>
          <w:lang w:val="en-US" w:eastAsia="zh-CN"/>
        </w:rPr>
        <w:t>9.14</w:t>
      </w:r>
      <w:r>
        <w:rPr>
          <w:rFonts w:hint="eastAsia" w:ascii="仿宋_GB2312" w:hAnsi="宋体"/>
          <w:color w:val="auto"/>
          <w:lang w:val="zh-CN"/>
        </w:rPr>
        <w:t>分、项目效果</w:t>
      </w:r>
      <w:r>
        <w:rPr>
          <w:rFonts w:hint="eastAsia" w:ascii="仿宋_GB2312" w:hAnsi="宋体"/>
          <w:color w:val="auto"/>
          <w:lang w:val="en-US" w:eastAsia="zh-CN"/>
        </w:rPr>
        <w:t>得分20分、</w:t>
      </w:r>
      <w:r>
        <w:rPr>
          <w:rFonts w:hint="eastAsia" w:ascii="仿宋_GB2312" w:hAnsi="宋体"/>
          <w:color w:val="auto"/>
          <w:lang w:val="zh-CN"/>
        </w:rPr>
        <w:t>产出指标</w:t>
      </w:r>
      <w:r>
        <w:rPr>
          <w:rFonts w:hint="eastAsia" w:ascii="仿宋_GB2312" w:hAnsi="宋体"/>
          <w:color w:val="auto"/>
          <w:lang w:val="en-US" w:eastAsia="zh-CN"/>
        </w:rPr>
        <w:t>得分</w:t>
      </w:r>
      <w:r>
        <w:rPr>
          <w:rFonts w:hint="eastAsia" w:ascii="仿宋_GB2312" w:hAnsi="宋体"/>
          <w:color w:val="auto"/>
          <w:lang w:val="zh-CN"/>
        </w:rPr>
        <w:t>30分、效益指标</w:t>
      </w:r>
      <w:r>
        <w:rPr>
          <w:rFonts w:hint="eastAsia" w:ascii="仿宋_GB2312" w:hAnsi="宋体"/>
          <w:color w:val="auto"/>
          <w:lang w:val="en-US" w:eastAsia="zh-CN"/>
        </w:rPr>
        <w:t>得分10分、</w:t>
      </w:r>
      <w:r>
        <w:rPr>
          <w:rFonts w:hint="eastAsia" w:ascii="仿宋_GB2312" w:hAnsi="宋体"/>
          <w:color w:val="auto"/>
          <w:lang w:val="zh-CN"/>
        </w:rPr>
        <w:t>满意度指标</w:t>
      </w:r>
      <w:r>
        <w:rPr>
          <w:rFonts w:hint="eastAsia" w:ascii="仿宋_GB2312" w:hAnsi="宋体"/>
          <w:color w:val="auto"/>
          <w:lang w:val="en-US" w:eastAsia="zh-CN"/>
        </w:rPr>
        <w:t>得分</w:t>
      </w:r>
      <w:r>
        <w:rPr>
          <w:rFonts w:hint="eastAsia" w:ascii="仿宋_GB2312" w:hAnsi="宋体"/>
          <w:color w:val="auto"/>
          <w:lang w:val="zh-CN"/>
        </w:rPr>
        <w:t>10分。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部门整体支出绩效得分为99.14分，整体效果良好。</w:t>
      </w:r>
      <w:r>
        <w:rPr>
          <w:rFonts w:hint="eastAsia" w:ascii="楷体_GB2312" w:hAnsi="宋体" w:eastAsia="楷体_GB2312"/>
          <w:b/>
          <w:lang w:val="zh-CN"/>
        </w:rPr>
        <w:t>（二）存在的问题。</w:t>
      </w:r>
    </w:p>
    <w:p w14:paraId="525F3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无。</w:t>
      </w:r>
      <w:r>
        <w:rPr>
          <w:rFonts w:hint="eastAsia" w:ascii="仿宋_GB2312" w:hAnsi="宋体"/>
          <w:lang w:val="zh-CN"/>
        </w:rPr>
        <w:tab/>
      </w:r>
    </w:p>
    <w:p w14:paraId="4F8B0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（三）相关建议。</w:t>
      </w:r>
    </w:p>
    <w:p w14:paraId="2EA19308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65BFD-3C71-4E32-A2CD-4679E42670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9F1CA6-6FD0-4CA4-9AFC-7E4015E6E828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6D79F65-14BF-422F-B1BD-E9067AABB67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340208D-1094-4574-8FFC-2296BF90BA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DFE60"/>
    <w:multiLevelType w:val="singleLevel"/>
    <w:tmpl w:val="5F4DFE6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771D4D51"/>
    <w:rsid w:val="04637E8C"/>
    <w:rsid w:val="08B71ADA"/>
    <w:rsid w:val="0DC94E75"/>
    <w:rsid w:val="12C85A92"/>
    <w:rsid w:val="17290F0A"/>
    <w:rsid w:val="1A9606F3"/>
    <w:rsid w:val="1F9D0023"/>
    <w:rsid w:val="21CE5D15"/>
    <w:rsid w:val="27BE3283"/>
    <w:rsid w:val="2AF86ED7"/>
    <w:rsid w:val="391D677C"/>
    <w:rsid w:val="3F8C46F1"/>
    <w:rsid w:val="4F940B53"/>
    <w:rsid w:val="60026F63"/>
    <w:rsid w:val="67812633"/>
    <w:rsid w:val="771D4D51"/>
    <w:rsid w:val="7DE0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1424</Words>
  <Characters>1451</Characters>
  <Lines>0</Lines>
  <Paragraphs>0</Paragraphs>
  <TotalTime>0</TotalTime>
  <ScaleCrop>false</ScaleCrop>
  <LinksUpToDate>false</LinksUpToDate>
  <CharactersWithSpaces>1455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2020-06-30T08:13:00Z</dcterms:created>
  <dc:creator>Administrator</dc:creator>
  <cp:lastModifiedBy>碧云天</cp:lastModifiedBy>
  <cp:lastPrinted>2020-07-07T07:49:00Z</cp:lastPrinted>
  <dcterms:modified xsi:type="dcterms:W3CDTF">2024-10-17T03:31:57Z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51AE6282EDAA4E12998B643A61E8EB98</vt:lpwstr>
  </property>
</Properties>
</file>