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contextualSpacing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shd w:val="clear" w:color="auto" w:fill="FFFFFF"/>
          <w:lang w:eastAsia="zh-CN"/>
        </w:rPr>
        <w:t>峨边彝族自治县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shd w:val="clear" w:color="auto" w:fill="FFFFFF"/>
          <w:lang w:val="en-US" w:eastAsia="zh-CN"/>
        </w:rPr>
        <w:t>退役军人事务局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contextualSpacing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shd w:val="clear" w:color="auto" w:fill="FFFFFF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shd w:val="clear" w:color="auto" w:fill="FFFFFF"/>
          <w:lang w:val="en-US" w:eastAsia="zh-CN"/>
        </w:rPr>
        <w:t>22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shd w:val="clear" w:color="auto" w:fill="FFFFFF"/>
        </w:rPr>
        <w:t>年度部门整体支出绩效评价报告</w:t>
      </w:r>
    </w:p>
    <w:p>
      <w:pPr>
        <w:widowControl/>
        <w:adjustRightInd w:val="0"/>
        <w:snapToGrid w:val="0"/>
        <w:spacing w:line="580" w:lineRule="exact"/>
        <w:ind w:firstLine="480" w:firstLineChars="200"/>
        <w:contextualSpacing/>
        <w:jc w:val="left"/>
        <w:rPr>
          <w:rFonts w:ascii="黑体" w:hAnsi="宋体" w:eastAsia="黑体" w:cs="宋体"/>
          <w:color w:val="000000"/>
          <w:kern w:val="0"/>
          <w:sz w:val="24"/>
          <w:szCs w:val="32"/>
          <w:shd w:val="clear" w:color="auto" w:fill="FFFFFF"/>
        </w:rPr>
      </w:pP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宋体" w:eastAsia="黑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</w:rPr>
        <w:t>一、</w:t>
      </w:r>
      <w:r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  <w:lang w:val="zh-CN"/>
        </w:rPr>
        <w:t>部门基本情况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（一）机构组成。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峨边彝族自治县退役军人事务设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4个内设机构：办公室、优抚安置股、就业创业股、政策法规权益股。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机构职能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和人员概况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贯彻落实党中央、省委、市委关于退役军人工作的方针政策和县委的决策部署，坚持和加强党对退役军人工作的集中统一领导。做好退役军人思想政治建设、转业接收安置、就业创业帮扶、服务管理、教育培训、拥军优属、优待抚恤、褒扬激励等工作，维护好军人军属合法权益。建立健全退役军人管理保障机制，协调各方力量更好为军人军属服务，褒扬彰显退役军人为党、国家和人民牺牲奉献的精神风范和价值导向，让军人成为全社会尊崇的职业，更好地为增强部队战斗力和凝聚力做好组织保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峨边彝族自治县退役军人事务局核定行政人员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6人、退役军人服务中心核定事业人员4人；实有人数9人，在职人员9人。其中行政人员5人，事业人员3人，退役安置1人。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80" w:lineRule="exact"/>
        <w:ind w:left="0" w:leftChars="0"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年度主要工作任务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0" w:firstLineChars="200"/>
        <w:textAlignment w:val="auto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pacing w:val="0"/>
          <w:sz w:val="32"/>
          <w:szCs w:val="32"/>
          <w:lang w:val="en-US" w:eastAsia="zh-CN"/>
        </w:rPr>
        <w:t>始终聚焦县</w:t>
      </w:r>
      <w:r>
        <w:rPr>
          <w:rFonts w:hint="eastAsia" w:ascii="仿宋_GB2312" w:hAnsi="仿宋_GB2312" w:eastAsia="仿宋_GB2312" w:cs="仿宋_GB2312"/>
          <w:b w:val="0"/>
          <w:bCs/>
          <w:color w:val="auto"/>
          <w:spacing w:val="0"/>
          <w:sz w:val="32"/>
          <w:szCs w:val="32"/>
        </w:rPr>
        <w:t>委</w:t>
      </w:r>
      <w:r>
        <w:rPr>
          <w:rFonts w:hint="eastAsia" w:ascii="仿宋_GB2312" w:hAnsi="仿宋_GB2312" w:eastAsia="仿宋_GB2312" w:cs="仿宋_GB2312"/>
          <w:b w:val="0"/>
          <w:bCs/>
          <w:color w:val="auto"/>
          <w:spacing w:val="0"/>
          <w:sz w:val="32"/>
          <w:szCs w:val="32"/>
          <w:lang w:val="en-US" w:eastAsia="zh-CN"/>
        </w:rPr>
        <w:t>县</w:t>
      </w:r>
      <w:r>
        <w:rPr>
          <w:rFonts w:hint="eastAsia" w:ascii="仿宋_GB2312" w:hAnsi="仿宋_GB2312" w:eastAsia="仿宋_GB2312" w:cs="仿宋_GB2312"/>
          <w:b w:val="0"/>
          <w:bCs/>
          <w:color w:val="auto"/>
          <w:spacing w:val="0"/>
          <w:sz w:val="32"/>
          <w:szCs w:val="32"/>
        </w:rPr>
        <w:t>政府</w:t>
      </w:r>
      <w:r>
        <w:rPr>
          <w:rFonts w:hint="eastAsia" w:ascii="仿宋_GB2312" w:hAnsi="仿宋_GB2312" w:eastAsia="仿宋_GB2312" w:cs="仿宋_GB2312"/>
          <w:b w:val="0"/>
          <w:bCs/>
          <w:color w:val="auto"/>
          <w:spacing w:val="0"/>
          <w:sz w:val="32"/>
          <w:szCs w:val="32"/>
          <w:lang w:val="en-US" w:eastAsia="zh-CN"/>
        </w:rPr>
        <w:t>中心大局和</w:t>
      </w:r>
      <w:r>
        <w:rPr>
          <w:rFonts w:hint="eastAsia" w:ascii="仿宋_GB2312" w:hAnsi="仿宋_GB2312" w:eastAsia="仿宋_GB2312" w:cs="仿宋_GB2312"/>
          <w:b w:val="0"/>
          <w:bCs/>
          <w:color w:val="auto"/>
          <w:spacing w:val="0"/>
          <w:sz w:val="32"/>
          <w:szCs w:val="32"/>
        </w:rPr>
        <w:t>决策部署，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spacing w:val="0"/>
          <w:sz w:val="32"/>
          <w:szCs w:val="32"/>
          <w:lang w:val="en-US" w:eastAsia="zh-CN"/>
        </w:rPr>
        <w:t>坚持“稳字当头、稳中求进”工作基调，围绕“12345”工作思路，即围绕一个中心（以服务退役军人和军属为中心），夯实两个基本（健全退役军人平台系统，健全退役军人服务体系），实现三个目标（涉军队伍稳定、干部能力提升、工作评估优秀），抓实四个重点（优待证制发平稳有序、褒扬纪念提质增效、安置就业创新突破、涉军队伍和谐稳定），健全五个机制（党建引领机制、拥军优抚机制、关爱帮扶机制、自我建设机制、信息宣传机制），不断提升服务退役军人水平</w:t>
      </w:r>
      <w:r>
        <w:rPr>
          <w:rFonts w:hint="eastAsia" w:ascii="仿宋_GB2312" w:hAnsi="仿宋_GB2312" w:eastAsia="仿宋_GB2312" w:cs="仿宋_GB2312"/>
          <w:b w:val="0"/>
          <w:bCs/>
          <w:color w:val="auto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spacing w:val="0"/>
          <w:sz w:val="32"/>
          <w:szCs w:val="32"/>
          <w:lang w:val="en-US" w:eastAsia="zh-CN"/>
        </w:rPr>
        <w:t>维护</w:t>
      </w:r>
      <w:r>
        <w:rPr>
          <w:rFonts w:hint="eastAsia" w:ascii="仿宋_GB2312" w:hAnsi="仿宋_GB2312" w:eastAsia="仿宋_GB2312" w:cs="仿宋_GB2312"/>
          <w:b w:val="0"/>
          <w:bCs/>
          <w:color w:val="auto"/>
          <w:spacing w:val="0"/>
          <w:sz w:val="32"/>
          <w:szCs w:val="32"/>
        </w:rPr>
        <w:t>退役军人</w:t>
      </w:r>
      <w:r>
        <w:rPr>
          <w:rFonts w:hint="eastAsia" w:ascii="仿宋_GB2312" w:hAnsi="仿宋_GB2312" w:eastAsia="仿宋_GB2312" w:cs="仿宋_GB2312"/>
          <w:b w:val="0"/>
          <w:bCs/>
          <w:color w:val="auto"/>
          <w:spacing w:val="0"/>
          <w:sz w:val="32"/>
          <w:szCs w:val="32"/>
          <w:lang w:val="en-US" w:eastAsia="zh-CN"/>
        </w:rPr>
        <w:t>队伍和谐</w:t>
      </w:r>
      <w:r>
        <w:rPr>
          <w:rFonts w:hint="eastAsia" w:ascii="仿宋_GB2312" w:hAnsi="仿宋_GB2312" w:eastAsia="仿宋_GB2312" w:cs="仿宋_GB2312"/>
          <w:b w:val="0"/>
          <w:bCs/>
          <w:color w:val="auto"/>
          <w:spacing w:val="0"/>
          <w:sz w:val="32"/>
          <w:szCs w:val="32"/>
        </w:rPr>
        <w:t>稳定</w:t>
      </w:r>
      <w:r>
        <w:rPr>
          <w:rFonts w:hint="eastAsia" w:ascii="仿宋_GB2312" w:hAnsi="仿宋_GB2312" w:eastAsia="仿宋_GB2312" w:cs="仿宋_GB2312"/>
          <w:b w:val="0"/>
          <w:bCs/>
          <w:color w:val="auto"/>
          <w:spacing w:val="0"/>
          <w:sz w:val="32"/>
          <w:szCs w:val="32"/>
          <w:lang w:val="en-US" w:eastAsia="zh-CN"/>
        </w:rPr>
        <w:t>，为持续巩固脱贫成果、接续奋斗乡村振兴做出新的贡献，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spacing w:val="0"/>
          <w:sz w:val="32"/>
          <w:szCs w:val="32"/>
        </w:rPr>
        <w:t>以优异成绩迎接党的二十大胜利召开。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80" w:lineRule="exact"/>
        <w:ind w:left="0" w:leftChars="0"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部门整体支出绩效目标。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 w:eastAsia="zh-CN"/>
        </w:rPr>
      </w:pPr>
      <w:r>
        <w:rPr>
          <w:rFonts w:hint="eastAsia"/>
        </w:rPr>
        <w:t>我单位实行预算管理制度，根据财政局每年下发文件进行相应的预算管理编制和提交。严格预算执行，及时向财政局反映本部门预算执行情況，依法纠正违反 预算的行为。将单位预算管理活动与社会和人民的切身利益相结合，根据社会需求和人民需要进行合理预算管理工作，使预算管理计划成为行政事业单位建设社会、服务大众的方针导向。执行预算绩效管理，编制整体支出和项目支出绩效申报，使单位预算管理的最大效用，实现预算管理的目标与效果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宋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</w:rPr>
        <w:t>二、部门财政资金收支情况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</w:t>
      </w: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zh-CN"/>
        </w:rPr>
        <w:t>）部门财政资金收入情况。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default" w:ascii="仿宋_GB2312" w:hAnsi="宋体" w:cs="宋体"/>
          <w:color w:val="auto"/>
          <w:kern w:val="0"/>
          <w:szCs w:val="32"/>
          <w:shd w:val="clear" w:color="auto" w:fill="FFFFFF"/>
          <w:lang w:val="en-US"/>
        </w:rPr>
      </w:pP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  <w:t>退役军人事务局2022年财政拨款预算收入1314.8万元，其中上级资金623.29万元，县级资金691.51万元。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zh-CN"/>
        </w:rPr>
        <w:t>（二）部门财政资金支出情况。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zh-CN"/>
        </w:rPr>
        <w:t>基本支出</w:t>
      </w: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  <w:t>188.97万元，项目支出1125.83万元，其中项目14个，具体支出为：在乡复员、退伍军人生活补助项目24万元;义务兵优待项目168.12万元;烈士陵园提质改造项目1.31万元；其他优抚支出项目416.26万元；退役士兵安置项目68.3万元；军队移交政府的离退休人员安置项目79.03万元；军队移交政府离退休干部管理机构项目9.7万元；军队转业干部安置项目82.67万元；其他退役安置支出项目11.04万元；机关服务项目10万元；拥军优属项目152.82万元；优抚对象医疗项目6.63万元；其他国有土地使用权出让收入安排的支出项目90.98万元；用于其他社会公益事业的彩票公益金支出项目4.97万元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80" w:lineRule="exact"/>
        <w:ind w:left="0" w:leftChars="0" w:firstLine="640" w:firstLineChars="200"/>
        <w:contextualSpacing/>
        <w:jc w:val="left"/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zh-CN"/>
        </w:rPr>
        <w:t>部门财政资金结转结余情况。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default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zh-CN"/>
        </w:rPr>
        <w:t>结转结余项目资金</w:t>
      </w: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  <w:t>106.94万元，其中</w:t>
      </w: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zh-CN"/>
        </w:rPr>
        <w:t>军队移交政府的离退休人员安置资金</w:t>
      </w: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  <w:t>14.07万元；军队转业干部补助（省级）资金5.85万元；退役安置补助资金（省级）5.07万元；优抚安置事业单位补助资金55.03万元；军队转业干部补助资金（中央）2.81万元；</w:t>
      </w:r>
      <w:r>
        <w:rPr>
          <w:rFonts w:hint="default" w:ascii="仿宋_GB2312" w:hAnsi="宋体" w:eastAsia="仿宋_GB2312" w:cs="宋体"/>
          <w:color w:val="auto"/>
          <w:kern w:val="0"/>
          <w:szCs w:val="32"/>
          <w:shd w:val="clear" w:color="auto" w:fill="FFFFFF"/>
          <w:lang w:val="en-US" w:eastAsia="zh-CN"/>
        </w:rPr>
        <w:t>烈士纪念设施三年提升行动专项补助资金</w:t>
      </w: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  <w:t>10万元；优抚对象抚恤经费14.11</w:t>
      </w:r>
      <w:bookmarkStart w:id="0" w:name="_GoBack"/>
      <w:bookmarkEnd w:id="0"/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  <w:t>万元。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</w:rPr>
        <w:t>三、部门整体预算绩效管理情况</w:t>
      </w:r>
      <w:r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  <w:lang w:val="en-US" w:eastAsia="zh-CN"/>
        </w:rPr>
        <w:t xml:space="preserve"> 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（一）部门整体履职绩效分析。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1.部门管理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(1)预算管理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绩效目标编制要素完整，绩效指标已细化量化；以绩效指标数量为核心，评价绩效目标实际完成情况达到预期目标；年初预算编制科学准确；财务核算做账及时；科目使用准确；支出方向与预算吻合；严格执行八项规定情况，三公经费使用，差旅费报销、津补贴发放符合规定。开展绩效运行监控后，将绩效监控结果应用到预算调整。</w:t>
      </w:r>
    </w:p>
    <w:p>
      <w:pPr>
        <w:widowControl/>
        <w:numPr>
          <w:ilvl w:val="0"/>
          <w:numId w:val="2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内部控制管理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contextualSpacing/>
        <w:jc w:val="left"/>
        <w:rPr>
          <w:rFonts w:hint="default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 xml:space="preserve">    内控制度建设完整，内控制度执行规范。</w:t>
      </w:r>
    </w:p>
    <w:p>
      <w:pPr>
        <w:widowControl/>
        <w:numPr>
          <w:ilvl w:val="0"/>
          <w:numId w:val="2"/>
        </w:numPr>
        <w:adjustRightInd w:val="0"/>
        <w:snapToGrid w:val="0"/>
        <w:spacing w:line="580" w:lineRule="exact"/>
        <w:ind w:left="0" w:leftChars="0"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完成结果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firstLine="64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2022年无巡视巡察、人大联网监督、审计、财政检查反映问题。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（二）特定目标类项目绩效分析。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firstLine="640"/>
        <w:contextualSpacing/>
        <w:jc w:val="left"/>
        <w:rPr>
          <w:rFonts w:hint="default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我单位无100万以上项目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2.结果应用情况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eastAsia="黑体" w:cs="宋体"/>
          <w:color w:val="000000"/>
          <w:kern w:val="0"/>
          <w:szCs w:val="32"/>
          <w:shd w:val="clear" w:color="auto" w:fill="FFFFFF"/>
          <w:lang w:val="en-US" w:eastAsia="zh-CN"/>
        </w:rPr>
        <w:t>(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1)信息公开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绩效目标按要求向社会公开，并按要求将整体绩效自评和自行组织的评价情况向社会公开。</w:t>
      </w:r>
    </w:p>
    <w:p>
      <w:pPr>
        <w:widowControl/>
        <w:numPr>
          <w:ilvl w:val="0"/>
          <w:numId w:val="3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自评质量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contextualSpacing/>
        <w:jc w:val="left"/>
        <w:rPr>
          <w:rFonts w:hint="default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 xml:space="preserve">    整体支出自评准确率100%。</w:t>
      </w:r>
    </w:p>
    <w:p>
      <w:pPr>
        <w:widowControl/>
        <w:numPr>
          <w:ilvl w:val="0"/>
          <w:numId w:val="3"/>
        </w:numPr>
        <w:adjustRightInd w:val="0"/>
        <w:snapToGrid w:val="0"/>
        <w:spacing w:line="580" w:lineRule="exact"/>
        <w:ind w:left="0" w:leftChars="0"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整改反馈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contextualSpacing/>
        <w:jc w:val="left"/>
        <w:rPr>
          <w:rFonts w:hint="default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 xml:space="preserve">    无绩效管理过程中提出的问题，在规定时间内向财政部门反馈应用绩效结果报告。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宋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</w:rPr>
        <w:t>四、评价结论及建议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（一）评价结论。根据《峨边彝族自治县财政局 关于开展20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21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年财政绩效评价工作的通知》文件精神，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县退役军人事务局认真组织开展了部门整体支出绩效评价工作，绩效评价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得分：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100分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（二）存在问题。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预算不够细化、精准。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改进建议。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1、认真做好预算的编制，细化预算编制工作，优先保障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民生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费用支出项目。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2、加强财务管理，严格财务审批，完善内控制度建设，提高资金使用效能。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contextualSpacing/>
        <w:jc w:val="left"/>
        <w:textAlignment w:val="auto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</w:pP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left="5440" w:hanging="5440" w:hangingChars="1700"/>
        <w:contextualSpacing/>
        <w:jc w:val="left"/>
        <w:rPr>
          <w:rFonts w:hint="default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 xml:space="preserve">                          峨边彝族自治县退役军人事务局                                       2023年6月15日</w:t>
      </w:r>
    </w:p>
    <w:sectPr>
      <w:headerReference r:id="rId3" w:type="default"/>
      <w:footerReference r:id="rId4" w:type="even"/>
      <w:pgSz w:w="11906" w:h="16838"/>
      <w:pgMar w:top="907" w:right="1361" w:bottom="851" w:left="1361" w:header="851" w:footer="992" w:gutter="0"/>
      <w:pgNumType w:fmt="numberInDash" w:start="12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30831518"/>
    </w:sdtPr>
    <w:sdtContent>
      <w:p>
        <w:pPr>
          <w:pStyle w:val="6"/>
        </w:pP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 w:eastAsiaTheme="minorEastAsia"/>
            <w:sz w:val="28"/>
            <w:szCs w:val="28"/>
          </w:rPr>
          <w:t xml:space="preserve"> 12 -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</w:p>
    </w:sdtContent>
  </w:sdt>
  <w:p>
    <w:pPr>
      <w:pStyle w:val="6"/>
      <w:tabs>
        <w:tab w:val="right" w:pos="9184"/>
        <w:tab w:val="clear" w:pos="4153"/>
        <w:tab w:val="clear" w:pos="8306"/>
      </w:tabs>
      <w:rPr>
        <w:rFonts w:ascii="宋体" w:hAnsi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1970B1"/>
    <w:multiLevelType w:val="singleLevel"/>
    <w:tmpl w:val="F91970B1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FC77CE77"/>
    <w:multiLevelType w:val="singleLevel"/>
    <w:tmpl w:val="FC77CE77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713BBED"/>
    <w:multiLevelType w:val="singleLevel"/>
    <w:tmpl w:val="0713BBED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498E8B3E"/>
    <w:multiLevelType w:val="singleLevel"/>
    <w:tmpl w:val="498E8B3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3Y2I4YjYwZTY2YThlMzdkODkyZTQ5YmZmNjg4YTgifQ=="/>
  </w:docVars>
  <w:rsids>
    <w:rsidRoot w:val="00EC0174"/>
    <w:rsid w:val="00006E4D"/>
    <w:rsid w:val="00021652"/>
    <w:rsid w:val="00030311"/>
    <w:rsid w:val="00030782"/>
    <w:rsid w:val="00030B66"/>
    <w:rsid w:val="0006102A"/>
    <w:rsid w:val="00065B0F"/>
    <w:rsid w:val="00065E7E"/>
    <w:rsid w:val="000820BB"/>
    <w:rsid w:val="0008241B"/>
    <w:rsid w:val="00092280"/>
    <w:rsid w:val="00097FAE"/>
    <w:rsid w:val="000A3233"/>
    <w:rsid w:val="000A7CE3"/>
    <w:rsid w:val="000B04D6"/>
    <w:rsid w:val="000B15CE"/>
    <w:rsid w:val="000C40C6"/>
    <w:rsid w:val="000C79C1"/>
    <w:rsid w:val="000D208A"/>
    <w:rsid w:val="000E037E"/>
    <w:rsid w:val="000F659A"/>
    <w:rsid w:val="000F77B0"/>
    <w:rsid w:val="0010235D"/>
    <w:rsid w:val="00103A47"/>
    <w:rsid w:val="00106D4D"/>
    <w:rsid w:val="001119A2"/>
    <w:rsid w:val="001221D6"/>
    <w:rsid w:val="0012510A"/>
    <w:rsid w:val="00125F67"/>
    <w:rsid w:val="001261AE"/>
    <w:rsid w:val="001348A4"/>
    <w:rsid w:val="0014117C"/>
    <w:rsid w:val="00146FE8"/>
    <w:rsid w:val="0014767B"/>
    <w:rsid w:val="00147AED"/>
    <w:rsid w:val="00177AAF"/>
    <w:rsid w:val="00183850"/>
    <w:rsid w:val="00184D9F"/>
    <w:rsid w:val="0018561A"/>
    <w:rsid w:val="001A4749"/>
    <w:rsid w:val="001A4842"/>
    <w:rsid w:val="001A5833"/>
    <w:rsid w:val="001C2158"/>
    <w:rsid w:val="001C51F2"/>
    <w:rsid w:val="001C73AB"/>
    <w:rsid w:val="001D2EA4"/>
    <w:rsid w:val="001F47CE"/>
    <w:rsid w:val="001F5776"/>
    <w:rsid w:val="0020620D"/>
    <w:rsid w:val="002069BC"/>
    <w:rsid w:val="002069EB"/>
    <w:rsid w:val="002201B0"/>
    <w:rsid w:val="00220900"/>
    <w:rsid w:val="0022307E"/>
    <w:rsid w:val="00224D05"/>
    <w:rsid w:val="002323A3"/>
    <w:rsid w:val="00236EF7"/>
    <w:rsid w:val="0024058A"/>
    <w:rsid w:val="002410C0"/>
    <w:rsid w:val="00252894"/>
    <w:rsid w:val="00253FA6"/>
    <w:rsid w:val="00254728"/>
    <w:rsid w:val="002550E7"/>
    <w:rsid w:val="002558D4"/>
    <w:rsid w:val="002560E2"/>
    <w:rsid w:val="00264CFA"/>
    <w:rsid w:val="00270DD7"/>
    <w:rsid w:val="00276F4A"/>
    <w:rsid w:val="00280BFB"/>
    <w:rsid w:val="00280C88"/>
    <w:rsid w:val="002973A4"/>
    <w:rsid w:val="002A0195"/>
    <w:rsid w:val="002B5B34"/>
    <w:rsid w:val="002B6906"/>
    <w:rsid w:val="002B7215"/>
    <w:rsid w:val="002C0AFD"/>
    <w:rsid w:val="002C59D0"/>
    <w:rsid w:val="002D1A18"/>
    <w:rsid w:val="002D6C79"/>
    <w:rsid w:val="002E1104"/>
    <w:rsid w:val="002E3FDD"/>
    <w:rsid w:val="00300EF4"/>
    <w:rsid w:val="00301353"/>
    <w:rsid w:val="00305FF6"/>
    <w:rsid w:val="00307568"/>
    <w:rsid w:val="00311506"/>
    <w:rsid w:val="00316ADB"/>
    <w:rsid w:val="00317623"/>
    <w:rsid w:val="00335F67"/>
    <w:rsid w:val="003361E9"/>
    <w:rsid w:val="00350A65"/>
    <w:rsid w:val="00350F79"/>
    <w:rsid w:val="00361C85"/>
    <w:rsid w:val="00371352"/>
    <w:rsid w:val="00376753"/>
    <w:rsid w:val="0038541D"/>
    <w:rsid w:val="00387818"/>
    <w:rsid w:val="00391A13"/>
    <w:rsid w:val="00391FD0"/>
    <w:rsid w:val="003A44FC"/>
    <w:rsid w:val="003B3299"/>
    <w:rsid w:val="003D10A2"/>
    <w:rsid w:val="003D33B8"/>
    <w:rsid w:val="003D624D"/>
    <w:rsid w:val="003D719A"/>
    <w:rsid w:val="003F5EB7"/>
    <w:rsid w:val="003F7FE2"/>
    <w:rsid w:val="004004E7"/>
    <w:rsid w:val="00416E1A"/>
    <w:rsid w:val="00426A3F"/>
    <w:rsid w:val="004277D4"/>
    <w:rsid w:val="00461638"/>
    <w:rsid w:val="004706FA"/>
    <w:rsid w:val="00474D8D"/>
    <w:rsid w:val="00475CCD"/>
    <w:rsid w:val="00477266"/>
    <w:rsid w:val="004811BC"/>
    <w:rsid w:val="004838F2"/>
    <w:rsid w:val="00486492"/>
    <w:rsid w:val="00492CF6"/>
    <w:rsid w:val="004A4C9D"/>
    <w:rsid w:val="004C2078"/>
    <w:rsid w:val="004C228F"/>
    <w:rsid w:val="004E752F"/>
    <w:rsid w:val="004F1E37"/>
    <w:rsid w:val="00515198"/>
    <w:rsid w:val="00521C44"/>
    <w:rsid w:val="005274E1"/>
    <w:rsid w:val="00531DDF"/>
    <w:rsid w:val="00535FA6"/>
    <w:rsid w:val="00542AB7"/>
    <w:rsid w:val="0055358D"/>
    <w:rsid w:val="005540C8"/>
    <w:rsid w:val="00555809"/>
    <w:rsid w:val="00557A35"/>
    <w:rsid w:val="00562165"/>
    <w:rsid w:val="005645BC"/>
    <w:rsid w:val="005756AF"/>
    <w:rsid w:val="00575A4A"/>
    <w:rsid w:val="00591B6F"/>
    <w:rsid w:val="005A1DAF"/>
    <w:rsid w:val="005C17C8"/>
    <w:rsid w:val="005C2098"/>
    <w:rsid w:val="005C2E6C"/>
    <w:rsid w:val="005D0CCF"/>
    <w:rsid w:val="005D1C01"/>
    <w:rsid w:val="005E297D"/>
    <w:rsid w:val="005E3F12"/>
    <w:rsid w:val="005F627E"/>
    <w:rsid w:val="0061652E"/>
    <w:rsid w:val="006205E9"/>
    <w:rsid w:val="00622D0B"/>
    <w:rsid w:val="006270DA"/>
    <w:rsid w:val="00630B75"/>
    <w:rsid w:val="00634DFF"/>
    <w:rsid w:val="00635337"/>
    <w:rsid w:val="0064265B"/>
    <w:rsid w:val="0064519C"/>
    <w:rsid w:val="0065082E"/>
    <w:rsid w:val="006512D0"/>
    <w:rsid w:val="006560A3"/>
    <w:rsid w:val="00656301"/>
    <w:rsid w:val="006600C9"/>
    <w:rsid w:val="006701CC"/>
    <w:rsid w:val="00671F58"/>
    <w:rsid w:val="006762A4"/>
    <w:rsid w:val="006900E7"/>
    <w:rsid w:val="006A00A8"/>
    <w:rsid w:val="006A482D"/>
    <w:rsid w:val="006B11E0"/>
    <w:rsid w:val="006B386A"/>
    <w:rsid w:val="006B7CB4"/>
    <w:rsid w:val="006C24D3"/>
    <w:rsid w:val="006C7917"/>
    <w:rsid w:val="006E51AE"/>
    <w:rsid w:val="0070081F"/>
    <w:rsid w:val="007018F5"/>
    <w:rsid w:val="00710897"/>
    <w:rsid w:val="00712F45"/>
    <w:rsid w:val="00734305"/>
    <w:rsid w:val="007370E1"/>
    <w:rsid w:val="007732A1"/>
    <w:rsid w:val="00774C4A"/>
    <w:rsid w:val="00782BBB"/>
    <w:rsid w:val="007A0690"/>
    <w:rsid w:val="007A078F"/>
    <w:rsid w:val="007B34D4"/>
    <w:rsid w:val="007C0633"/>
    <w:rsid w:val="007D086C"/>
    <w:rsid w:val="007F1BE1"/>
    <w:rsid w:val="007F707F"/>
    <w:rsid w:val="007F794C"/>
    <w:rsid w:val="007F7AC9"/>
    <w:rsid w:val="00803B42"/>
    <w:rsid w:val="008073EF"/>
    <w:rsid w:val="0081095C"/>
    <w:rsid w:val="00810C41"/>
    <w:rsid w:val="008212FF"/>
    <w:rsid w:val="0082593B"/>
    <w:rsid w:val="00827537"/>
    <w:rsid w:val="0083294D"/>
    <w:rsid w:val="008468EA"/>
    <w:rsid w:val="00867140"/>
    <w:rsid w:val="00881134"/>
    <w:rsid w:val="008904F0"/>
    <w:rsid w:val="008B2F27"/>
    <w:rsid w:val="008B4A72"/>
    <w:rsid w:val="008B585E"/>
    <w:rsid w:val="008E6C0C"/>
    <w:rsid w:val="008F1E63"/>
    <w:rsid w:val="008F3052"/>
    <w:rsid w:val="00901E19"/>
    <w:rsid w:val="009214F7"/>
    <w:rsid w:val="00921CD7"/>
    <w:rsid w:val="00940EB6"/>
    <w:rsid w:val="00944771"/>
    <w:rsid w:val="009601FC"/>
    <w:rsid w:val="00965426"/>
    <w:rsid w:val="0096654A"/>
    <w:rsid w:val="009711E4"/>
    <w:rsid w:val="00971572"/>
    <w:rsid w:val="00981E55"/>
    <w:rsid w:val="00986CEF"/>
    <w:rsid w:val="00987212"/>
    <w:rsid w:val="009A0E5F"/>
    <w:rsid w:val="009F1AF3"/>
    <w:rsid w:val="009F233E"/>
    <w:rsid w:val="00A024AB"/>
    <w:rsid w:val="00A050A5"/>
    <w:rsid w:val="00A05B8B"/>
    <w:rsid w:val="00A1372F"/>
    <w:rsid w:val="00A170EC"/>
    <w:rsid w:val="00A217B3"/>
    <w:rsid w:val="00A23D04"/>
    <w:rsid w:val="00A277D9"/>
    <w:rsid w:val="00A30CEB"/>
    <w:rsid w:val="00A31318"/>
    <w:rsid w:val="00A5432A"/>
    <w:rsid w:val="00A55F8A"/>
    <w:rsid w:val="00A9670E"/>
    <w:rsid w:val="00AA1423"/>
    <w:rsid w:val="00AB7996"/>
    <w:rsid w:val="00AC43C3"/>
    <w:rsid w:val="00AE2EAD"/>
    <w:rsid w:val="00AF77BE"/>
    <w:rsid w:val="00B11CEE"/>
    <w:rsid w:val="00B23428"/>
    <w:rsid w:val="00B264BF"/>
    <w:rsid w:val="00B42E74"/>
    <w:rsid w:val="00B46874"/>
    <w:rsid w:val="00B50E8F"/>
    <w:rsid w:val="00B51151"/>
    <w:rsid w:val="00B523E4"/>
    <w:rsid w:val="00B52B4F"/>
    <w:rsid w:val="00B6108C"/>
    <w:rsid w:val="00B649AD"/>
    <w:rsid w:val="00B64B9C"/>
    <w:rsid w:val="00B67A3E"/>
    <w:rsid w:val="00B735CC"/>
    <w:rsid w:val="00B82C95"/>
    <w:rsid w:val="00B83F87"/>
    <w:rsid w:val="00B84DFD"/>
    <w:rsid w:val="00BB4E38"/>
    <w:rsid w:val="00BC3879"/>
    <w:rsid w:val="00BD0E0D"/>
    <w:rsid w:val="00BD41BC"/>
    <w:rsid w:val="00BD55AD"/>
    <w:rsid w:val="00BE0305"/>
    <w:rsid w:val="00BF15F0"/>
    <w:rsid w:val="00BF7DF9"/>
    <w:rsid w:val="00C03559"/>
    <w:rsid w:val="00C05395"/>
    <w:rsid w:val="00C22AD7"/>
    <w:rsid w:val="00C272C1"/>
    <w:rsid w:val="00C32A68"/>
    <w:rsid w:val="00C34282"/>
    <w:rsid w:val="00C35350"/>
    <w:rsid w:val="00C3564B"/>
    <w:rsid w:val="00C53721"/>
    <w:rsid w:val="00C64D2E"/>
    <w:rsid w:val="00C70F97"/>
    <w:rsid w:val="00C7497C"/>
    <w:rsid w:val="00C757A2"/>
    <w:rsid w:val="00C75966"/>
    <w:rsid w:val="00C76577"/>
    <w:rsid w:val="00C80225"/>
    <w:rsid w:val="00C81349"/>
    <w:rsid w:val="00C93139"/>
    <w:rsid w:val="00CA08A0"/>
    <w:rsid w:val="00CA32D2"/>
    <w:rsid w:val="00CA4E07"/>
    <w:rsid w:val="00CA737D"/>
    <w:rsid w:val="00CB1EF5"/>
    <w:rsid w:val="00CC05D4"/>
    <w:rsid w:val="00CC7166"/>
    <w:rsid w:val="00CF5275"/>
    <w:rsid w:val="00CF6136"/>
    <w:rsid w:val="00D0023D"/>
    <w:rsid w:val="00D006C6"/>
    <w:rsid w:val="00D14A65"/>
    <w:rsid w:val="00D162B9"/>
    <w:rsid w:val="00D251E2"/>
    <w:rsid w:val="00D254F4"/>
    <w:rsid w:val="00D263A7"/>
    <w:rsid w:val="00D26B5D"/>
    <w:rsid w:val="00D33159"/>
    <w:rsid w:val="00D33A19"/>
    <w:rsid w:val="00D355B5"/>
    <w:rsid w:val="00D43DC3"/>
    <w:rsid w:val="00D51791"/>
    <w:rsid w:val="00D5281E"/>
    <w:rsid w:val="00D6531B"/>
    <w:rsid w:val="00D6612D"/>
    <w:rsid w:val="00D71AD9"/>
    <w:rsid w:val="00D73C02"/>
    <w:rsid w:val="00D872ED"/>
    <w:rsid w:val="00D913C6"/>
    <w:rsid w:val="00DA0236"/>
    <w:rsid w:val="00DA5D51"/>
    <w:rsid w:val="00DA5E29"/>
    <w:rsid w:val="00DA61CA"/>
    <w:rsid w:val="00DB66BB"/>
    <w:rsid w:val="00DB73AF"/>
    <w:rsid w:val="00DC2865"/>
    <w:rsid w:val="00DD0894"/>
    <w:rsid w:val="00DE1888"/>
    <w:rsid w:val="00DF1250"/>
    <w:rsid w:val="00DF6EF7"/>
    <w:rsid w:val="00E05454"/>
    <w:rsid w:val="00E074C3"/>
    <w:rsid w:val="00E23329"/>
    <w:rsid w:val="00E24D6D"/>
    <w:rsid w:val="00E341B2"/>
    <w:rsid w:val="00E42633"/>
    <w:rsid w:val="00E5699E"/>
    <w:rsid w:val="00E570E1"/>
    <w:rsid w:val="00E72773"/>
    <w:rsid w:val="00E76739"/>
    <w:rsid w:val="00E81946"/>
    <w:rsid w:val="00E82BB7"/>
    <w:rsid w:val="00E86D13"/>
    <w:rsid w:val="00E936C2"/>
    <w:rsid w:val="00E95346"/>
    <w:rsid w:val="00EA0CEF"/>
    <w:rsid w:val="00EA2E2A"/>
    <w:rsid w:val="00EB79D2"/>
    <w:rsid w:val="00EC0174"/>
    <w:rsid w:val="00ED3EEB"/>
    <w:rsid w:val="00ED5749"/>
    <w:rsid w:val="00ED5FA3"/>
    <w:rsid w:val="00ED68C4"/>
    <w:rsid w:val="00ED6A4E"/>
    <w:rsid w:val="00ED72EA"/>
    <w:rsid w:val="00EE3A4F"/>
    <w:rsid w:val="00EF10C3"/>
    <w:rsid w:val="00EF3BD2"/>
    <w:rsid w:val="00F16BCE"/>
    <w:rsid w:val="00F45DA1"/>
    <w:rsid w:val="00F5267B"/>
    <w:rsid w:val="00F53E8B"/>
    <w:rsid w:val="00F622C6"/>
    <w:rsid w:val="00F663FD"/>
    <w:rsid w:val="00F743B0"/>
    <w:rsid w:val="00F82409"/>
    <w:rsid w:val="00F8264F"/>
    <w:rsid w:val="00F833E9"/>
    <w:rsid w:val="00F84580"/>
    <w:rsid w:val="00F873DA"/>
    <w:rsid w:val="00F95982"/>
    <w:rsid w:val="00FA006C"/>
    <w:rsid w:val="00FA190E"/>
    <w:rsid w:val="00FA288B"/>
    <w:rsid w:val="00FA2997"/>
    <w:rsid w:val="00FA2C71"/>
    <w:rsid w:val="00FB3345"/>
    <w:rsid w:val="00FD0228"/>
    <w:rsid w:val="00FD3BB7"/>
    <w:rsid w:val="00FE0D93"/>
    <w:rsid w:val="00FF2572"/>
    <w:rsid w:val="00FF32AD"/>
    <w:rsid w:val="0B626B46"/>
    <w:rsid w:val="0D137BEC"/>
    <w:rsid w:val="117179C7"/>
    <w:rsid w:val="14E30640"/>
    <w:rsid w:val="18154ED2"/>
    <w:rsid w:val="18E20FDC"/>
    <w:rsid w:val="1F276127"/>
    <w:rsid w:val="2766330A"/>
    <w:rsid w:val="2BA424CF"/>
    <w:rsid w:val="39017F47"/>
    <w:rsid w:val="3A19022F"/>
    <w:rsid w:val="3D015D1B"/>
    <w:rsid w:val="3EBD26DF"/>
    <w:rsid w:val="40273E03"/>
    <w:rsid w:val="43BC772C"/>
    <w:rsid w:val="4802155C"/>
    <w:rsid w:val="48C80C76"/>
    <w:rsid w:val="50AC381F"/>
    <w:rsid w:val="51676880"/>
    <w:rsid w:val="5A2E1331"/>
    <w:rsid w:val="5ADC5AE6"/>
    <w:rsid w:val="632F5815"/>
    <w:rsid w:val="65046871"/>
    <w:rsid w:val="73596DAF"/>
    <w:rsid w:val="79310659"/>
    <w:rsid w:val="7A15161E"/>
    <w:rsid w:val="7B541E4C"/>
    <w:rsid w:val="7B822D2D"/>
    <w:rsid w:val="7E2947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 w:val="21"/>
      <w:szCs w:val="21"/>
    </w:rPr>
  </w:style>
  <w:style w:type="paragraph" w:styleId="3">
    <w:name w:val="Document Map"/>
    <w:basedOn w:val="1"/>
    <w:link w:val="14"/>
    <w:qFormat/>
    <w:uiPriority w:val="0"/>
    <w:rPr>
      <w:rFonts w:ascii="宋体" w:eastAsia="宋体"/>
      <w:sz w:val="18"/>
      <w:szCs w:val="18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basedOn w:val="10"/>
    <w:qFormat/>
    <w:uiPriority w:val="0"/>
  </w:style>
  <w:style w:type="paragraph" w:customStyle="1" w:styleId="12">
    <w:name w:val="四号正文"/>
    <w:basedOn w:val="1"/>
    <w:link w:val="13"/>
    <w:qFormat/>
    <w:uiPriority w:val="0"/>
    <w:pPr>
      <w:spacing w:line="360" w:lineRule="auto"/>
    </w:pPr>
    <w:rPr>
      <w:rFonts w:ascii="??" w:hAnsi="??" w:eastAsia="宋体" w:cs="宋体"/>
      <w:color w:val="000000"/>
      <w:kern w:val="0"/>
      <w:sz w:val="28"/>
      <w:szCs w:val="21"/>
    </w:rPr>
  </w:style>
  <w:style w:type="character" w:customStyle="1" w:styleId="13">
    <w:name w:val="四号正文 Char"/>
    <w:basedOn w:val="10"/>
    <w:link w:val="12"/>
    <w:qFormat/>
    <w:uiPriority w:val="0"/>
    <w:rPr>
      <w:rFonts w:ascii="??" w:hAnsi="??" w:eastAsia="宋体" w:cs="宋体"/>
      <w:color w:val="000000"/>
      <w:sz w:val="28"/>
      <w:szCs w:val="21"/>
      <w:lang w:val="en-US" w:eastAsia="zh-CN" w:bidi="ar-SA"/>
    </w:rPr>
  </w:style>
  <w:style w:type="character" w:customStyle="1" w:styleId="14">
    <w:name w:val="文档结构图 Char"/>
    <w:basedOn w:val="10"/>
    <w:link w:val="3"/>
    <w:qFormat/>
    <w:uiPriority w:val="0"/>
    <w:rPr>
      <w:rFonts w:ascii="宋体"/>
      <w:kern w:val="2"/>
      <w:sz w:val="18"/>
      <w:szCs w:val="18"/>
    </w:rPr>
  </w:style>
  <w:style w:type="paragraph" w:customStyle="1" w:styleId="15">
    <w:name w:val="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16">
    <w:name w:val="页脚 Char"/>
    <w:basedOn w:val="10"/>
    <w:link w:val="6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PSZX</Company>
  <Pages>1</Pages>
  <Words>41</Words>
  <Characters>237</Characters>
  <Lines>1</Lines>
  <Paragraphs>1</Paragraphs>
  <TotalTime>2</TotalTime>
  <ScaleCrop>false</ScaleCrop>
  <LinksUpToDate>false</LinksUpToDate>
  <CharactersWithSpaces>277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2019-10-29T08:36:00Z</dcterms:created>
  <dc:creator>陈萍</dc:creator>
  <cp:lastModifiedBy>admin</cp:lastModifiedBy>
  <cp:lastPrinted>2021-07-27T07:36:00Z</cp:lastPrinted>
  <dcterms:modified xsi:type="dcterms:W3CDTF">2023-07-06T08:16:29Z</dcterms:modified>
  <dc:title>区域性就业培训基地建设项目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0FDE5E891314455E85B54F4E82946E6E_13</vt:lpwstr>
  </property>
</Properties>
</file>