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bookmarkStart w:id="0" w:name="_GoBack"/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烈士陵园维护看护费（按实）</w:t>
      </w:r>
      <w:r>
        <w:rPr>
          <w:rFonts w:hint="eastAsia" w:ascii="仿宋_GB2312" w:hAnsi="宋体"/>
        </w:rPr>
        <w:t>）</w:t>
      </w:r>
      <w:bookmarkEnd w:id="0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根据四川省退役军人事务厅办公室《关于印发褒扬纪念工作指引的通知》（川退役军人办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〔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66号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）文件，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为传承和弘扬烈士精神，培育践行社会主义核心价值观，营造尊崇烈士、关爱烈属的浓厚氛围。</w:t>
      </w:r>
      <w:r>
        <w:rPr>
          <w:rFonts w:hint="eastAsia" w:ascii="仿宋_GB2312" w:hAnsi="宋体" w:eastAsia="仿宋_GB2312"/>
          <w:sz w:val="32"/>
          <w:szCs w:val="32"/>
        </w:rPr>
        <w:t>所需资金由所属地县（市、区）政府负责落实并足额发放。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为传承和弘扬烈士精神，培育践行社会主义核心价值观，营造尊崇烈士、关爱烈属的浓厚氛围。每年的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9月30日举行烈士公祭活动。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园区内卫生、环境绿化和安全保卫工作，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做好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陵园建筑物的日常维护与维修工作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绩效目标和指标设置按我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烈士公祭活动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人数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、日常管理维护、祭扫活动</w:t>
      </w:r>
      <w:r>
        <w:rPr>
          <w:rFonts w:hint="eastAsia" w:ascii="仿宋_GB2312" w:hAnsi="宋体" w:eastAsia="仿宋_GB2312"/>
          <w:sz w:val="32"/>
          <w:szCs w:val="32"/>
        </w:rPr>
        <w:t>设置，设置量化可考核，与实际支出数匹配，符合项目实质。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2.</w:t>
      </w: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该项目预算为2.76万元，我单位按时按实向财政申请2.76万元已全部及时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强；该资金使用有效保障了烈士陵园维护看护支出，资金使用的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14D91B3C"/>
    <w:rsid w:val="262F10C7"/>
    <w:rsid w:val="27BE3283"/>
    <w:rsid w:val="286A264A"/>
    <w:rsid w:val="2AF86ED7"/>
    <w:rsid w:val="3DC25F38"/>
    <w:rsid w:val="3FB5503B"/>
    <w:rsid w:val="45584B59"/>
    <w:rsid w:val="46434AD9"/>
    <w:rsid w:val="67812633"/>
    <w:rsid w:val="6B980E4F"/>
    <w:rsid w:val="7346390C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19541D809BF5435595F79C6EEED07E38</vt:lpwstr>
  </property>
</Properties>
</file>