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bookmarkStart w:id="0" w:name="_GoBack"/>
      <w:r>
        <w:rPr>
          <w:rFonts w:hint="eastAsia" w:ascii="仿宋_GB2312" w:hAnsi="宋体" w:cs="Times New Roman"/>
          <w:lang w:val="en-US" w:eastAsia="zh-CN"/>
        </w:rPr>
        <w:t>烈士陵园提质改造资金</w:t>
      </w:r>
      <w:bookmarkEnd w:id="0"/>
      <w:r>
        <w:rPr>
          <w:rFonts w:hint="eastAsia" w:ascii="仿宋_GB2312" w:hAnsi="宋体" w:cs="Times New Roman"/>
          <w:lang w:val="en-US" w:eastAsia="zh-CN"/>
        </w:rPr>
        <w:t>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color w:val="auto"/>
          <w:lang w:val="zh-CN"/>
        </w:rPr>
        <w:t>项目主管部门（单位）在该项目管理中的职能。</w:t>
      </w:r>
      <w:r>
        <w:rPr>
          <w:rFonts w:hint="eastAsia" w:ascii="仿宋_GB2312" w:hAnsi="宋体"/>
          <w:color w:val="auto"/>
          <w:lang w:val="en-US" w:eastAsia="zh-CN"/>
        </w:rPr>
        <w:t>我单位相关业务股室作为该项目实施的责任人，办公室及局党组为该项目的监督责任人。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2．项目立项、资金申报的依据。</w:t>
      </w:r>
      <w:r>
        <w:rPr>
          <w:rFonts w:hint="eastAsia" w:ascii="仿宋_GB2312" w:hAnsi="宋体"/>
          <w:lang w:val="en-US" w:eastAsia="zh-CN"/>
        </w:rPr>
        <w:t>传承和弘扬烈士精神，培育践行社会主义核心价值观，为社会各界及烈士亲属祭扫活动提供服务，营造尊崇烈士、关爱烈属的浓厚氛围，发挥爱国主义教育作用。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</w:t>
      </w:r>
      <w:r>
        <w:rPr>
          <w:rFonts w:hint="eastAsia" w:ascii="仿宋_GB2312" w:hAnsi="宋体"/>
          <w:color w:val="auto"/>
          <w:lang w:val="en-US" w:eastAsia="zh-CN"/>
        </w:rPr>
        <w:t>该项目涉及的经费按照政府收支科目规定据实列支，</w:t>
      </w: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支持方式根据业务工作开展情况据实列支</w:t>
      </w:r>
      <w:r>
        <w:rPr>
          <w:rFonts w:hint="eastAsia" w:ascii="仿宋_GB2312" w:hAnsi="宋体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4．资金分配的原则及考虑因素。</w:t>
      </w:r>
      <w:r>
        <w:rPr>
          <w:rFonts w:hint="eastAsia" w:ascii="仿宋_GB2312" w:hAnsi="宋体"/>
          <w:color w:val="auto"/>
          <w:lang w:val="zh-CN"/>
        </w:rPr>
        <w:t>资金分配</w:t>
      </w:r>
      <w:r>
        <w:rPr>
          <w:rFonts w:hint="eastAsia" w:ascii="仿宋_GB2312" w:hAnsi="宋体"/>
          <w:color w:val="auto"/>
          <w:lang w:val="en-US" w:eastAsia="zh-CN"/>
        </w:rPr>
        <w:t>原则根据业务工作量化原则，考虑因素为退役军人事务开展工作。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lang w:val="en-US" w:eastAsia="zh-CN"/>
        </w:rPr>
        <w:t>主要用于</w:t>
      </w:r>
      <w:r>
        <w:rPr>
          <w:rFonts w:hint="eastAsia" w:ascii="仿宋_GB2312" w:hAnsi="宋体"/>
          <w:lang w:val="en-US" w:eastAsia="zh-CN"/>
        </w:rPr>
        <w:t>对烈士陵园进行绿化、铺装改造、墓碑改造、增加景观挡墙、英烈文化展示墙、纪念墙</w:t>
      </w:r>
      <w:r>
        <w:rPr>
          <w:rFonts w:hint="eastAsia" w:ascii="仿宋_GB2312" w:hAnsi="宋体"/>
          <w:lang w:val="zh-CN"/>
        </w:rPr>
        <w:t>、</w:t>
      </w:r>
      <w:r>
        <w:rPr>
          <w:rFonts w:hint="eastAsia" w:ascii="仿宋_GB2312" w:hAnsi="宋体"/>
          <w:lang w:val="en-US" w:eastAsia="zh-CN"/>
        </w:rPr>
        <w:t>烈士陵园公共服务中心等提质改造。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绩效设定目标为：</w:t>
      </w:r>
      <w:r>
        <w:rPr>
          <w:rFonts w:hint="eastAsia" w:ascii="仿宋_GB2312" w:hAnsi="宋体"/>
          <w:lang w:val="en-US" w:eastAsia="zh-CN"/>
        </w:rPr>
        <w:t>传承和弘扬烈士精神，培育践行社会主义核心价值观，为社会各界及烈士亲属祭扫活动提供服务，营造尊崇烈士、关爱烈属的浓厚氛围，发挥爱国主义教育作用，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及资金拨付据实据效。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3．申报内容是否与实际相符，申报目标是否合理可行。</w:t>
      </w:r>
      <w:r>
        <w:rPr>
          <w:rFonts w:hint="eastAsia" w:ascii="仿宋_GB2312" w:hAnsi="宋体"/>
          <w:lang w:val="en-US" w:eastAsia="zh-CN"/>
        </w:rPr>
        <w:t>与实际相符，申报目标合理可行。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项目绩效自评</w:t>
      </w:r>
      <w:r>
        <w:rPr>
          <w:rFonts w:hint="eastAsia" w:ascii="仿宋_GB2312" w:hAnsi="宋体"/>
          <w:color w:val="auto"/>
          <w:lang w:val="en-US" w:eastAsia="zh-CN"/>
        </w:rPr>
        <w:t>根据项目支出绩效评价指标体系内容，结合工作开展情况，逐项量化评价。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按照【2021】29号解决退役军人事务局烈士陵园提质改造资金政府批示590万元用于烈士陵园提质改造工程，本项目工程立项批准文号峨边发改审【2021】6号，</w:t>
      </w:r>
      <w:r>
        <w:rPr>
          <w:rFonts w:hint="eastAsia" w:ascii="仿宋_GB2312" w:hAnsi="宋体"/>
          <w:lang w:val="zh-CN"/>
        </w:rPr>
        <w:t>符合资金管理办法等相关规定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eastAsia" w:ascii="仿宋_GB2312" w:hAnsi="宋体"/>
          <w:color w:val="auto"/>
          <w:lang w:val="en-US" w:eastAsia="zh-CN"/>
        </w:rPr>
        <w:t>由财政局预算，资金使用按实逐月向财政申请。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1．资金计划。</w:t>
      </w:r>
      <w:r>
        <w:rPr>
          <w:rFonts w:hint="eastAsia" w:ascii="楷体_GB2312" w:hAnsi="宋体" w:eastAsia="楷体_GB2312"/>
          <w:lang w:val="en-US" w:eastAsia="zh-CN"/>
        </w:rPr>
        <w:t>2019年-2022年优抚安置事业单位上级补助资金147.86万元，2021年县级政府批示590万元，资金及时到位。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en-US" w:eastAsia="zh-CN"/>
        </w:rPr>
        <w:t>2021年已支付工程款539.19万元，其中中央资金75.73万元，县级资金463.46万元，2022年4月按照合同约定支付第五次工程款89.36万元及零散烈士墓修缮刻碑费用1.62万元，共计90.98万元</w:t>
      </w:r>
      <w:r>
        <w:rPr>
          <w:rFonts w:hint="eastAsia" w:ascii="仿宋_GB2312" w:hAnsi="宋体"/>
          <w:lang w:val="zh-CN"/>
        </w:rPr>
        <w:t>，支付依据合规合法，资金支付与预算相符。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2．资金到位。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该项目预算为</w:t>
      </w:r>
      <w:r>
        <w:rPr>
          <w:rFonts w:hint="eastAsia" w:ascii="仿宋_GB2312" w:hAnsi="宋体"/>
          <w:lang w:val="en-US" w:eastAsia="zh-CN"/>
        </w:rPr>
        <w:t>90.98</w:t>
      </w:r>
      <w:r>
        <w:rPr>
          <w:rFonts w:hint="eastAsia" w:ascii="仿宋_GB2312" w:hAnsi="宋体"/>
          <w:color w:val="auto"/>
          <w:lang w:val="en-US" w:eastAsia="zh-CN"/>
        </w:rPr>
        <w:t>万元，我单位按时按实向财政申请</w:t>
      </w:r>
      <w:r>
        <w:rPr>
          <w:rFonts w:hint="eastAsia" w:ascii="仿宋_GB2312" w:hAnsi="宋体"/>
          <w:lang w:val="en-US" w:eastAsia="zh-CN"/>
        </w:rPr>
        <w:t>90.98</w:t>
      </w:r>
      <w:r>
        <w:rPr>
          <w:rFonts w:hint="eastAsia" w:ascii="仿宋_GB2312" w:hAnsi="宋体"/>
          <w:color w:val="auto"/>
          <w:lang w:val="en-US" w:eastAsia="zh-CN"/>
        </w:rPr>
        <w:t>万元已全部及时</w:t>
      </w:r>
      <w:r>
        <w:rPr>
          <w:rFonts w:hint="eastAsia" w:ascii="仿宋_GB2312" w:hAnsi="宋体"/>
          <w:color w:val="auto"/>
          <w:lang w:val="zh-CN"/>
        </w:rPr>
        <w:t>到位，</w:t>
      </w:r>
      <w:r>
        <w:rPr>
          <w:rFonts w:hint="eastAsia" w:ascii="仿宋_GB2312" w:hAnsi="宋体"/>
          <w:color w:val="auto"/>
          <w:lang w:val="en-US" w:eastAsia="zh-CN"/>
        </w:rPr>
        <w:t>均为本级财政安排。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资金使用。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按实已全部</w:t>
      </w:r>
      <w:r>
        <w:rPr>
          <w:rFonts w:hint="eastAsia" w:ascii="仿宋_GB2312" w:hAnsi="宋体"/>
          <w:color w:val="auto"/>
          <w:lang w:val="zh-CN"/>
        </w:rPr>
        <w:t>支出，</w:t>
      </w:r>
      <w:r>
        <w:rPr>
          <w:rFonts w:hint="eastAsia" w:ascii="仿宋_GB2312" w:hAnsi="宋体"/>
          <w:color w:val="auto"/>
          <w:lang w:val="en-US" w:eastAsia="zh-CN"/>
        </w:rPr>
        <w:t>支付</w:t>
      </w:r>
      <w:r>
        <w:rPr>
          <w:rFonts w:hint="eastAsia" w:ascii="仿宋_GB2312" w:hAnsi="宋体"/>
          <w:color w:val="auto"/>
          <w:lang w:val="zh-CN"/>
        </w:rPr>
        <w:t>范围、支付标准、支付进度、支付依据等</w:t>
      </w:r>
      <w:r>
        <w:rPr>
          <w:rFonts w:hint="eastAsia" w:ascii="仿宋_GB2312" w:hAnsi="宋体"/>
          <w:color w:val="auto"/>
          <w:lang w:val="en-US" w:eastAsia="zh-CN"/>
        </w:rPr>
        <w:t>均</w:t>
      </w:r>
      <w:r>
        <w:rPr>
          <w:rFonts w:hint="eastAsia" w:ascii="仿宋_GB2312" w:hAnsi="宋体"/>
          <w:color w:val="auto"/>
          <w:lang w:val="zh-CN"/>
        </w:rPr>
        <w:t>合规合法、与预算相符。资金</w:t>
      </w:r>
      <w:r>
        <w:rPr>
          <w:rFonts w:hint="eastAsia" w:ascii="仿宋_GB2312" w:hAnsi="宋体"/>
          <w:color w:val="auto"/>
          <w:lang w:val="en-US" w:eastAsia="zh-CN"/>
        </w:rPr>
        <w:t>拨付全部通过银行转账，安全性高</w:t>
      </w:r>
      <w:r>
        <w:rPr>
          <w:rFonts w:hint="eastAsia" w:ascii="仿宋_GB2312" w:hAnsi="宋体"/>
          <w:color w:val="auto"/>
          <w:lang w:val="zh-CN"/>
        </w:rPr>
        <w:t>；</w:t>
      </w:r>
      <w:r>
        <w:rPr>
          <w:rFonts w:hint="eastAsia" w:ascii="仿宋_GB2312" w:hAnsi="宋体"/>
          <w:color w:val="auto"/>
          <w:lang w:val="en-US" w:eastAsia="zh-CN"/>
        </w:rPr>
        <w:t>资金拨付按照财政资金列支程序实施，</w:t>
      </w:r>
      <w:r>
        <w:rPr>
          <w:rFonts w:hint="eastAsia" w:ascii="仿宋_GB2312" w:hAnsi="宋体"/>
          <w:color w:val="auto"/>
          <w:lang w:val="zh-CN"/>
        </w:rPr>
        <w:t>规范性</w:t>
      </w:r>
      <w:r>
        <w:rPr>
          <w:rFonts w:hint="eastAsia" w:ascii="仿宋_GB2312" w:hAnsi="宋体"/>
          <w:color w:val="auto"/>
          <w:lang w:val="en-US" w:eastAsia="zh-CN"/>
        </w:rPr>
        <w:t>强；该资金使用有效保障了</w:t>
      </w:r>
      <w:r>
        <w:rPr>
          <w:rFonts w:hint="eastAsia" w:ascii="仿宋_GB2312" w:hAnsi="宋体"/>
          <w:lang w:val="en-US" w:eastAsia="zh-CN"/>
        </w:rPr>
        <w:t>自主择业干部医疗待遇</w:t>
      </w:r>
      <w:r>
        <w:rPr>
          <w:rFonts w:hint="eastAsia" w:ascii="仿宋_GB2312" w:hAnsi="宋体"/>
          <w:color w:val="auto"/>
          <w:lang w:val="en-US" w:eastAsia="zh-CN"/>
        </w:rPr>
        <w:t>，资金使用的</w:t>
      </w:r>
      <w:r>
        <w:rPr>
          <w:rFonts w:hint="eastAsia" w:ascii="仿宋_GB2312" w:hAnsi="宋体"/>
          <w:color w:val="auto"/>
          <w:lang w:val="zh-CN"/>
        </w:rPr>
        <w:t>有效性</w:t>
      </w:r>
      <w:r>
        <w:rPr>
          <w:rFonts w:hint="eastAsia" w:ascii="仿宋_GB2312" w:hAnsi="宋体"/>
          <w:color w:val="auto"/>
          <w:lang w:val="en-US" w:eastAsia="zh-CN"/>
        </w:rPr>
        <w:t>基本达到预定效果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我局</w:t>
      </w:r>
      <w:r>
        <w:rPr>
          <w:rFonts w:hint="eastAsia" w:ascii="仿宋_GB2312" w:hAnsi="宋体"/>
          <w:lang w:val="zh-CN"/>
        </w:rPr>
        <w:t>财务管理制度健全，严格执行财务管理制度，账务处理及时，会计核算规范。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color w:val="auto"/>
          <w:lang w:val="en-US" w:eastAsia="zh-CN"/>
        </w:rPr>
        <w:t>该项目为主要领导审定的方式实施。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color w:val="auto"/>
          <w:lang w:val="zh-CN"/>
        </w:rPr>
        <w:t>结合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项目特点，</w:t>
      </w:r>
      <w:r>
        <w:rPr>
          <w:rFonts w:hint="eastAsia" w:ascii="仿宋_GB2312" w:hAnsi="宋体"/>
          <w:color w:val="auto"/>
          <w:lang w:val="en-US" w:eastAsia="zh-CN"/>
        </w:rPr>
        <w:t>我单位均按照据实据效的方式开展，严格执行预算法、财政资金支付有关规定。不涉及</w:t>
      </w:r>
      <w:r>
        <w:rPr>
          <w:rFonts w:hint="eastAsia" w:ascii="仿宋_GB2312" w:hAnsi="宋体"/>
          <w:color w:val="auto"/>
          <w:lang w:val="zh-CN"/>
        </w:rPr>
        <w:t>招投标、政府采购、项目公示制等相关规定。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（（三）项目监管情况。</w:t>
      </w:r>
      <w:r>
        <w:rPr>
          <w:rFonts w:hint="eastAsia" w:ascii="仿宋_GB2312" w:hAnsi="宋体"/>
          <w:color w:val="auto"/>
          <w:lang w:val="en-US" w:eastAsia="zh-CN"/>
        </w:rPr>
        <w:t>我单位严格</w:t>
      </w:r>
      <w:r>
        <w:rPr>
          <w:rFonts w:hint="eastAsia" w:ascii="仿宋_GB2312" w:hAnsi="宋体"/>
          <w:color w:val="auto"/>
          <w:lang w:val="zh-CN"/>
        </w:rPr>
        <w:t>项目管理</w:t>
      </w:r>
      <w:r>
        <w:rPr>
          <w:rFonts w:hint="eastAsia" w:ascii="仿宋_GB2312" w:hAnsi="宋体"/>
          <w:color w:val="auto"/>
          <w:lang w:val="zh-CN" w:eastAsia="zh-CN"/>
        </w:rPr>
        <w:t>，</w:t>
      </w:r>
      <w:r>
        <w:rPr>
          <w:rFonts w:hint="eastAsia" w:ascii="仿宋_GB2312" w:hAnsi="宋体"/>
          <w:color w:val="auto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年末目标完成情况为：按时据实支付，100%完成。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及资金拨付均据实据效实施。项目实施资金在预算控制范围内资金。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firstLine="640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社会效益：</w:t>
      </w:r>
      <w:r>
        <w:rPr>
          <w:rFonts w:hint="eastAsia" w:ascii="仿宋_GB2312" w:hAnsi="宋体"/>
          <w:lang w:val="en-US" w:eastAsia="zh-CN"/>
        </w:rPr>
        <w:t>传承和弘扬烈士精神，培育践行社会主义核心价值观</w:t>
      </w:r>
      <w:r>
        <w:rPr>
          <w:rFonts w:hint="eastAsia" w:ascii="仿宋_GB2312" w:hAnsi="宋体"/>
          <w:lang w:val="en-US" w:eastAsia="zh-CN"/>
        </w:rPr>
        <w:t>；</w:t>
      </w:r>
      <w:r>
        <w:rPr>
          <w:rFonts w:hint="eastAsia" w:ascii="仿宋_GB2312" w:hAnsi="宋体"/>
          <w:lang w:val="zh-CN"/>
        </w:rPr>
        <w:t>可持续效益：</w:t>
      </w:r>
      <w:r>
        <w:rPr>
          <w:rFonts w:hint="eastAsia" w:ascii="仿宋_GB2312" w:hAnsi="宋体"/>
          <w:sz w:val="32"/>
          <w:szCs w:val="32"/>
          <w:lang w:val="en-US" w:eastAsia="zh-CN"/>
        </w:rPr>
        <w:t>军人、军属、烈属</w:t>
      </w:r>
      <w:r>
        <w:rPr>
          <w:rFonts w:hint="eastAsia" w:ascii="仿宋_GB2312" w:hAnsi="宋体"/>
          <w:sz w:val="32"/>
          <w:szCs w:val="32"/>
          <w:lang w:eastAsia="zh-CN"/>
        </w:rPr>
        <w:t>满意度情况调查，广大群众的满意度比较高，好评率达到</w:t>
      </w:r>
      <w:r>
        <w:rPr>
          <w:rFonts w:hint="eastAsia" w:ascii="仿宋_GB2312" w:hAnsi="宋体"/>
          <w:sz w:val="32"/>
          <w:szCs w:val="32"/>
          <w:lang w:val="en-US" w:eastAsia="zh-CN"/>
        </w:rPr>
        <w:t>98%。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结合</w:t>
      </w:r>
      <w:r>
        <w:rPr>
          <w:rFonts w:hint="eastAsia" w:ascii="仿宋_GB2312" w:hAnsi="宋体"/>
          <w:lang w:val="zh-CN"/>
        </w:rPr>
        <w:t>自身特点、评价重点及管理办法等要求，</w:t>
      </w:r>
      <w:r>
        <w:rPr>
          <w:rFonts w:hint="eastAsia" w:ascii="仿宋_GB2312" w:hAnsi="宋体"/>
          <w:lang w:val="en-US" w:eastAsia="zh-CN"/>
        </w:rPr>
        <w:t>按照</w:t>
      </w:r>
      <w:r>
        <w:rPr>
          <w:rFonts w:hint="eastAsia" w:ascii="仿宋_GB2312" w:hAnsi="宋体"/>
          <w:lang w:val="zh-CN"/>
        </w:rPr>
        <w:t>项目支出绩效评价指标体系对项目</w:t>
      </w:r>
      <w:r>
        <w:rPr>
          <w:rFonts w:hint="eastAsia" w:ascii="仿宋_GB2312" w:hAnsi="宋体"/>
          <w:lang w:val="en-US" w:eastAsia="zh-CN"/>
        </w:rPr>
        <w:t>逐项分析评价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</w:t>
      </w:r>
      <w:r>
        <w:rPr>
          <w:rFonts w:hint="eastAsia" w:ascii="仿宋_GB2312" w:hAnsi="宋体"/>
          <w:lang w:val="zh-CN"/>
        </w:rPr>
        <w:t>目决策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8分、项目实施12分、完成结果</w:t>
      </w:r>
      <w:r>
        <w:rPr>
          <w:rFonts w:hint="eastAsia" w:ascii="仿宋_GB2312" w:hAnsi="宋体"/>
          <w:lang w:val="en-US" w:eastAsia="zh-CN"/>
        </w:rPr>
        <w:t>9.7</w:t>
      </w:r>
      <w:r>
        <w:rPr>
          <w:rFonts w:hint="eastAsia" w:ascii="仿宋_GB2312" w:hAnsi="宋体"/>
          <w:lang w:val="zh-CN"/>
        </w:rPr>
        <w:t>分、项目效果</w:t>
      </w:r>
      <w:r>
        <w:rPr>
          <w:rFonts w:hint="eastAsia" w:ascii="仿宋_GB2312" w:hAnsi="宋体"/>
          <w:lang w:val="en-US" w:eastAsia="zh-CN"/>
        </w:rPr>
        <w:t>得分20分、</w:t>
      </w:r>
      <w:r>
        <w:rPr>
          <w:rFonts w:hint="eastAsia" w:ascii="仿宋_GB2312" w:hAnsi="宋体"/>
          <w:lang w:val="zh-CN"/>
        </w:rPr>
        <w:t>产出指标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30分、效益指标</w:t>
      </w:r>
      <w:r>
        <w:rPr>
          <w:rFonts w:hint="eastAsia" w:ascii="仿宋_GB2312" w:hAnsi="宋体"/>
          <w:lang w:val="en-US" w:eastAsia="zh-CN"/>
        </w:rPr>
        <w:t>得分10分、</w:t>
      </w:r>
      <w:r>
        <w:rPr>
          <w:rFonts w:hint="eastAsia" w:ascii="仿宋_GB2312" w:hAnsi="宋体"/>
          <w:lang w:val="zh-CN"/>
        </w:rPr>
        <w:t>满意度指标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10分。</w:t>
      </w:r>
      <w:r>
        <w:rPr>
          <w:rFonts w:hint="eastAsia" w:ascii="仿宋_GB2312" w:hAnsi="宋体"/>
          <w:lang w:val="en-US" w:eastAsia="zh-CN"/>
        </w:rPr>
        <w:t>部门整体支出绩效得分为99.7分，整体效果良好。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4DFE60"/>
    <w:multiLevelType w:val="singleLevel"/>
    <w:tmpl w:val="5F4DFE60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D4D51"/>
    <w:rsid w:val="04637E8C"/>
    <w:rsid w:val="08B71ADA"/>
    <w:rsid w:val="08D86C90"/>
    <w:rsid w:val="143B0614"/>
    <w:rsid w:val="189B11B8"/>
    <w:rsid w:val="27BE3283"/>
    <w:rsid w:val="27C33133"/>
    <w:rsid w:val="2970452D"/>
    <w:rsid w:val="2AF86ED7"/>
    <w:rsid w:val="2D6948BC"/>
    <w:rsid w:val="303260C1"/>
    <w:rsid w:val="45584B59"/>
    <w:rsid w:val="4A794AC7"/>
    <w:rsid w:val="4AC9312B"/>
    <w:rsid w:val="4F4172A8"/>
    <w:rsid w:val="50B1436F"/>
    <w:rsid w:val="51DB394D"/>
    <w:rsid w:val="677511C5"/>
    <w:rsid w:val="67812633"/>
    <w:rsid w:val="6B980E4F"/>
    <w:rsid w:val="7346390C"/>
    <w:rsid w:val="76BC3D77"/>
    <w:rsid w:val="771D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2020-07-07T07:49:00Z</cp:lastPrinted>
  <dcterms:modified xsi:type="dcterms:W3CDTF">2023-07-04T06:56:59Z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B4C7C106D2F948A99301F29F34E70D11</vt:lpwstr>
  </property>
</Properties>
</file>