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2852E">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78441"/>
      <w:bookmarkStart w:id="3" w:name="_Toc15377425"/>
      <w:bookmarkStart w:id="4" w:name="_Toc15396597"/>
      <w:bookmarkStart w:id="5" w:name="_Toc15306267"/>
    </w:p>
    <w:p w14:paraId="1687A096">
      <w:pPr>
        <w:pStyle w:val="7"/>
        <w:spacing w:before="93"/>
      </w:pPr>
    </w:p>
    <w:p w14:paraId="10079A86">
      <w:pPr>
        <w:spacing w:line="600" w:lineRule="exact"/>
        <w:jc w:val="center"/>
        <w:outlineLvl w:val="0"/>
        <w:rPr>
          <w:rFonts w:ascii="方正小标宋简体" w:hAnsi="宋体" w:eastAsia="方正小标宋简体"/>
          <w:sz w:val="72"/>
          <w:szCs w:val="72"/>
        </w:rPr>
      </w:pPr>
    </w:p>
    <w:p w14:paraId="637FC7C9">
      <w:pPr>
        <w:spacing w:line="600" w:lineRule="exact"/>
        <w:jc w:val="center"/>
        <w:outlineLvl w:val="0"/>
        <w:rPr>
          <w:rFonts w:ascii="方正小标宋简体" w:hAnsi="宋体" w:eastAsia="方正小标宋简体"/>
          <w:sz w:val="72"/>
          <w:szCs w:val="72"/>
        </w:rPr>
      </w:pPr>
    </w:p>
    <w:p w14:paraId="3467A91E">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74150C2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77426"/>
      <w:bookmarkStart w:id="9" w:name="_Toc15396476"/>
      <w:bookmarkStart w:id="10" w:name="_Toc15396598"/>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峨边彝族自治县团县委</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部</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35C8FE4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6EAE146">
      <w:pPr>
        <w:widowControl/>
        <w:jc w:val="center"/>
        <w:rPr>
          <w:rFonts w:ascii="黑体" w:hAnsi="黑体" w:eastAsia="黑体" w:cstheme="minorBidi"/>
          <w:sz w:val="28"/>
          <w:szCs w:val="28"/>
        </w:rPr>
      </w:pPr>
    </w:p>
    <w:p w14:paraId="626D6C66">
      <w:pPr>
        <w:pStyle w:val="13"/>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 xml:space="preserve">月 </w:t>
      </w:r>
      <w:r>
        <w:rPr>
          <w:rFonts w:hint="eastAsia"/>
          <w:lang w:val="en-US" w:eastAsia="zh-CN"/>
        </w:rPr>
        <w:t>25</w:t>
      </w:r>
      <w:r>
        <w:rPr>
          <w:rFonts w:hint="eastAsia"/>
        </w:rPr>
        <w:t xml:space="preserve"> 日</w:t>
      </w:r>
    </w:p>
    <w:p w14:paraId="540C0822">
      <w:pPr>
        <w:pStyle w:val="37"/>
        <w:tabs>
          <w:tab w:val="right" w:leader="dot" w:pos="8306"/>
        </w:tabs>
      </w:pPr>
      <w:r>
        <w:rPr>
          <w:b/>
          <w:bCs/>
        </w:rPr>
        <w:fldChar w:fldCharType="begin"/>
      </w:r>
      <w:r>
        <w:instrText xml:space="preserve"> HYPERLINK \l _Toc11695_WPSOffice_Level1 </w:instrText>
      </w:r>
      <w:r>
        <w:rPr>
          <w:b/>
          <w:bCs/>
        </w:rPr>
        <w:fldChar w:fldCharType="separate"/>
      </w:r>
      <w:sdt>
        <w:sdtPr>
          <w:rPr>
            <w:rFonts w:ascii="Times New Roman" w:hAnsi="Times New Roman" w:eastAsia="宋体" w:cs="Times New Roman"/>
            <w:b/>
            <w:bCs/>
            <w:kern w:val="2"/>
            <w:sz w:val="24"/>
            <w:szCs w:val="24"/>
            <w:lang w:val="en-US" w:eastAsia="zh-CN" w:bidi="ar-SA"/>
          </w:rPr>
          <w:id w:val="147456001"/>
          <w:placeholder>
            <w:docPart w:val="{7480914b-3314-42c4-9e33-9ed6f64ca79b}"/>
          </w:placeholder>
        </w:sdtPr>
        <w:sdtEndPr>
          <w:rPr>
            <w:rFonts w:ascii="Times New Roman" w:hAnsi="Times New Roman" w:eastAsia="宋体" w:cs="Times New Roman"/>
            <w:b/>
            <w:bCs/>
            <w:kern w:val="2"/>
            <w:sz w:val="24"/>
            <w:szCs w:val="24"/>
            <w:lang w:val="en-US" w:eastAsia="zh-CN" w:bidi="ar-SA"/>
          </w:rPr>
        </w:sdtEndPr>
        <w:sdtContent>
          <w:r>
            <w:rPr>
              <w:rFonts w:hint="eastAsia" w:ascii="黑体" w:hAnsi="黑体" w:eastAsia="黑体" w:cs="Times New Roman"/>
              <w:b/>
              <w:bCs/>
              <w:sz w:val="24"/>
              <w:szCs w:val="24"/>
            </w:rPr>
            <w:t>第一部分 部门概况</w:t>
          </w:r>
        </w:sdtContent>
      </w:sdt>
      <w:r>
        <w:rPr>
          <w:b/>
          <w:bCs/>
        </w:rPr>
        <w:tab/>
      </w:r>
      <w:r>
        <w:rPr>
          <w:rFonts w:hint="eastAsia"/>
          <w:b/>
          <w:bCs/>
          <w:lang w:val="en-US" w:eastAsia="zh-CN"/>
        </w:rPr>
        <w:t>3</w:t>
      </w:r>
      <w:r>
        <w:rPr>
          <w:b/>
          <w:bCs/>
        </w:rPr>
        <w:fldChar w:fldCharType="end"/>
      </w:r>
    </w:p>
    <w:p w14:paraId="6CBA7BF6">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_Toc1780_WPSOffice_Level2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7249"/>
          <w:placeholder>
            <w:docPart w:val="{5dad3883-1ea1-4bf1-85e7-3fa70dac14b6}"/>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一、基本职能及主要工作</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fldChar w:fldCharType="end"/>
      </w:r>
    </w:p>
    <w:p w14:paraId="5661B1AB">
      <w:pPr>
        <w:pStyle w:val="38"/>
        <w:tabs>
          <w:tab w:val="right" w:leader="dot" w:pos="8306"/>
        </w:tabs>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_Toc29156_WPSOffice_Level2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5869"/>
          <w:placeholder>
            <w:docPart w:val="{2272f958-c633-43ee-bc49-ace855866b00}"/>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二、机构设置</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fldChar w:fldCharType="end"/>
      </w:r>
    </w:p>
    <w:p w14:paraId="0F6A8BD2">
      <w:pPr>
        <w:pStyle w:val="37"/>
        <w:tabs>
          <w:tab w:val="right" w:leader="dot" w:pos="8306"/>
        </w:tabs>
        <w:rPr>
          <w:rFonts w:hint="eastAsia" w:eastAsiaTheme="minorEastAsia"/>
          <w:lang w:val="en-US" w:eastAsia="zh-CN"/>
        </w:rPr>
      </w:pPr>
      <w:r>
        <w:rPr>
          <w:b/>
          <w:bCs/>
        </w:rPr>
        <w:fldChar w:fldCharType="begin"/>
      </w:r>
      <w:r>
        <w:instrText xml:space="preserve"> HYPERLINK \l _Toc1780_WPSOffice_Level1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8759"/>
          <w:placeholder>
            <w:docPart w:val="{734b6732-346c-4689-b924-5ee025b728fd}"/>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sz w:val="24"/>
              <w:szCs w:val="24"/>
            </w:rPr>
            <w:t>第二部分 202</w:t>
          </w:r>
          <w:r>
            <w:rPr>
              <w:rFonts w:hint="eastAsia" w:ascii="黑体" w:hAnsi="黑体" w:eastAsia="黑体" w:cs="Times New Roman"/>
              <w:b/>
              <w:bCs/>
              <w:sz w:val="24"/>
              <w:szCs w:val="24"/>
              <w:lang w:val="en-US" w:eastAsia="zh-CN"/>
            </w:rPr>
            <w:t>3</w:t>
          </w:r>
          <w:r>
            <w:rPr>
              <w:rFonts w:hint="eastAsia" w:ascii="黑体" w:hAnsi="黑体" w:eastAsia="黑体" w:cs="Times New Roman"/>
              <w:b/>
              <w:bCs/>
              <w:sz w:val="24"/>
              <w:szCs w:val="24"/>
            </w:rPr>
            <w:t>年度部门决算情况说明</w:t>
          </w:r>
        </w:sdtContent>
      </w:sdt>
      <w:r>
        <w:rPr>
          <w:b/>
          <w:bCs/>
        </w:rPr>
        <w:tab/>
      </w:r>
      <w:r>
        <w:rPr>
          <w:rFonts w:hint="eastAsia"/>
          <w:b/>
          <w:bCs/>
          <w:lang w:val="en-US" w:eastAsia="zh-CN"/>
        </w:rPr>
        <w:t>4</w:t>
      </w:r>
      <w:r>
        <w:rPr>
          <w:b/>
          <w:bCs/>
        </w:rPr>
        <w:fldChar w:fldCharType="end"/>
      </w:r>
    </w:p>
    <w:p w14:paraId="5656621B">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_Toc32570_WPSOffice_Level2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7565"/>
          <w:placeholder>
            <w:docPart w:val="{d9de7cd7-58a0-4fe9-bc98-0eb5388527b2}"/>
          </w:placeholder>
        </w:sdtPr>
        <w:sdtEndPr>
          <w:rPr>
            <w:rFonts w:hint="eastAsia" w:ascii="Times New Roman" w:hAnsi="Times New Roman" w:eastAsia="宋体" w:cs="Times New Roman"/>
            <w:color w:val="auto"/>
            <w:kern w:val="2"/>
            <w:sz w:val="24"/>
            <w:szCs w:val="24"/>
            <w:lang w:val="en-US" w:eastAsia="zh-CN" w:bidi="ar-SA"/>
          </w:rPr>
        </w:sdtEndPr>
        <w:sdtContent>
          <w:r>
            <w:rPr>
              <w:rFonts w:hint="default" w:ascii="Times New Roman" w:hAnsi="Times New Roman" w:eastAsia="宋体" w:cs="Times New Roman"/>
              <w:color w:val="auto"/>
              <w:kern w:val="2"/>
              <w:sz w:val="24"/>
              <w:szCs w:val="24"/>
              <w:lang w:val="en-US" w:eastAsia="zh-CN" w:bidi="ar-SA"/>
            </w:rPr>
            <w:t xml:space="preserve">一、 </w:t>
          </w:r>
          <w:r>
            <w:rPr>
              <w:rFonts w:hint="eastAsia" w:ascii="Times New Roman" w:hAnsi="Times New Roman" w:eastAsia="宋体" w:cs="Times New Roman"/>
              <w:color w:val="auto"/>
              <w:kern w:val="2"/>
              <w:sz w:val="24"/>
              <w:szCs w:val="24"/>
              <w:lang w:val="en-US" w:eastAsia="zh-CN" w:bidi="ar-SA"/>
            </w:rPr>
            <w:t>收入支出决算总体情况说明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fldChar w:fldCharType="end"/>
      </w:r>
    </w:p>
    <w:p w14:paraId="65E0C27B">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_Toc1557_WPSOffice_Level2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0075"/>
          <w:placeholder>
            <w:docPart w:val="{8b75882b-bb1b-41a4-b315-9ca6a5ea1884}"/>
          </w:placeholder>
        </w:sdtPr>
        <w:sdtEndPr>
          <w:rPr>
            <w:rFonts w:hint="eastAsia" w:ascii="Times New Roman" w:hAnsi="Times New Roman" w:eastAsia="宋体" w:cs="Times New Roman"/>
            <w:color w:val="auto"/>
            <w:kern w:val="2"/>
            <w:sz w:val="24"/>
            <w:szCs w:val="24"/>
            <w:lang w:val="en-US" w:eastAsia="zh-CN" w:bidi="ar-SA"/>
          </w:rPr>
        </w:sdtEndPr>
        <w:sdtContent>
          <w:r>
            <w:rPr>
              <w:rFonts w:hint="default" w:ascii="Times New Roman" w:hAnsi="Times New Roman" w:eastAsia="宋体" w:cs="Times New Roman"/>
              <w:color w:val="auto"/>
              <w:kern w:val="2"/>
              <w:sz w:val="24"/>
              <w:szCs w:val="24"/>
              <w:lang w:val="en-US" w:eastAsia="zh-CN" w:bidi="ar-SA"/>
            </w:rPr>
            <w:t xml:space="preserve">二、 </w:t>
          </w:r>
          <w:r>
            <w:rPr>
              <w:rFonts w:hint="eastAsia" w:ascii="Times New Roman" w:hAnsi="Times New Roman" w:eastAsia="宋体" w:cs="Times New Roman"/>
              <w:color w:val="auto"/>
              <w:kern w:val="2"/>
              <w:sz w:val="24"/>
              <w:szCs w:val="24"/>
              <w:lang w:val="en-US" w:eastAsia="zh-CN" w:bidi="ar-SA"/>
            </w:rPr>
            <w:t>收入决算情况说明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fldChar w:fldCharType="end"/>
      </w:r>
    </w:p>
    <w:p w14:paraId="475DF0F8">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_Toc352_WPSOffice_Level2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3601"/>
          <w:placeholder>
            <w:docPart w:val="{b7f1a40d-9afe-4e47-8702-7726ef24eca6}"/>
          </w:placeholder>
        </w:sdtPr>
        <w:sdtEndPr>
          <w:rPr>
            <w:rFonts w:hint="eastAsia" w:ascii="Times New Roman" w:hAnsi="Times New Roman" w:eastAsia="宋体" w:cs="Times New Roman"/>
            <w:color w:val="auto"/>
            <w:kern w:val="2"/>
            <w:sz w:val="24"/>
            <w:szCs w:val="24"/>
            <w:lang w:val="en-US" w:eastAsia="zh-CN" w:bidi="ar-SA"/>
          </w:rPr>
        </w:sdtEndPr>
        <w:sdtContent>
          <w:r>
            <w:rPr>
              <w:rFonts w:hint="default" w:ascii="Times New Roman" w:hAnsi="Times New Roman" w:eastAsia="宋体" w:cs="Times New Roman"/>
              <w:color w:val="auto"/>
              <w:kern w:val="2"/>
              <w:sz w:val="24"/>
              <w:szCs w:val="24"/>
              <w:lang w:val="en-US" w:eastAsia="zh-CN" w:bidi="ar-SA"/>
            </w:rPr>
            <w:t xml:space="preserve">三、 </w:t>
          </w:r>
          <w:r>
            <w:rPr>
              <w:rFonts w:hint="eastAsia" w:ascii="Times New Roman" w:hAnsi="Times New Roman" w:eastAsia="宋体" w:cs="Times New Roman"/>
              <w:color w:val="auto"/>
              <w:kern w:val="2"/>
              <w:sz w:val="24"/>
              <w:szCs w:val="24"/>
              <w:lang w:val="en-US" w:eastAsia="zh-CN" w:bidi="ar-SA"/>
            </w:rPr>
            <w:t>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fldChar w:fldCharType="end"/>
      </w:r>
    </w:p>
    <w:p w14:paraId="7A5602B8">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_Toc19101_WPSOffice_Level2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9507"/>
          <w:placeholder>
            <w:docPart w:val="{c78e22ef-25fe-4c8c-9d56-7a059acb1de7}"/>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四、财政拨款收入支出决算总体情况说明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lang w:val="en-US" w:eastAsia="zh-CN" w:bidi="ar-SA"/>
        </w:rPr>
        <w:fldChar w:fldCharType="end"/>
      </w:r>
    </w:p>
    <w:p w14:paraId="3A4498D9">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_Toc15736_WPSOffice_Level2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8529"/>
          <w:placeholder>
            <w:docPart w:val="{59519bfd-452a-44e5-9875-ded905d3d61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五、一般公共预算财政拨款支出决算情况说明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8</w:t>
      </w:r>
      <w:r>
        <w:rPr>
          <w:rFonts w:hint="eastAsia" w:ascii="Times New Roman" w:hAnsi="Times New Roman" w:eastAsia="宋体" w:cs="Times New Roman"/>
          <w:color w:val="auto"/>
          <w:kern w:val="2"/>
          <w:sz w:val="24"/>
          <w:szCs w:val="24"/>
          <w:lang w:val="en-US" w:eastAsia="zh-CN" w:bidi="ar-SA"/>
        </w:rPr>
        <w:fldChar w:fldCharType="end"/>
      </w:r>
    </w:p>
    <w:p w14:paraId="0843BE45">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_Toc14688_WPSOffice_Level2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2263"/>
          <w:placeholder>
            <w:docPart w:val="{4e3f507e-dc56-4a8d-a0fc-e08e33ab940c}"/>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六、一般公共预算财政拨款基本支出决算情况说明</w:t>
          </w:r>
        </w:sdtContent>
      </w:sdt>
      <w:r>
        <w:rPr>
          <w:rFonts w:hint="eastAsia" w:ascii="Times New Roman" w:hAnsi="Times New Roman" w:eastAsia="宋体" w:cs="Times New Roman"/>
          <w:color w:val="auto"/>
          <w:kern w:val="2"/>
          <w:sz w:val="24"/>
          <w:szCs w:val="24"/>
          <w:lang w:val="en-US" w:eastAsia="zh-CN" w:bidi="ar-SA"/>
        </w:rPr>
        <w:tab/>
      </w:r>
      <w:bookmarkStart w:id="12" w:name="_Toc14688_WPSOffice_Level2Page"/>
      <w:r>
        <w:rPr>
          <w:rFonts w:hint="eastAsia" w:ascii="Times New Roman" w:hAnsi="Times New Roman" w:eastAsia="宋体" w:cs="Times New Roman"/>
          <w:color w:val="auto"/>
          <w:kern w:val="2"/>
          <w:sz w:val="24"/>
          <w:szCs w:val="24"/>
          <w:lang w:val="en-US" w:eastAsia="zh-CN" w:bidi="ar-SA"/>
        </w:rPr>
        <w:t>1</w:t>
      </w:r>
      <w:bookmarkEnd w:id="12"/>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p>
    <w:p w14:paraId="6192ED14">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_Toc18350_WPSOffice_Level2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7061"/>
          <w:placeholder>
            <w:docPart w:val="{8f611492-0d13-43f5-8919-c5805a65a6c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七、“三公”经费财政拨款支出决算情况说明</w:t>
          </w:r>
        </w:sdtContent>
      </w:sdt>
      <w:r>
        <w:rPr>
          <w:rFonts w:hint="eastAsia" w:ascii="Times New Roman" w:hAnsi="Times New Roman" w:eastAsia="宋体" w:cs="Times New Roman"/>
          <w:color w:val="auto"/>
          <w:kern w:val="2"/>
          <w:sz w:val="24"/>
          <w:szCs w:val="24"/>
          <w:lang w:val="en-US" w:eastAsia="zh-CN" w:bidi="ar-SA"/>
        </w:rPr>
        <w:tab/>
      </w:r>
      <w:bookmarkStart w:id="13" w:name="_Toc18350_WPSOffice_Level2Page"/>
      <w:r>
        <w:rPr>
          <w:rFonts w:hint="eastAsia" w:ascii="Times New Roman" w:hAnsi="Times New Roman" w:eastAsia="宋体" w:cs="Times New Roman"/>
          <w:color w:val="auto"/>
          <w:kern w:val="2"/>
          <w:sz w:val="24"/>
          <w:szCs w:val="24"/>
          <w:lang w:val="en-US" w:eastAsia="zh-CN" w:bidi="ar-SA"/>
        </w:rPr>
        <w:t>1</w:t>
      </w:r>
      <w:bookmarkEnd w:id="13"/>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fldChar w:fldCharType="end"/>
      </w:r>
    </w:p>
    <w:p w14:paraId="0A306C05">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_Toc22629_WPSOffice_Level2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7720"/>
          <w:placeholder>
            <w:docPart w:val="{9e27c22c-f6b3-479e-b5ac-e89d3aea44f3}"/>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八、政府性基金预算支出决算情况说明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4</w:t>
      </w:r>
    </w:p>
    <w:p w14:paraId="11905EF4">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_Toc28233_WPSOffice_Level2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3963"/>
          <w:placeholder>
            <w:docPart w:val="{efd8704d-389b-4510-8f54-4781ad3635d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九、 国有资本经营预算支出决算情况说明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4</w:t>
      </w:r>
    </w:p>
    <w:p w14:paraId="46E75AB9">
      <w:pPr>
        <w:pStyle w:val="38"/>
        <w:tabs>
          <w:tab w:val="right" w:leader="dot" w:pos="8306"/>
        </w:tabs>
        <w:rPr>
          <w:lang w:val="en-US"/>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_Toc9136_WPSOffice_Level2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5589"/>
          <w:placeholder>
            <w:docPart w:val="{c086ffe8-1250-440f-a44e-9bcb79325900}"/>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十、 其他重要事项的情况说明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5</w:t>
      </w:r>
    </w:p>
    <w:p w14:paraId="70C6439A">
      <w:pPr>
        <w:pStyle w:val="37"/>
        <w:tabs>
          <w:tab w:val="right" w:leader="dot" w:pos="8306"/>
        </w:tabs>
        <w:rPr>
          <w:rFonts w:hint="eastAsia" w:ascii="黑体" w:hAnsi="黑体" w:eastAsia="黑体" w:cs="Times New Roman"/>
          <w:b/>
          <w:bCs/>
          <w:sz w:val="24"/>
          <w:szCs w:val="24"/>
          <w:lang w:val="en-US" w:eastAsia="zh-CN"/>
        </w:rPr>
      </w:pPr>
      <w:r>
        <w:rPr>
          <w:rFonts w:hint="eastAsia" w:ascii="黑体" w:hAnsi="黑体" w:eastAsia="黑体" w:cs="Times New Roman"/>
          <w:b/>
          <w:bCs/>
          <w:sz w:val="24"/>
          <w:szCs w:val="24"/>
        </w:rPr>
        <w:fldChar w:fldCharType="begin"/>
      </w:r>
      <w:r>
        <w:rPr>
          <w:rFonts w:hint="eastAsia" w:ascii="黑体" w:hAnsi="黑体" w:eastAsia="黑体" w:cs="Times New Roman"/>
          <w:b/>
          <w:bCs/>
          <w:sz w:val="24"/>
          <w:szCs w:val="24"/>
        </w:rPr>
        <w:instrText xml:space="preserve"> HYPERLINK \l _Toc18830_WPSOffice_Level1 </w:instrText>
      </w:r>
      <w:r>
        <w:rPr>
          <w:rFonts w:hint="eastAsia" w:ascii="黑体" w:hAnsi="黑体" w:eastAsia="黑体" w:cs="Times New Roman"/>
          <w:b/>
          <w:bCs/>
          <w:sz w:val="24"/>
          <w:szCs w:val="24"/>
        </w:rPr>
        <w:fldChar w:fldCharType="separate"/>
      </w:r>
      <w:sdt>
        <w:sdtPr>
          <w:rPr>
            <w:rFonts w:hint="eastAsia" w:ascii="黑体" w:hAnsi="黑体" w:eastAsia="黑体" w:cs="Times New Roman"/>
            <w:b/>
            <w:bCs/>
            <w:sz w:val="24"/>
            <w:szCs w:val="24"/>
            <w:lang w:val="en-US" w:eastAsia="zh-CN"/>
          </w:rPr>
          <w:id w:val="147475470"/>
          <w:placeholder>
            <w:docPart w:val="{1402391d-583f-4ef2-89b6-15a9015e6826}"/>
          </w:placeholder>
        </w:sdtPr>
        <w:sdtEndPr>
          <w:rPr>
            <w:rFonts w:hint="eastAsia" w:ascii="黑体" w:hAnsi="黑体" w:eastAsia="黑体" w:cs="Times New Roman"/>
            <w:b/>
            <w:bCs/>
            <w:sz w:val="24"/>
            <w:szCs w:val="24"/>
            <w:lang w:val="en-US" w:eastAsia="zh-CN"/>
          </w:rPr>
        </w:sdtEndPr>
        <w:sdtContent>
          <w:r>
            <w:rPr>
              <w:rFonts w:hint="eastAsia" w:ascii="黑体" w:hAnsi="黑体" w:eastAsia="黑体" w:cs="Times New Roman"/>
              <w:b/>
              <w:bCs/>
              <w:sz w:val="24"/>
              <w:szCs w:val="24"/>
            </w:rPr>
            <w:t>第三部分 名词解释</w:t>
          </w:r>
        </w:sdtContent>
      </w:sdt>
      <w:r>
        <w:rPr>
          <w:rFonts w:hint="eastAsia" w:ascii="黑体" w:hAnsi="黑体" w:eastAsia="黑体" w:cs="Times New Roman"/>
          <w:b/>
          <w:bCs/>
          <w:sz w:val="24"/>
          <w:szCs w:val="24"/>
        </w:rPr>
        <w:tab/>
      </w:r>
      <w:r>
        <w:rPr>
          <w:rFonts w:hint="eastAsia" w:ascii="黑体" w:hAnsi="黑体" w:eastAsia="黑体" w:cs="Times New Roman"/>
          <w:b/>
          <w:bCs/>
          <w:sz w:val="24"/>
          <w:szCs w:val="24"/>
          <w:lang w:val="en-US" w:eastAsia="zh-CN"/>
        </w:rPr>
        <w:t>1</w:t>
      </w:r>
      <w:r>
        <w:rPr>
          <w:rFonts w:hint="eastAsia" w:ascii="黑体" w:hAnsi="黑体" w:eastAsia="黑体" w:cs="Times New Roman"/>
          <w:b/>
          <w:bCs/>
          <w:sz w:val="24"/>
          <w:szCs w:val="24"/>
        </w:rPr>
        <w:fldChar w:fldCharType="end"/>
      </w:r>
      <w:r>
        <w:rPr>
          <w:rFonts w:hint="eastAsia" w:ascii="黑体" w:hAnsi="黑体" w:eastAsia="黑体" w:cs="Times New Roman"/>
          <w:b/>
          <w:bCs/>
          <w:sz w:val="24"/>
          <w:szCs w:val="24"/>
          <w:lang w:val="en-US" w:eastAsia="zh-CN"/>
        </w:rPr>
        <w:t>7</w:t>
      </w:r>
    </w:p>
    <w:p w14:paraId="37D0AD30">
      <w:pPr>
        <w:pStyle w:val="37"/>
        <w:tabs>
          <w:tab w:val="right" w:leader="dot" w:pos="8306"/>
        </w:tabs>
        <w:rPr>
          <w:rFonts w:hint="eastAsia" w:ascii="黑体" w:hAnsi="黑体" w:eastAsia="黑体" w:cs="Times New Roman"/>
          <w:b/>
          <w:bCs/>
          <w:sz w:val="24"/>
          <w:szCs w:val="24"/>
          <w:lang w:val="en-US" w:eastAsia="zh-CN"/>
        </w:rPr>
      </w:pPr>
      <w:r>
        <w:rPr>
          <w:rFonts w:hint="eastAsia" w:ascii="黑体" w:hAnsi="黑体" w:eastAsia="黑体" w:cs="Times New Roman"/>
          <w:b/>
          <w:bCs/>
          <w:sz w:val="24"/>
          <w:szCs w:val="24"/>
        </w:rPr>
        <w:fldChar w:fldCharType="begin"/>
      </w:r>
      <w:r>
        <w:rPr>
          <w:rFonts w:hint="eastAsia" w:ascii="黑体" w:hAnsi="黑体" w:eastAsia="黑体" w:cs="Times New Roman"/>
          <w:b/>
          <w:bCs/>
          <w:sz w:val="24"/>
          <w:szCs w:val="24"/>
        </w:rPr>
        <w:instrText xml:space="preserve"> HYPERLINK \l _Toc28863_WPSOffice_Level1 </w:instrText>
      </w:r>
      <w:r>
        <w:rPr>
          <w:rFonts w:hint="eastAsia" w:ascii="黑体" w:hAnsi="黑体" w:eastAsia="黑体" w:cs="Times New Roman"/>
          <w:b/>
          <w:bCs/>
          <w:sz w:val="24"/>
          <w:szCs w:val="24"/>
        </w:rPr>
        <w:fldChar w:fldCharType="separate"/>
      </w:r>
      <w:sdt>
        <w:sdtPr>
          <w:rPr>
            <w:rFonts w:hint="eastAsia" w:ascii="黑体" w:hAnsi="黑体" w:eastAsia="黑体" w:cs="Times New Roman"/>
            <w:b/>
            <w:bCs/>
            <w:sz w:val="24"/>
            <w:szCs w:val="24"/>
            <w:lang w:val="en-US" w:eastAsia="zh-CN"/>
          </w:rPr>
          <w:id w:val="147451708"/>
          <w:placeholder>
            <w:docPart w:val="{7dd19bb1-4f20-40ca-9602-04317ef330c2}"/>
          </w:placeholder>
        </w:sdtPr>
        <w:sdtEndPr>
          <w:rPr>
            <w:rFonts w:hint="eastAsia" w:ascii="黑体" w:hAnsi="黑体" w:eastAsia="黑体" w:cs="Times New Roman"/>
            <w:b/>
            <w:bCs/>
            <w:sz w:val="24"/>
            <w:szCs w:val="24"/>
            <w:lang w:val="en-US" w:eastAsia="zh-CN"/>
          </w:rPr>
        </w:sdtEndPr>
        <w:sdtContent>
          <w:r>
            <w:rPr>
              <w:rFonts w:hint="eastAsia" w:ascii="黑体" w:hAnsi="黑体" w:eastAsia="黑体" w:cs="Times New Roman"/>
              <w:b/>
              <w:bCs/>
              <w:sz w:val="24"/>
              <w:szCs w:val="24"/>
            </w:rPr>
            <w:t>第四部分 附件</w:t>
          </w:r>
        </w:sdtContent>
      </w:sdt>
      <w:r>
        <w:rPr>
          <w:rFonts w:hint="eastAsia" w:ascii="黑体" w:hAnsi="黑体" w:eastAsia="黑体" w:cs="Times New Roman"/>
          <w:b/>
          <w:bCs/>
          <w:sz w:val="24"/>
          <w:szCs w:val="24"/>
        </w:rPr>
        <w:tab/>
      </w:r>
      <w:r>
        <w:rPr>
          <w:rFonts w:hint="eastAsia" w:ascii="黑体" w:hAnsi="黑体" w:eastAsia="黑体" w:cs="Times New Roman"/>
          <w:b/>
          <w:bCs/>
          <w:sz w:val="24"/>
          <w:szCs w:val="24"/>
          <w:lang w:val="en-US" w:eastAsia="zh-CN"/>
        </w:rPr>
        <w:t>2</w:t>
      </w:r>
      <w:r>
        <w:rPr>
          <w:rFonts w:hint="eastAsia" w:ascii="黑体" w:hAnsi="黑体" w:eastAsia="黑体" w:cs="Times New Roman"/>
          <w:b/>
          <w:bCs/>
          <w:sz w:val="24"/>
          <w:szCs w:val="24"/>
        </w:rPr>
        <w:fldChar w:fldCharType="end"/>
      </w:r>
      <w:r>
        <w:rPr>
          <w:rFonts w:hint="eastAsia" w:ascii="黑体" w:hAnsi="黑体" w:eastAsia="黑体" w:cs="Times New Roman"/>
          <w:b/>
          <w:bCs/>
          <w:sz w:val="24"/>
          <w:szCs w:val="24"/>
          <w:lang w:val="en-US" w:eastAsia="zh-CN"/>
        </w:rPr>
        <w:t>1</w:t>
      </w:r>
    </w:p>
    <w:p w14:paraId="4B0D1794">
      <w:pPr>
        <w:pStyle w:val="37"/>
        <w:tabs>
          <w:tab w:val="right" w:leader="dot" w:pos="8306"/>
        </w:tabs>
        <w:rPr>
          <w:rFonts w:hint="eastAsia" w:eastAsia="黑体"/>
          <w:lang w:val="en-US" w:eastAsia="zh-CN"/>
        </w:rPr>
      </w:pPr>
      <w:r>
        <w:rPr>
          <w:rFonts w:hint="eastAsia" w:ascii="黑体" w:hAnsi="黑体" w:eastAsia="黑体" w:cs="Times New Roman"/>
          <w:b/>
          <w:bCs/>
          <w:sz w:val="24"/>
          <w:szCs w:val="24"/>
        </w:rPr>
        <w:fldChar w:fldCharType="begin"/>
      </w:r>
      <w:r>
        <w:rPr>
          <w:rFonts w:hint="eastAsia" w:ascii="黑体" w:hAnsi="黑体" w:eastAsia="黑体" w:cs="Times New Roman"/>
          <w:b/>
          <w:bCs/>
          <w:sz w:val="24"/>
          <w:szCs w:val="24"/>
        </w:rPr>
        <w:instrText xml:space="preserve"> HYPERLINK \l _Toc29156_WPSOffice_Level1 </w:instrText>
      </w:r>
      <w:r>
        <w:rPr>
          <w:rFonts w:hint="eastAsia" w:ascii="黑体" w:hAnsi="黑体" w:eastAsia="黑体" w:cs="Times New Roman"/>
          <w:b/>
          <w:bCs/>
          <w:sz w:val="24"/>
          <w:szCs w:val="24"/>
        </w:rPr>
        <w:fldChar w:fldCharType="separate"/>
      </w:r>
      <w:sdt>
        <w:sdtPr>
          <w:rPr>
            <w:rFonts w:hint="eastAsia" w:ascii="黑体" w:hAnsi="黑体" w:eastAsia="黑体" w:cs="Times New Roman"/>
            <w:b/>
            <w:bCs/>
            <w:sz w:val="24"/>
            <w:szCs w:val="24"/>
            <w:lang w:val="en-US" w:eastAsia="zh-CN"/>
          </w:rPr>
          <w:id w:val="147461700"/>
          <w:placeholder>
            <w:docPart w:val="{edbf2f4e-5a2b-4600-9dae-3f482d0a682c}"/>
          </w:placeholder>
        </w:sdtPr>
        <w:sdtEndPr>
          <w:rPr>
            <w:rFonts w:hint="eastAsia" w:ascii="黑体" w:hAnsi="黑体" w:eastAsia="黑体" w:cs="Times New Roman"/>
            <w:b/>
            <w:bCs/>
            <w:sz w:val="24"/>
            <w:szCs w:val="24"/>
            <w:lang w:val="en-US" w:eastAsia="zh-CN"/>
          </w:rPr>
        </w:sdtEndPr>
        <w:sdtContent>
          <w:r>
            <w:rPr>
              <w:rFonts w:hint="eastAsia" w:ascii="黑体" w:hAnsi="黑体" w:eastAsia="黑体" w:cs="Times New Roman"/>
              <w:b/>
              <w:bCs/>
              <w:sz w:val="24"/>
              <w:szCs w:val="24"/>
            </w:rPr>
            <w:t>第五部分 附表</w:t>
          </w:r>
        </w:sdtContent>
      </w:sdt>
      <w:r>
        <w:rPr>
          <w:rFonts w:hint="eastAsia" w:ascii="黑体" w:hAnsi="黑体" w:eastAsia="黑体" w:cs="Times New Roman"/>
          <w:b/>
          <w:bCs/>
          <w:sz w:val="24"/>
          <w:szCs w:val="24"/>
        </w:rPr>
        <w:tab/>
      </w:r>
      <w:r>
        <w:rPr>
          <w:rFonts w:hint="eastAsia" w:ascii="黑体" w:hAnsi="黑体" w:eastAsia="黑体" w:cs="Times New Roman"/>
          <w:b/>
          <w:bCs/>
          <w:sz w:val="24"/>
          <w:szCs w:val="24"/>
          <w:lang w:val="en-US" w:eastAsia="zh-CN"/>
        </w:rPr>
        <w:t>2</w:t>
      </w:r>
      <w:r>
        <w:rPr>
          <w:rFonts w:hint="eastAsia" w:ascii="黑体" w:hAnsi="黑体" w:eastAsia="黑体" w:cs="Times New Roman"/>
          <w:b/>
          <w:bCs/>
          <w:sz w:val="24"/>
          <w:szCs w:val="24"/>
        </w:rPr>
        <w:fldChar w:fldCharType="end"/>
      </w:r>
      <w:r>
        <w:rPr>
          <w:rFonts w:hint="eastAsia" w:ascii="黑体" w:hAnsi="黑体" w:eastAsia="黑体" w:cs="Times New Roman"/>
          <w:b/>
          <w:bCs/>
          <w:sz w:val="24"/>
          <w:szCs w:val="24"/>
          <w:lang w:val="en-US" w:eastAsia="zh-CN"/>
        </w:rPr>
        <w:t>8</w:t>
      </w:r>
    </w:p>
    <w:p w14:paraId="078FF621">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_Toc22261_WPSOffice_Level2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0166"/>
          <w:placeholder>
            <w:docPart w:val="{38c103fa-6ad4-4fc4-97e7-c75a9ce154a7}"/>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一、收入支出决算总表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4EED1886">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_Toc13428_WPSOffice_Level2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8930"/>
          <w:placeholder>
            <w:docPart w:val="{97d4477a-ee1e-4753-ae73-99d11da91be5}"/>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二、收入决算表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616093FA">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_Toc6180_WPSOffice_Level2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2985"/>
          <w:placeholder>
            <w:docPart w:val="{f8c09f2d-b070-4bde-bc33-b29a85737d02}"/>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三、支出决算表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58364440">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_Toc6396_WPSOffice_Level2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4274"/>
          <w:placeholder>
            <w:docPart w:val="{2b7013d2-f9d6-42b1-bb0d-3dddc3a61d12}"/>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四、财政拨款收入支出决算总表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03CF530B">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_Toc29037_WPSOffice_Level2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6782"/>
          <w:placeholder>
            <w:docPart w:val="{c010f8b2-420b-4409-ba3d-a810247e7a7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五、财政拨款支出决算明细表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20551F32">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_Toc31520_WPSOffice_Level2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3097"/>
          <w:placeholder>
            <w:docPart w:val="{d6420704-a872-43d8-b379-f14afc96c43c}"/>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六、一般公共预算财政拨款支出决算表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4FF6807A">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_Toc31011_WPSOffice_Level2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81382"/>
          <w:placeholder>
            <w:docPart w:val="{13a8365f-2dfd-4982-9ad5-172b3eaee580}"/>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七、一般公共预算财政拨款支出决算明细表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9</w:t>
      </w:r>
    </w:p>
    <w:p w14:paraId="3F679058">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_Toc28988_WPSOffice_Level2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1567"/>
          <w:placeholder>
            <w:docPart w:val="{1be4631f-dadc-4d90-9a1e-c6d85314abd6}"/>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八、一般公共预算财政拨款基本支出决算表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9</w:t>
      </w:r>
    </w:p>
    <w:p w14:paraId="6C859933">
      <w:pPr>
        <w:pStyle w:val="38"/>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_Toc10300_WPSOffice_Level2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9130"/>
          <w:placeholder>
            <w:docPart w:val="{5a77ab0c-8383-47a5-9e4b-11552905fba1}"/>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九、一般公共预算财政拨款项目支出决算表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9</w:t>
      </w:r>
    </w:p>
    <w:p w14:paraId="1C5A66FB">
      <w:pPr>
        <w:pStyle w:val="14"/>
        <w:numPr>
          <w:ilvl w:val="0"/>
          <w:numId w:val="1"/>
        </w:numPr>
        <w:adjustRightInd w:val="0"/>
        <w:snapToGrid w:val="0"/>
        <w:spacing w:line="440" w:lineRule="exact"/>
        <w:jc w:val="left"/>
        <w:rPr>
          <w:rFonts w:hint="eastAsia" w:ascii="Times New Roman" w:hAnsi="Times New Roman"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政府性基金预算财政拨款收入支出决算表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24FD278D">
      <w:pPr>
        <w:pStyle w:val="14"/>
        <w:numPr>
          <w:ilvl w:val="0"/>
          <w:numId w:val="0"/>
        </w:numPr>
        <w:adjustRightInd w:val="0"/>
        <w:snapToGrid w:val="0"/>
        <w:spacing w:line="440" w:lineRule="exact"/>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十一、国有资本经营预算财政拨款收入支出决算表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45BABAE9">
      <w:pPr>
        <w:pStyle w:val="14"/>
        <w:adjustRightInd w:val="0"/>
        <w:snapToGrid w:val="0"/>
        <w:spacing w:line="440" w:lineRule="exac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十二、国有资本经营预算财政拨款支出决算表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3F26701F">
      <w:pPr>
        <w:pStyle w:val="14"/>
        <w:adjustRightInd w:val="0"/>
        <w:snapToGrid w:val="0"/>
        <w:spacing w:line="440" w:lineRule="exac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十三、财政拨款“三公”经费支出决算表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1DA8FA84">
      <w:pPr>
        <w:pStyle w:val="38"/>
        <w:tabs>
          <w:tab w:val="right" w:leader="dot" w:pos="8306"/>
        </w:tabs>
        <w:rPr>
          <w:rFonts w:hint="eastAsia" w:ascii="Times New Roman" w:hAnsi="Times New Roman" w:eastAsia="宋体" w:cs="Times New Roman"/>
          <w:color w:val="FF0000"/>
          <w:kern w:val="2"/>
          <w:sz w:val="24"/>
          <w:szCs w:val="24"/>
          <w:lang w:val="en-US" w:eastAsia="zh-CN" w:bidi="ar-SA"/>
        </w:rPr>
      </w:pPr>
    </w:p>
    <w:p w14:paraId="7AEC525E">
      <w:pPr>
        <w:pStyle w:val="38"/>
        <w:tabs>
          <w:tab w:val="right" w:leader="dot" w:pos="8306"/>
        </w:tabs>
        <w:rPr>
          <w:rFonts w:hint="eastAsia" w:eastAsiaTheme="minorEastAsia"/>
          <w:lang w:val="en-US" w:eastAsia="zh-CN"/>
        </w:rPr>
      </w:pPr>
    </w:p>
    <w:p w14:paraId="59C5BFAF">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14:paraId="19B0E94E"/>
    <w:p w14:paraId="34920DA8">
      <w:pPr>
        <w:pStyle w:val="13"/>
        <w:adjustRightInd w:val="0"/>
        <w:snapToGrid w:val="0"/>
        <w:spacing w:before="0" w:line="440" w:lineRule="exact"/>
        <w:jc w:val="left"/>
        <w:rPr>
          <w:rFonts w:hint="eastAsia"/>
          <w:sz w:val="24"/>
        </w:rPr>
      </w:pPr>
    </w:p>
    <w:p w14:paraId="1CE467D2">
      <w:pPr>
        <w:pStyle w:val="3"/>
        <w:jc w:val="center"/>
        <w:rPr>
          <w:rStyle w:val="30"/>
          <w:rFonts w:ascii="黑体" w:hAnsi="黑体" w:eastAsia="黑体"/>
          <w:b/>
          <w:bCs w:val="0"/>
        </w:rPr>
      </w:pPr>
      <w:bookmarkStart w:id="14" w:name="_Toc15396599"/>
      <w:bookmarkStart w:id="15" w:name="_Toc15377196"/>
      <w:r>
        <w:rPr>
          <w:rFonts w:hint="eastAsia" w:ascii="黑体" w:hAnsi="黑体" w:eastAsia="黑体"/>
          <w:b w:val="0"/>
        </w:rPr>
        <w:t xml:space="preserve">第一部分 </w:t>
      </w:r>
      <w:r>
        <w:rPr>
          <w:rStyle w:val="30"/>
          <w:rFonts w:hint="eastAsia" w:ascii="黑体" w:hAnsi="黑体" w:eastAsia="黑体"/>
          <w:b w:val="0"/>
          <w:bCs w:val="0"/>
        </w:rPr>
        <w:t>部门概况</w:t>
      </w:r>
      <w:bookmarkEnd w:id="14"/>
      <w:bookmarkEnd w:id="15"/>
    </w:p>
    <w:p w14:paraId="1D38C174">
      <w:pPr>
        <w:widowControl/>
        <w:jc w:val="left"/>
        <w:rPr>
          <w:rFonts w:ascii="黑体" w:eastAsia="黑体"/>
          <w:sz w:val="32"/>
          <w:szCs w:val="32"/>
        </w:rPr>
      </w:pPr>
    </w:p>
    <w:p w14:paraId="7D0A2B92">
      <w:pPr>
        <w:pStyle w:val="4"/>
        <w:numPr>
          <w:ilvl w:val="0"/>
          <w:numId w:val="2"/>
        </w:numPr>
        <w:rPr>
          <w:rFonts w:hint="eastAsia" w:ascii="仿宋_GB2312" w:hAnsi="仿宋_GB2312" w:eastAsia="仿宋_GB2312" w:cs="仿宋_GB2312"/>
          <w:b w:val="0"/>
          <w:bCs w:val="0"/>
        </w:rPr>
      </w:pPr>
      <w:r>
        <w:rPr>
          <w:rFonts w:hint="eastAsia" w:ascii="黑体" w:hAnsi="黑体" w:eastAsia="黑体"/>
          <w:b w:val="0"/>
        </w:rPr>
        <w:t>部门职责</w:t>
      </w:r>
    </w:p>
    <w:p w14:paraId="6F2D6E32">
      <w:pPr>
        <w:pStyle w:val="4"/>
        <w:numPr>
          <w:ilvl w:val="0"/>
          <w:numId w:val="0"/>
        </w:numPr>
        <w:ind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根据自治县人民政府批准的三定方案，共青团峨边彝族自治县委的主要职责：中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37039F0C">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1300C444">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33E64315">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政府处理、协调与青少年利益相关的事务。</w:t>
      </w:r>
    </w:p>
    <w:p w14:paraId="1D8E949C">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299189E4">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协助政府教育部门做好中、小学生的教育管理工作，维护学校稳定和社会安定团结。</w:t>
      </w:r>
    </w:p>
    <w:p w14:paraId="6721B16B">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5D132F23">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2B486767">
      <w:pPr>
        <w:numPr>
          <w:ilvl w:val="0"/>
          <w:numId w:val="3"/>
        </w:numPr>
        <w:spacing w:line="640" w:lineRule="exact"/>
        <w:ind w:firstLine="640" w:firstLineChars="200"/>
        <w:rPr>
          <w:rFonts w:hint="eastAsia" w:ascii="宋体" w:hAnsi="宋体" w:cs="宋体"/>
          <w:bCs/>
          <w:color w:val="000000"/>
          <w:sz w:val="32"/>
          <w:szCs w:val="32"/>
        </w:rPr>
      </w:pPr>
      <w:r>
        <w:rPr>
          <w:rFonts w:hint="eastAsia" w:ascii="仿宋_GB2312" w:hAnsi="仿宋_GB2312" w:eastAsia="仿宋_GB2312" w:cs="仿宋_GB2312"/>
          <w:sz w:val="32"/>
          <w:szCs w:val="32"/>
        </w:rPr>
        <w:t>承担县委、县政府和团市委交办的有关事项。</w:t>
      </w:r>
    </w:p>
    <w:p w14:paraId="2B375D2E">
      <w:pPr>
        <w:numPr>
          <w:ilvl w:val="0"/>
          <w:numId w:val="0"/>
        </w:numPr>
      </w:pPr>
    </w:p>
    <w:p w14:paraId="4029E46F">
      <w:pPr>
        <w:pStyle w:val="4"/>
        <w:rPr>
          <w:rStyle w:val="31"/>
          <w:b w:val="0"/>
          <w:bCs w:val="0"/>
        </w:rPr>
      </w:pPr>
      <w:bookmarkStart w:id="16" w:name="_Toc15377200"/>
      <w:bookmarkStart w:id="17"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6"/>
      <w:bookmarkEnd w:id="17"/>
    </w:p>
    <w:p w14:paraId="610757C5">
      <w:pPr>
        <w:ind w:firstLine="800" w:firstLineChars="250"/>
        <w:rPr>
          <w:rFonts w:hint="eastAsia" w:ascii="仿宋" w:hAnsi="仿宋" w:eastAsia="仿宋"/>
          <w:sz w:val="32"/>
          <w:szCs w:val="32"/>
        </w:rPr>
      </w:pPr>
      <w:r>
        <w:rPr>
          <w:sz w:val="32"/>
          <w:szCs w:val="32"/>
        </w:rPr>
        <w:t>中国共产主义青年团峨边彝族自治县委员会</w:t>
      </w:r>
      <w:r>
        <w:rPr>
          <w:rFonts w:hint="eastAsia" w:ascii="仿宋" w:hAnsi="仿宋" w:eastAsia="仿宋"/>
          <w:sz w:val="32"/>
          <w:szCs w:val="32"/>
        </w:rPr>
        <w:t>下属二级预算</w:t>
      </w:r>
      <w:r>
        <w:rPr>
          <w:rFonts w:hint="eastAsia"/>
          <w:sz w:val="32"/>
          <w:szCs w:val="32"/>
        </w:rPr>
        <w:t>单位</w:t>
      </w:r>
      <w:r>
        <w:rPr>
          <w:rFonts w:hint="eastAsia"/>
          <w:sz w:val="32"/>
          <w:szCs w:val="32"/>
          <w:lang w:val="en-US" w:eastAsia="zh-CN"/>
        </w:rPr>
        <w:t>0</w:t>
      </w:r>
      <w:r>
        <w:rPr>
          <w:rFonts w:hint="eastAsia"/>
          <w:sz w:val="32"/>
          <w:szCs w:val="32"/>
        </w:rPr>
        <w:t>个，</w:t>
      </w:r>
      <w:r>
        <w:rPr>
          <w:rFonts w:hint="eastAsia" w:ascii="仿宋" w:hAnsi="仿宋" w:eastAsia="仿宋"/>
          <w:sz w:val="32"/>
          <w:szCs w:val="32"/>
        </w:rPr>
        <w:t>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bookmarkStart w:id="18" w:name="_Toc15396602"/>
      <w:bookmarkStart w:id="19" w:name="_Toc15377204"/>
    </w:p>
    <w:p w14:paraId="05707F9F">
      <w:pPr>
        <w:ind w:firstLine="800" w:firstLineChars="250"/>
        <w:rPr>
          <w:rFonts w:hint="eastAsia" w:ascii="仿宋" w:hAnsi="仿宋" w:eastAsia="仿宋"/>
          <w:sz w:val="32"/>
          <w:szCs w:val="32"/>
        </w:rPr>
      </w:pPr>
    </w:p>
    <w:p w14:paraId="282A6926">
      <w:pPr>
        <w:ind w:firstLine="800" w:firstLineChars="250"/>
        <w:rPr>
          <w:rFonts w:hint="eastAsia" w:ascii="仿宋" w:hAnsi="仿宋" w:eastAsia="仿宋"/>
          <w:sz w:val="32"/>
          <w:szCs w:val="32"/>
        </w:rPr>
      </w:pPr>
    </w:p>
    <w:p w14:paraId="32231438">
      <w:pPr>
        <w:ind w:firstLine="800" w:firstLineChars="250"/>
        <w:rPr>
          <w:rFonts w:hint="eastAsia" w:ascii="仿宋" w:hAnsi="仿宋" w:eastAsia="仿宋"/>
          <w:sz w:val="32"/>
          <w:szCs w:val="32"/>
        </w:rPr>
      </w:pPr>
    </w:p>
    <w:p w14:paraId="783A7E0B">
      <w:pPr>
        <w:ind w:firstLine="800" w:firstLineChars="250"/>
        <w:rPr>
          <w:rFonts w:hint="eastAsia" w:ascii="仿宋" w:hAnsi="仿宋" w:eastAsia="仿宋"/>
          <w:sz w:val="32"/>
          <w:szCs w:val="32"/>
        </w:rPr>
      </w:pPr>
    </w:p>
    <w:p w14:paraId="66CBD718">
      <w:pPr>
        <w:ind w:firstLine="800" w:firstLineChars="250"/>
        <w:rPr>
          <w:rFonts w:hint="eastAsia" w:ascii="仿宋" w:hAnsi="仿宋" w:eastAsia="仿宋"/>
          <w:sz w:val="32"/>
          <w:szCs w:val="32"/>
        </w:rPr>
      </w:pPr>
    </w:p>
    <w:p w14:paraId="262DF5F2">
      <w:pPr>
        <w:ind w:firstLine="800" w:firstLineChars="250"/>
        <w:rPr>
          <w:rFonts w:hint="eastAsia" w:ascii="仿宋" w:hAnsi="仿宋" w:eastAsia="仿宋"/>
          <w:sz w:val="32"/>
          <w:szCs w:val="32"/>
        </w:rPr>
      </w:pPr>
    </w:p>
    <w:p w14:paraId="68B126F1">
      <w:pPr>
        <w:ind w:firstLine="800" w:firstLineChars="250"/>
        <w:rPr>
          <w:rFonts w:hint="eastAsia" w:ascii="仿宋" w:hAnsi="仿宋" w:eastAsia="仿宋"/>
          <w:sz w:val="32"/>
          <w:szCs w:val="32"/>
        </w:rPr>
      </w:pPr>
    </w:p>
    <w:p w14:paraId="72AC46CC">
      <w:pPr>
        <w:ind w:firstLine="800" w:firstLineChars="250"/>
        <w:rPr>
          <w:rFonts w:hint="eastAsia" w:ascii="仿宋" w:hAnsi="仿宋" w:eastAsia="仿宋"/>
          <w:sz w:val="32"/>
          <w:szCs w:val="32"/>
        </w:rPr>
      </w:pPr>
    </w:p>
    <w:p w14:paraId="051F028E">
      <w:pPr>
        <w:jc w:val="center"/>
        <w:rPr>
          <w:rStyle w:val="30"/>
          <w:rFonts w:ascii="黑体" w:hAnsi="黑体" w:eastAsia="黑体"/>
          <w:b w:val="0"/>
          <w:bCs/>
        </w:rPr>
      </w:pPr>
      <w:r>
        <w:rPr>
          <w:rStyle w:val="30"/>
          <w:rFonts w:hint="eastAsia" w:ascii="黑体" w:hAnsi="黑体" w:eastAsia="黑体"/>
          <w:b w:val="0"/>
          <w:bCs/>
        </w:rPr>
        <w:t>第二部分 2023年度部门决算情况说明</w:t>
      </w:r>
      <w:bookmarkEnd w:id="18"/>
      <w:bookmarkEnd w:id="19"/>
    </w:p>
    <w:p w14:paraId="0519D106"/>
    <w:p w14:paraId="753B3B59">
      <w:pPr>
        <w:pStyle w:val="29"/>
        <w:numPr>
          <w:ilvl w:val="0"/>
          <w:numId w:val="4"/>
        </w:numPr>
        <w:spacing w:line="600" w:lineRule="exact"/>
        <w:ind w:firstLineChars="0"/>
        <w:outlineLvl w:val="1"/>
        <w:rPr>
          <w:rStyle w:val="31"/>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0"/>
      <w:bookmarkEnd w:id="21"/>
    </w:p>
    <w:p w14:paraId="0F7EAC5E">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2023年度收、支总计均为</w:t>
      </w:r>
      <w:r>
        <w:rPr>
          <w:rFonts w:hint="eastAsia"/>
          <w:sz w:val="32"/>
          <w:szCs w:val="32"/>
        </w:rPr>
        <w:t>358.41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rFonts w:hint="eastAsia" w:ascii="仿宋" w:hAnsi="仿宋" w:eastAsia="仿宋"/>
          <w:color w:val="auto"/>
          <w:sz w:val="32"/>
          <w:szCs w:val="32"/>
          <w:highlight w:val="none"/>
          <w:lang w:val="en-US" w:eastAsia="zh-CN"/>
        </w:rPr>
        <w:t>331.53元</w:t>
      </w:r>
      <w:r>
        <w:rPr>
          <w:rFonts w:hint="eastAsia" w:ascii="仿宋" w:hAnsi="仿宋" w:eastAsia="仿宋"/>
          <w:sz w:val="32"/>
          <w:szCs w:val="32"/>
        </w:rPr>
        <w:t>相比，收、支总计各增加</w:t>
      </w:r>
      <w:r>
        <w:rPr>
          <w:rFonts w:hint="eastAsia" w:ascii="仿宋" w:hAnsi="仿宋" w:eastAsia="仿宋"/>
          <w:sz w:val="32"/>
          <w:szCs w:val="32"/>
          <w:lang w:val="en-US" w:eastAsia="zh-CN"/>
        </w:rPr>
        <w:t>26.88</w:t>
      </w:r>
      <w:r>
        <w:rPr>
          <w:rFonts w:hint="eastAsia" w:ascii="仿宋" w:hAnsi="仿宋" w:eastAsia="仿宋"/>
          <w:sz w:val="32"/>
          <w:szCs w:val="32"/>
        </w:rPr>
        <w:t>万元，增长</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eastAsia="zh-CN"/>
        </w:rPr>
        <w:t>项目经费。</w:t>
      </w:r>
    </w:p>
    <w:p w14:paraId="5AF4A2F3">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485B403">
      <w:pPr>
        <w:spacing w:line="240" w:lineRule="auto"/>
        <w:ind w:firstLine="420" w:firstLineChars="200"/>
        <w:jc w:val="left"/>
        <w:rPr>
          <w:rFonts w:ascii="仿宋_GB2312" w:eastAsia="仿宋_GB2312"/>
          <w:sz w:val="32"/>
          <w:szCs w:val="32"/>
        </w:rPr>
      </w:pPr>
      <w:r>
        <w:rPr>
          <w:rFonts w:hint="eastAsia"/>
        </w:rPr>
        <w:object>
          <v:shape id="_x0000_i1025" o:spt="75" type="#_x0000_t75" style="height:267.75pt;width:309.5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213F990E">
      <w:pPr>
        <w:pStyle w:val="2"/>
      </w:pPr>
    </w:p>
    <w:p w14:paraId="2EFE49EB">
      <w:pPr>
        <w:pStyle w:val="29"/>
        <w:numPr>
          <w:ilvl w:val="0"/>
          <w:numId w:val="4"/>
        </w:numPr>
        <w:spacing w:line="600" w:lineRule="exact"/>
        <w:ind w:firstLineChars="0"/>
        <w:outlineLvl w:val="1"/>
        <w:rPr>
          <w:rStyle w:val="31"/>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31"/>
          <w:rFonts w:hint="eastAsia" w:ascii="黑体" w:hAnsi="黑体" w:eastAsia="黑体"/>
          <w:b w:val="0"/>
        </w:rPr>
        <w:t>入决算情况说明</w:t>
      </w:r>
      <w:bookmarkEnd w:id="22"/>
      <w:bookmarkEnd w:id="23"/>
    </w:p>
    <w:p w14:paraId="3D7418C1">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358.41</w:t>
      </w:r>
      <w:r>
        <w:rPr>
          <w:rFonts w:hint="eastAsia" w:ascii="仿宋" w:hAnsi="仿宋" w:eastAsia="仿宋"/>
          <w:sz w:val="32"/>
          <w:szCs w:val="32"/>
        </w:rPr>
        <w:t>万元，其中：一般公共预算财政拨款收入</w:t>
      </w:r>
      <w:r>
        <w:rPr>
          <w:sz w:val="32"/>
          <w:szCs w:val="32"/>
        </w:rPr>
        <w:t>358.41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442BD3B6">
      <w:pPr>
        <w:spacing w:line="600" w:lineRule="exact"/>
        <w:ind w:firstLine="320" w:firstLineChars="100"/>
        <w:rPr>
          <w:rFonts w:ascii="仿宋" w:hAnsi="仿宋" w:eastAsia="仿宋"/>
          <w:sz w:val="32"/>
          <w:szCs w:val="32"/>
        </w:rPr>
      </w:pPr>
      <w:r>
        <w:rPr>
          <w:rFonts w:hint="eastAsia" w:ascii="仿宋" w:hAnsi="仿宋" w:eastAsia="仿宋"/>
          <w:sz w:val="32"/>
          <w:szCs w:val="32"/>
        </w:rPr>
        <w:t>（图2：收入决算结构图）（饼状图）</w:t>
      </w:r>
    </w:p>
    <w:p w14:paraId="7E4C415B">
      <w:pPr>
        <w:spacing w:line="600" w:lineRule="exact"/>
        <w:ind w:firstLine="640" w:firstLineChars="200"/>
        <w:rPr>
          <w:rFonts w:ascii="仿宋_GB2312" w:eastAsia="仿宋_GB2312"/>
          <w:sz w:val="32"/>
          <w:szCs w:val="32"/>
        </w:rPr>
      </w:pPr>
    </w:p>
    <w:p w14:paraId="5D7901DC">
      <w:pPr>
        <w:pStyle w:val="2"/>
        <w:rPr>
          <w:rFonts w:ascii="仿宋_GB2312" w:eastAsia="仿宋_GB2312"/>
          <w:sz w:val="32"/>
          <w:szCs w:val="32"/>
        </w:rPr>
      </w:pPr>
      <w:r>
        <w:rPr>
          <w:rFonts w:hint="eastAsia" w:ascii="仿宋" w:hAnsi="仿宋" w:eastAsia="仿宋"/>
          <w:color w:val="000000"/>
        </w:rPr>
        <w:object>
          <v:shape id="_x0000_i1026" o:spt="75" type="#_x0000_t75" style="height:255.55pt;width:384.0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539C82D2"/>
    <w:p w14:paraId="68FC8BA5">
      <w:pPr>
        <w:pStyle w:val="29"/>
        <w:numPr>
          <w:ilvl w:val="0"/>
          <w:numId w:val="4"/>
        </w:numPr>
        <w:spacing w:line="600" w:lineRule="exact"/>
        <w:ind w:firstLineChars="0"/>
        <w:outlineLvl w:val="1"/>
        <w:rPr>
          <w:rStyle w:val="31"/>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31"/>
          <w:rFonts w:hint="eastAsia" w:ascii="黑体" w:hAnsi="黑体" w:eastAsia="黑体"/>
          <w:b w:val="0"/>
        </w:rPr>
        <w:t>出决算情况说明</w:t>
      </w:r>
      <w:bookmarkEnd w:id="24"/>
      <w:bookmarkEnd w:id="25"/>
    </w:p>
    <w:p w14:paraId="7A57D0AB">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358.41</w:t>
      </w:r>
      <w:r>
        <w:rPr>
          <w:rFonts w:hint="eastAsia" w:ascii="仿宋" w:hAnsi="仿宋" w:eastAsia="仿宋"/>
          <w:sz w:val="32"/>
          <w:szCs w:val="32"/>
        </w:rPr>
        <w:t>万元，其中：基本支出</w:t>
      </w:r>
      <w:r>
        <w:rPr>
          <w:sz w:val="32"/>
          <w:szCs w:val="32"/>
        </w:rPr>
        <w:t>181.43</w:t>
      </w:r>
      <w:r>
        <w:rPr>
          <w:rFonts w:hint="eastAsia" w:ascii="仿宋" w:hAnsi="仿宋" w:eastAsia="仿宋"/>
          <w:sz w:val="32"/>
          <w:szCs w:val="32"/>
        </w:rPr>
        <w:t>万元，占</w:t>
      </w:r>
      <w:r>
        <w:rPr>
          <w:sz w:val="32"/>
          <w:szCs w:val="32"/>
        </w:rPr>
        <w:t>50.62</w:t>
      </w:r>
      <w:r>
        <w:rPr>
          <w:rFonts w:ascii="仿宋" w:hAnsi="仿宋" w:eastAsia="仿宋"/>
          <w:sz w:val="32"/>
          <w:szCs w:val="32"/>
        </w:rPr>
        <w:t>%</w:t>
      </w:r>
      <w:r>
        <w:rPr>
          <w:rFonts w:hint="eastAsia" w:ascii="仿宋" w:hAnsi="仿宋" w:eastAsia="仿宋"/>
          <w:sz w:val="32"/>
          <w:szCs w:val="32"/>
        </w:rPr>
        <w:t>；项目支出</w:t>
      </w:r>
      <w:r>
        <w:rPr>
          <w:sz w:val="32"/>
          <w:szCs w:val="32"/>
        </w:rPr>
        <w:t>176.98</w:t>
      </w:r>
      <w:r>
        <w:rPr>
          <w:rFonts w:hint="eastAsia" w:ascii="仿宋" w:hAnsi="仿宋" w:eastAsia="仿宋"/>
          <w:sz w:val="32"/>
          <w:szCs w:val="32"/>
        </w:rPr>
        <w:t>万元，占</w:t>
      </w:r>
      <w:r>
        <w:rPr>
          <w:sz w:val="32"/>
          <w:szCs w:val="32"/>
        </w:rPr>
        <w:t>49.37</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0D09E40">
      <w:pPr>
        <w:spacing w:line="600" w:lineRule="exact"/>
        <w:ind w:firstLine="320" w:firstLineChars="100"/>
        <w:rPr>
          <w:rFonts w:ascii="仿宋" w:hAnsi="仿宋" w:eastAsia="仿宋"/>
          <w:sz w:val="32"/>
          <w:szCs w:val="32"/>
        </w:rPr>
      </w:pPr>
      <w:r>
        <w:rPr>
          <w:rFonts w:hint="eastAsia" w:ascii="仿宋" w:hAnsi="仿宋" w:eastAsia="仿宋"/>
          <w:sz w:val="32"/>
          <w:szCs w:val="32"/>
        </w:rPr>
        <w:t>（图3：支出决算结构图）（饼状图）</w:t>
      </w:r>
    </w:p>
    <w:p w14:paraId="6A77F571">
      <w:pPr>
        <w:spacing w:line="240" w:lineRule="auto"/>
        <w:ind w:firstLine="420" w:firstLineChars="200"/>
        <w:rPr>
          <w:rFonts w:ascii="仿宋_GB2312" w:eastAsia="仿宋_GB2312"/>
          <w:sz w:val="32"/>
          <w:szCs w:val="32"/>
        </w:rPr>
      </w:pPr>
      <w:r>
        <w:rPr>
          <w:rFonts w:hint="eastAsia" w:ascii="仿宋" w:hAnsi="仿宋" w:eastAsia="仿宋"/>
          <w:color w:val="000000"/>
          <w:shd w:val="pct10" w:color="auto" w:fill="FFFFFF"/>
        </w:rPr>
        <w:object>
          <v:shape id="_x0000_i1027" o:spt="75" type="#_x0000_t75" style="height:226.2pt;width:367.8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14:paraId="7197C263">
      <w:pPr>
        <w:spacing w:line="600" w:lineRule="exact"/>
        <w:ind w:firstLine="640" w:firstLineChars="200"/>
        <w:outlineLvl w:val="1"/>
        <w:rPr>
          <w:rStyle w:val="31"/>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6"/>
      <w:bookmarkEnd w:id="27"/>
    </w:p>
    <w:p w14:paraId="20D08D4B">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2023年度财政拨款收、支总计均为</w:t>
      </w:r>
      <w:r>
        <w:rPr>
          <w:sz w:val="32"/>
          <w:szCs w:val="32"/>
        </w:rPr>
        <w:t>358.41</w:t>
      </w:r>
      <w:r>
        <w:rPr>
          <w:rFonts w:hint="eastAsia" w:ascii="仿宋" w:hAnsi="仿宋" w:eastAsia="仿宋"/>
          <w:sz w:val="32"/>
          <w:szCs w:val="32"/>
        </w:rPr>
        <w:t>万元。与2022年度</w:t>
      </w:r>
      <w:r>
        <w:rPr>
          <w:rFonts w:hint="eastAsia" w:ascii="仿宋" w:hAnsi="仿宋" w:eastAsia="仿宋"/>
          <w:color w:val="auto"/>
          <w:sz w:val="32"/>
          <w:szCs w:val="32"/>
          <w:highlight w:val="none"/>
          <w:lang w:val="en-US" w:eastAsia="zh-CN"/>
        </w:rPr>
        <w:t>331.53元</w:t>
      </w:r>
      <w:r>
        <w:rPr>
          <w:rFonts w:hint="eastAsia" w:ascii="仿宋" w:hAnsi="仿宋" w:eastAsia="仿宋"/>
          <w:sz w:val="32"/>
          <w:szCs w:val="32"/>
        </w:rPr>
        <w:t>相比，收、支总计各增加</w:t>
      </w:r>
      <w:r>
        <w:rPr>
          <w:rFonts w:hint="eastAsia" w:ascii="仿宋" w:hAnsi="仿宋" w:eastAsia="仿宋"/>
          <w:sz w:val="32"/>
          <w:szCs w:val="32"/>
          <w:lang w:val="en-US" w:eastAsia="zh-CN"/>
        </w:rPr>
        <w:t>26.88</w:t>
      </w:r>
      <w:r>
        <w:rPr>
          <w:rFonts w:hint="eastAsia" w:ascii="仿宋" w:hAnsi="仿宋" w:eastAsia="仿宋"/>
          <w:sz w:val="32"/>
          <w:szCs w:val="32"/>
        </w:rPr>
        <w:t>万元，增长</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eastAsia="zh-CN"/>
        </w:rPr>
        <w:t>项目经费。</w:t>
      </w:r>
    </w:p>
    <w:p w14:paraId="23A1EC8C">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14:paraId="03489510">
      <w:pPr>
        <w:spacing w:line="240" w:lineRule="auto"/>
        <w:ind w:firstLine="640"/>
        <w:rPr>
          <w:rFonts w:ascii="仿宋" w:hAnsi="仿宋" w:eastAsia="仿宋"/>
          <w:b/>
          <w:sz w:val="32"/>
          <w:szCs w:val="32"/>
        </w:rPr>
      </w:pPr>
      <w:r>
        <w:rPr>
          <w:rFonts w:hint="eastAsia"/>
        </w:rPr>
        <w:object>
          <v:shape id="_x0000_i1028" o:spt="75" type="#_x0000_t75" style="height:248.5pt;width:344.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61F729C0">
      <w:pPr>
        <w:pStyle w:val="2"/>
      </w:pPr>
    </w:p>
    <w:p w14:paraId="3888D051">
      <w:pPr>
        <w:spacing w:line="600" w:lineRule="exact"/>
        <w:ind w:firstLine="640" w:firstLineChars="200"/>
        <w:outlineLvl w:val="1"/>
        <w:rPr>
          <w:rFonts w:hint="eastAsia" w:ascii="黑体" w:hAnsi="黑体" w:eastAsia="黑体"/>
          <w:sz w:val="32"/>
          <w:szCs w:val="32"/>
        </w:rPr>
      </w:pPr>
      <w:bookmarkStart w:id="28" w:name="_Toc15396607"/>
      <w:bookmarkStart w:id="29" w:name="_Toc15377209"/>
    </w:p>
    <w:p w14:paraId="216313A5">
      <w:pPr>
        <w:pStyle w:val="2"/>
        <w:rPr>
          <w:rFonts w:hint="eastAsia"/>
        </w:rPr>
      </w:pPr>
    </w:p>
    <w:p w14:paraId="6163AA31">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8"/>
      <w:bookmarkEnd w:id="29"/>
    </w:p>
    <w:p w14:paraId="0FEE2131">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29C6F1EA">
      <w:pPr>
        <w:spacing w:line="600" w:lineRule="exact"/>
        <w:ind w:firstLine="640"/>
        <w:rPr>
          <w:rFonts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358.41</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331.53万元</w:t>
      </w:r>
      <w:r>
        <w:rPr>
          <w:rFonts w:hint="eastAsia" w:ascii="仿宋" w:hAnsi="仿宋" w:eastAsia="仿宋"/>
          <w:sz w:val="32"/>
          <w:szCs w:val="32"/>
        </w:rPr>
        <w:t>相比，一般公共预算财政拨款支出增加</w:t>
      </w:r>
      <w:r>
        <w:rPr>
          <w:rFonts w:hint="eastAsia" w:ascii="仿宋" w:hAnsi="仿宋" w:eastAsia="仿宋"/>
          <w:sz w:val="32"/>
          <w:szCs w:val="32"/>
          <w:lang w:val="en-US" w:eastAsia="zh-CN"/>
        </w:rPr>
        <w:t>26.88</w:t>
      </w:r>
      <w:r>
        <w:rPr>
          <w:rFonts w:hint="eastAsia" w:ascii="仿宋" w:hAnsi="仿宋" w:eastAsia="仿宋"/>
          <w:sz w:val="32"/>
          <w:szCs w:val="32"/>
        </w:rPr>
        <w:t>万元，增长</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eastAsia="zh-CN"/>
        </w:rPr>
        <w:t>人员增加</w:t>
      </w:r>
      <w:r>
        <w:rPr>
          <w:rFonts w:hint="eastAsia" w:ascii="仿宋" w:hAnsi="仿宋" w:eastAsia="仿宋"/>
          <w:color w:val="000000"/>
          <w:sz w:val="32"/>
          <w:szCs w:val="32"/>
        </w:rPr>
        <w:t>。</w:t>
      </w:r>
    </w:p>
    <w:p w14:paraId="6A1F749B">
      <w:pPr>
        <w:spacing w:line="600" w:lineRule="exact"/>
        <w:ind w:firstLine="640" w:firstLineChars="200"/>
        <w:rPr>
          <w:rFonts w:ascii="仿宋" w:hAnsi="仿宋" w:eastAsia="仿宋"/>
          <w:color w:val="auto"/>
          <w:sz w:val="32"/>
          <w:szCs w:val="32"/>
          <w:highlight w:val="none"/>
        </w:rPr>
      </w:pPr>
    </w:p>
    <w:p w14:paraId="0BFDD168">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0272558E">
      <w:pPr>
        <w:pStyle w:val="2"/>
        <w:rPr>
          <w:rFonts w:hint="eastAsia" w:ascii="仿宋" w:hAnsi="仿宋" w:eastAsia="仿宋"/>
          <w:sz w:val="32"/>
          <w:szCs w:val="32"/>
        </w:rPr>
      </w:pPr>
    </w:p>
    <w:p w14:paraId="21B19D2F">
      <w:r>
        <w:rPr>
          <w:rFonts w:hint="eastAsia"/>
        </w:rPr>
        <w:object>
          <v:shape id="_x0000_i1029" o:spt="75" type="#_x0000_t75" style="height:306.35pt;width:364.4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14:paraId="09361D42">
      <w:pPr>
        <w:spacing w:line="600" w:lineRule="exact"/>
        <w:ind w:firstLine="640" w:firstLineChars="200"/>
        <w:rPr>
          <w:rFonts w:ascii="仿宋" w:hAnsi="仿宋" w:eastAsia="仿宋"/>
          <w:sz w:val="32"/>
          <w:szCs w:val="32"/>
        </w:rPr>
      </w:pPr>
    </w:p>
    <w:p w14:paraId="4BF40FBF">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1C2D7785">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sz w:val="32"/>
          <w:szCs w:val="32"/>
        </w:rPr>
        <w:t>358.41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188.88万元，占</w:t>
      </w:r>
      <w:r>
        <w:rPr>
          <w:rFonts w:hint="eastAsia" w:ascii="仿宋" w:hAnsi="仿宋" w:eastAsia="仿宋"/>
          <w:sz w:val="32"/>
          <w:szCs w:val="32"/>
          <w:lang w:val="en-US" w:eastAsia="zh-CN"/>
        </w:rPr>
        <w:t>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17.36</w:t>
      </w:r>
      <w:r>
        <w:rPr>
          <w:rFonts w:hint="eastAsia" w:ascii="仿宋" w:hAnsi="仿宋" w:eastAsia="仿宋"/>
          <w:sz w:val="32"/>
          <w:szCs w:val="32"/>
        </w:rPr>
        <w:t>万元，占</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3.87</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7.99</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农林水支出</w:t>
      </w:r>
      <w:r>
        <w:rPr>
          <w:rFonts w:hint="eastAsia" w:ascii="仿宋" w:hAnsi="仿宋" w:eastAsia="仿宋" w:cs="Times New Roman"/>
          <w:sz w:val="32"/>
          <w:szCs w:val="32"/>
          <w:lang w:val="en-US" w:eastAsia="zh-CN"/>
        </w:rPr>
        <w:t>140.31万元</w:t>
      </w:r>
      <w:r>
        <w:rPr>
          <w:rFonts w:hint="eastAsia" w:ascii="仿宋" w:hAnsi="仿宋" w:eastAsia="仿宋" w:cs="Times New Roman"/>
          <w:b/>
          <w:bCs/>
          <w:sz w:val="32"/>
          <w:szCs w:val="32"/>
          <w:lang w:val="en-US" w:eastAsia="zh-CN"/>
        </w:rPr>
        <w:t>，</w:t>
      </w:r>
      <w:r>
        <w:rPr>
          <w:rFonts w:hint="eastAsia" w:ascii="仿宋" w:hAnsi="仿宋" w:eastAsia="仿宋"/>
          <w:sz w:val="32"/>
          <w:szCs w:val="32"/>
        </w:rPr>
        <w:t>占</w:t>
      </w:r>
      <w:r>
        <w:rPr>
          <w:rFonts w:hint="eastAsia" w:ascii="仿宋" w:hAnsi="仿宋" w:eastAsia="仿宋"/>
          <w:sz w:val="32"/>
          <w:szCs w:val="32"/>
          <w:lang w:val="en-US" w:eastAsia="zh-CN"/>
        </w:rPr>
        <w:t>39%.</w:t>
      </w:r>
    </w:p>
    <w:p w14:paraId="464E35E9">
      <w:pPr>
        <w:spacing w:line="240" w:lineRule="auto"/>
        <w:ind w:firstLine="640"/>
        <w:rPr>
          <w:rFonts w:ascii="仿宋" w:hAnsi="仿宋" w:eastAsia="仿宋"/>
          <w:sz w:val="32"/>
          <w:szCs w:val="32"/>
        </w:rPr>
      </w:pPr>
    </w:p>
    <w:p w14:paraId="3FDF006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2128CC03">
      <w:pPr>
        <w:rPr>
          <w:rFonts w:hint="eastAsia"/>
          <w:lang w:eastAsia="zh-CN"/>
        </w:rPr>
      </w:pPr>
      <w:r>
        <w:rPr>
          <w:rFonts w:hint="eastAsia" w:eastAsia="仿宋"/>
        </w:rPr>
        <w:object>
          <v:shape id="_x0000_i1030" o:spt="75" type="#_x0000_t75" style="height:222.75pt;width:372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14:paraId="738822A5">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063D63F4">
      <w:pPr>
        <w:spacing w:line="600" w:lineRule="exact"/>
        <w:ind w:firstLine="643" w:firstLineChars="200"/>
        <w:outlineLvl w:val="2"/>
        <w:rPr>
          <w:rFonts w:ascii="仿宋" w:hAnsi="仿宋" w:eastAsia="仿宋"/>
          <w:sz w:val="32"/>
          <w:szCs w:val="32"/>
        </w:rPr>
      </w:pPr>
      <w:bookmarkStart w:id="33" w:name="_Toc15377444"/>
      <w:bookmarkStart w:id="34" w:name="_Toc15377213"/>
      <w:bookmarkStart w:id="35" w:name="_Toc15378460"/>
      <w:r>
        <w:rPr>
          <w:rFonts w:hint="eastAsia" w:ascii="仿宋" w:hAnsi="仿宋" w:eastAsia="仿宋"/>
          <w:b/>
          <w:sz w:val="32"/>
          <w:szCs w:val="32"/>
        </w:rPr>
        <w:t>2023年度一般公共预算支出决算数为</w:t>
      </w:r>
      <w:r>
        <w:rPr>
          <w:sz w:val="32"/>
          <w:szCs w:val="32"/>
        </w:rPr>
        <w:t>358.41</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3"/>
      <w:bookmarkEnd w:id="34"/>
      <w:bookmarkEnd w:id="35"/>
    </w:p>
    <w:p w14:paraId="03EDACB9">
      <w:pPr>
        <w:numPr>
          <w:ilvl w:val="0"/>
          <w:numId w:val="0"/>
        </w:numPr>
        <w:spacing w:line="600" w:lineRule="exact"/>
        <w:ind w:firstLine="321" w:firstLineChars="1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群众团体事务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行政运行</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60.58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3A55D04F">
      <w:pPr>
        <w:numPr>
          <w:ilvl w:val="0"/>
          <w:numId w:val="0"/>
        </w:numPr>
        <w:spacing w:line="600" w:lineRule="exact"/>
        <w:ind w:firstLine="321" w:firstLineChars="1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lang w:val="en-US" w:eastAsia="zh-CN"/>
        </w:rPr>
        <w:t>2.</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rPr>
        <w:t>群众团体事务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其他群众团体事务支出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70.98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0EB2DDB1">
      <w:pPr>
        <w:numPr>
          <w:ilvl w:val="0"/>
          <w:numId w:val="0"/>
        </w:numPr>
        <w:spacing w:line="600" w:lineRule="exact"/>
        <w:ind w:firstLine="321" w:firstLineChars="1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lang w:val="en-US" w:eastAsia="zh-CN"/>
        </w:rPr>
        <w:t>3.</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rPr>
        <w:t>群众团体事务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一般行政管理事务</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177FA982">
      <w:pPr>
        <w:spacing w:line="600" w:lineRule="exact"/>
        <w:ind w:firstLine="643" w:firstLineChars="200"/>
        <w:rPr>
          <w:rStyle w:val="19"/>
          <w:rFonts w:hint="eastAsia" w:ascii="仿宋" w:hAnsi="仿宋" w:eastAsia="仿宋"/>
          <w:bCs/>
          <w:color w:val="auto"/>
          <w:sz w:val="32"/>
          <w:szCs w:val="32"/>
          <w:highlight w:val="none"/>
          <w:lang w:val="en-US" w:eastAsia="zh-CN"/>
        </w:rPr>
      </w:pPr>
    </w:p>
    <w:p w14:paraId="6816268D">
      <w:pPr>
        <w:spacing w:line="600" w:lineRule="exact"/>
        <w:ind w:firstLine="643" w:firstLineChars="2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rPr>
        <w:t>群众团体事务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事业运行</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46.32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63A0ACB8">
      <w:pPr>
        <w:spacing w:line="600" w:lineRule="exact"/>
        <w:ind w:firstLine="643" w:firstLineChars="2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000000"/>
          <w:sz w:val="32"/>
          <w:szCs w:val="32"/>
          <w:lang w:val="en-US" w:eastAsia="zh-CN"/>
        </w:rPr>
        <w:t>5</w:t>
      </w:r>
      <w:r>
        <w:rPr>
          <w:rStyle w:val="19"/>
          <w:rFonts w:ascii="仿宋" w:hAnsi="仿宋" w:eastAsia="仿宋"/>
          <w:bCs/>
          <w:color w:val="000000"/>
          <w:sz w:val="32"/>
          <w:szCs w:val="32"/>
        </w:rPr>
        <w:t>.</w:t>
      </w:r>
      <w:r>
        <w:rPr>
          <w:rStyle w:val="19"/>
          <w:rFonts w:hint="eastAsia" w:ascii="仿宋_GB2312" w:eastAsia="仿宋_GB2312"/>
          <w:color w:val="000000"/>
          <w:sz w:val="32"/>
          <w:szCs w:val="32"/>
        </w:rPr>
        <w:t>社会保障和就业（类）</w:t>
      </w:r>
      <w:r>
        <w:rPr>
          <w:rFonts w:hint="eastAsia" w:ascii="仿宋_GB2312" w:hAnsi="宋体" w:eastAsia="仿宋_GB2312" w:cs="宋体"/>
          <w:color w:val="auto"/>
          <w:kern w:val="0"/>
          <w:sz w:val="32"/>
          <w:szCs w:val="32"/>
        </w:rPr>
        <w:t>行政事业单位养老支出</w:t>
      </w:r>
      <w:r>
        <w:rPr>
          <w:rStyle w:val="19"/>
          <w:rFonts w:hint="eastAsia" w:ascii="仿宋_GB2312" w:eastAsia="仿宋_GB2312"/>
          <w:color w:val="auto"/>
          <w:sz w:val="32"/>
          <w:szCs w:val="32"/>
        </w:rPr>
        <w:t>（款）</w:t>
      </w:r>
      <w:r>
        <w:rPr>
          <w:rStyle w:val="19"/>
          <w:rFonts w:hint="eastAsia" w:ascii="仿宋_GB2312" w:eastAsia="仿宋_GB2312"/>
          <w:b w:val="0"/>
          <w:color w:val="auto"/>
          <w:sz w:val="32"/>
          <w:szCs w:val="32"/>
        </w:rPr>
        <w:t>机关事业单位基本养老保险缴费支出</w:t>
      </w:r>
      <w:r>
        <w:rPr>
          <w:rStyle w:val="19"/>
          <w:rFonts w:hint="eastAsia" w:ascii="仿宋_GB2312" w:eastAsia="仿宋_GB2312"/>
          <w:color w:val="auto"/>
          <w:sz w:val="32"/>
          <w:szCs w:val="32"/>
        </w:rPr>
        <w:t>（项）</w:t>
      </w:r>
      <w:r>
        <w:rPr>
          <w:rStyle w:val="19"/>
          <w:rFonts w:hint="eastAsia" w:ascii="仿宋_GB2312" w:eastAsia="仿宋_GB2312"/>
          <w:color w:val="auto"/>
          <w:sz w:val="32"/>
          <w:szCs w:val="32"/>
          <w:lang w:eastAsia="zh-CN"/>
        </w:rPr>
        <w:t>：</w:t>
      </w:r>
      <w:r>
        <w:rPr>
          <w:rStyle w:val="19"/>
          <w:rFonts w:hint="eastAsia" w:ascii="仿宋" w:hAnsi="仿宋" w:eastAsia="仿宋"/>
          <w:b w:val="0"/>
          <w:bCs/>
          <w:color w:val="auto"/>
          <w:sz w:val="32"/>
          <w:szCs w:val="32"/>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10.82</w:t>
      </w:r>
      <w:r>
        <w:rPr>
          <w:rFonts w:hint="eastAsia" w:ascii="仿宋_GB2312" w:eastAsia="仿宋_GB2312"/>
          <w:color w:val="auto"/>
          <w:sz w:val="32"/>
          <w:szCs w:val="32"/>
        </w:rPr>
        <w:t>万元，完成预算100%，</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3A73CA97">
      <w:pPr>
        <w:spacing w:line="600" w:lineRule="exact"/>
        <w:ind w:firstLine="643" w:firstLineChars="200"/>
        <w:rPr>
          <w:rFonts w:hint="eastAsia" w:ascii="仿宋_GB2312" w:hAnsi="宋体" w:eastAsia="仿宋_GB2312" w:cs="宋体"/>
          <w:color w:val="000000"/>
          <w:kern w:val="0"/>
          <w:sz w:val="32"/>
          <w:szCs w:val="32"/>
        </w:rPr>
      </w:pPr>
      <w:r>
        <w:rPr>
          <w:rStyle w:val="19"/>
          <w:rFonts w:hint="eastAsia" w:ascii="仿宋_GB2312" w:eastAsia="仿宋_GB2312"/>
          <w:color w:val="auto"/>
          <w:sz w:val="32"/>
          <w:szCs w:val="32"/>
          <w:lang w:val="en-US" w:eastAsia="zh-CN"/>
        </w:rPr>
        <w:t>6</w:t>
      </w:r>
      <w:r>
        <w:rPr>
          <w:rStyle w:val="19"/>
          <w:rFonts w:hint="eastAsia" w:ascii="仿宋_GB2312" w:eastAsia="仿宋_GB2312"/>
          <w:color w:val="auto"/>
          <w:sz w:val="32"/>
          <w:szCs w:val="32"/>
        </w:rPr>
        <w:t>.社会保障和就业（类）</w:t>
      </w:r>
      <w:r>
        <w:rPr>
          <w:rFonts w:hint="eastAsia" w:ascii="仿宋_GB2312" w:hAnsi="宋体" w:eastAsia="仿宋_GB2312" w:cs="宋体"/>
          <w:color w:val="auto"/>
          <w:kern w:val="0"/>
          <w:sz w:val="32"/>
          <w:szCs w:val="32"/>
        </w:rPr>
        <w:t>行政事业单位养老支出</w:t>
      </w:r>
      <w:r>
        <w:rPr>
          <w:rStyle w:val="19"/>
          <w:rFonts w:hint="eastAsia" w:ascii="仿宋_GB2312" w:eastAsia="仿宋_GB2312"/>
          <w:color w:val="auto"/>
          <w:sz w:val="32"/>
          <w:szCs w:val="32"/>
        </w:rPr>
        <w:t>（款）</w:t>
      </w:r>
      <w:r>
        <w:rPr>
          <w:rStyle w:val="19"/>
          <w:rFonts w:hint="eastAsia" w:ascii="仿宋_GB2312" w:eastAsia="仿宋_GB2312"/>
          <w:b w:val="0"/>
          <w:color w:val="auto"/>
          <w:sz w:val="32"/>
          <w:szCs w:val="32"/>
        </w:rPr>
        <w:t>机关事业单位职业年金缴费支出</w:t>
      </w:r>
      <w:r>
        <w:rPr>
          <w:rStyle w:val="19"/>
          <w:rFonts w:hint="eastAsia" w:ascii="仿宋_GB2312" w:eastAsia="仿宋_GB2312"/>
          <w:color w:val="auto"/>
          <w:sz w:val="32"/>
          <w:szCs w:val="32"/>
        </w:rPr>
        <w:t>（项）</w:t>
      </w:r>
      <w:r>
        <w:rPr>
          <w:rStyle w:val="19"/>
          <w:rFonts w:hint="eastAsia" w:ascii="仿宋_GB2312" w:eastAsia="仿宋_GB2312"/>
          <w:color w:val="auto"/>
          <w:sz w:val="32"/>
          <w:szCs w:val="32"/>
          <w:lang w:eastAsia="zh-CN"/>
        </w:rPr>
        <w:t>：</w:t>
      </w:r>
      <w:r>
        <w:rPr>
          <w:rStyle w:val="19"/>
          <w:rFonts w:hint="eastAsia" w:ascii="仿宋" w:hAnsi="仿宋" w:eastAsia="仿宋"/>
          <w:b w:val="0"/>
          <w:bCs/>
          <w:color w:val="auto"/>
          <w:sz w:val="32"/>
          <w:szCs w:val="32"/>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5.4</w:t>
      </w:r>
      <w:r>
        <w:rPr>
          <w:rFonts w:hint="eastAsia" w:ascii="仿宋_GB2312" w:eastAsia="仿宋_GB2312"/>
          <w:color w:val="000000"/>
          <w:sz w:val="32"/>
          <w:szCs w:val="32"/>
        </w:rPr>
        <w:t>万元，完成预算100%</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r>
        <w:rPr>
          <w:rFonts w:hint="eastAsia" w:ascii="仿宋_GB2312" w:hAnsi="宋体" w:eastAsia="仿宋_GB2312" w:cs="宋体"/>
          <w:color w:val="000000"/>
          <w:kern w:val="0"/>
          <w:sz w:val="32"/>
          <w:szCs w:val="32"/>
        </w:rPr>
        <w:t> </w:t>
      </w:r>
    </w:p>
    <w:p w14:paraId="71EB49AC">
      <w:pPr>
        <w:spacing w:line="560" w:lineRule="exact"/>
        <w:ind w:firstLine="643" w:firstLineChars="200"/>
        <w:rPr>
          <w:rFonts w:hint="eastAsia" w:ascii="仿宋" w:hAnsi="仿宋" w:eastAsia="仿宋"/>
          <w:color w:val="000000"/>
          <w:sz w:val="32"/>
          <w:szCs w:val="32"/>
          <w:lang w:eastAsia="zh-CN"/>
        </w:rPr>
      </w:pPr>
      <w:r>
        <w:rPr>
          <w:rStyle w:val="19"/>
          <w:rFonts w:hint="eastAsia" w:ascii="仿宋_GB2312" w:eastAsia="仿宋_GB2312"/>
          <w:color w:val="000000"/>
          <w:sz w:val="32"/>
          <w:szCs w:val="32"/>
          <w:lang w:val="en-US" w:eastAsia="zh-CN"/>
        </w:rPr>
        <w:t>7</w:t>
      </w:r>
      <w:r>
        <w:rPr>
          <w:rStyle w:val="19"/>
          <w:rFonts w:hint="eastAsia" w:ascii="仿宋_GB2312" w:eastAsia="仿宋_GB2312"/>
          <w:color w:val="000000"/>
          <w:sz w:val="32"/>
          <w:szCs w:val="32"/>
        </w:rPr>
        <w:t>.社会保障和就业（类）</w:t>
      </w:r>
      <w:r>
        <w:rPr>
          <w:rFonts w:hint="eastAsia" w:ascii="仿宋_GB2312" w:hAnsi="宋体" w:eastAsia="仿宋_GB2312" w:cs="宋体"/>
          <w:color w:val="000000"/>
          <w:kern w:val="0"/>
          <w:sz w:val="32"/>
          <w:szCs w:val="32"/>
          <w:lang w:eastAsia="zh-CN"/>
        </w:rPr>
        <w:t>其他社会保障和就业支出</w:t>
      </w:r>
      <w:r>
        <w:rPr>
          <w:rStyle w:val="19"/>
          <w:rFonts w:hint="eastAsia" w:ascii="仿宋_GB2312" w:eastAsia="仿宋_GB2312"/>
          <w:color w:val="000000"/>
          <w:sz w:val="32"/>
          <w:szCs w:val="32"/>
        </w:rPr>
        <w:t>（款）</w:t>
      </w:r>
      <w:r>
        <w:rPr>
          <w:rStyle w:val="19"/>
          <w:rFonts w:hint="eastAsia" w:ascii="仿宋_GB2312" w:eastAsia="仿宋_GB2312"/>
          <w:b w:val="0"/>
          <w:color w:val="000000"/>
          <w:sz w:val="32"/>
          <w:szCs w:val="32"/>
        </w:rPr>
        <w:t xml:space="preserve"> </w:t>
      </w:r>
      <w:r>
        <w:rPr>
          <w:rFonts w:hint="eastAsia" w:ascii="仿宋" w:hAnsi="仿宋" w:eastAsia="仿宋"/>
          <w:color w:val="000000"/>
          <w:sz w:val="32"/>
          <w:szCs w:val="32"/>
        </w:rPr>
        <w:t>其他社会保障</w:t>
      </w:r>
      <w:r>
        <w:rPr>
          <w:rFonts w:hint="eastAsia" w:ascii="仿宋" w:hAnsi="仿宋" w:eastAsia="仿宋"/>
          <w:color w:val="000000"/>
          <w:sz w:val="32"/>
          <w:szCs w:val="32"/>
          <w:lang w:eastAsia="zh-CN"/>
        </w:rPr>
        <w:t>和就业支出</w:t>
      </w:r>
      <w:r>
        <w:rPr>
          <w:rStyle w:val="19"/>
          <w:rFonts w:hint="eastAsia" w:ascii="仿宋_GB2312" w:eastAsia="仿宋_GB2312"/>
          <w:color w:val="000000"/>
          <w:sz w:val="32"/>
          <w:szCs w:val="32"/>
        </w:rPr>
        <w:t>（项）</w:t>
      </w:r>
      <w:r>
        <w:rPr>
          <w:rStyle w:val="19"/>
          <w:rFonts w:hint="eastAsia" w:ascii="仿宋_GB2312" w:eastAsia="仿宋_GB2312"/>
          <w:color w:val="000000"/>
          <w:sz w:val="32"/>
          <w:szCs w:val="32"/>
          <w:lang w:eastAsia="zh-CN"/>
        </w:rPr>
        <w:t>：</w:t>
      </w:r>
      <w:r>
        <w:rPr>
          <w:rStyle w:val="19"/>
          <w:rFonts w:hint="eastAsia" w:ascii="仿宋" w:hAnsi="仿宋" w:eastAsia="仿宋"/>
          <w:b w:val="0"/>
          <w:bCs/>
          <w:color w:val="000000"/>
          <w:sz w:val="32"/>
          <w:szCs w:val="32"/>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1.14</w:t>
      </w:r>
      <w:r>
        <w:rPr>
          <w:rFonts w:hint="eastAsia" w:ascii="仿宋_GB2312" w:eastAsia="仿宋_GB2312"/>
          <w:color w:val="000000"/>
          <w:sz w:val="32"/>
          <w:szCs w:val="32"/>
        </w:rPr>
        <w:t>万元，完成</w:t>
      </w:r>
      <w:r>
        <w:rPr>
          <w:rFonts w:hint="eastAsia" w:ascii="仿宋" w:hAnsi="仿宋" w:eastAsia="仿宋"/>
          <w:color w:val="000000"/>
          <w:sz w:val="32"/>
          <w:szCs w:val="32"/>
          <w:lang w:eastAsia="zh-CN"/>
        </w:rPr>
        <w:t>预算100%。</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359A1706">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_GB2312" w:eastAsia="仿宋_GB2312"/>
          <w:color w:val="000000"/>
          <w:sz w:val="32"/>
          <w:szCs w:val="32"/>
          <w:lang w:val="en-US" w:eastAsia="zh-CN"/>
        </w:rPr>
        <w:t>8</w:t>
      </w:r>
      <w:r>
        <w:rPr>
          <w:rStyle w:val="19"/>
          <w:rFonts w:hint="eastAsia" w:ascii="仿宋_GB2312" w:eastAsia="仿宋_GB2312"/>
          <w:color w:val="000000"/>
          <w:sz w:val="32"/>
          <w:szCs w:val="32"/>
        </w:rPr>
        <w:t>.</w:t>
      </w:r>
      <w:r>
        <w:rPr>
          <w:rFonts w:hint="eastAsia" w:ascii="仿宋" w:hAnsi="仿宋" w:eastAsia="仿宋"/>
          <w:b/>
          <w:bCs/>
          <w:color w:val="000000"/>
          <w:sz w:val="32"/>
          <w:szCs w:val="32"/>
        </w:rPr>
        <w:t>卫生健康</w:t>
      </w:r>
      <w:r>
        <w:rPr>
          <w:rStyle w:val="19"/>
          <w:rFonts w:hint="eastAsia" w:ascii="仿宋" w:hAnsi="仿宋" w:eastAsia="仿宋"/>
          <w:bCs/>
          <w:color w:val="000000"/>
          <w:sz w:val="32"/>
          <w:szCs w:val="32"/>
        </w:rPr>
        <w:t>（类）行政事业单位医疗（款）行政单位医疗（项）</w:t>
      </w:r>
      <w:r>
        <w:rPr>
          <w:rStyle w:val="19"/>
          <w:rFonts w:hint="eastAsia" w:ascii="仿宋" w:hAnsi="仿宋" w:eastAsia="仿宋"/>
          <w:bCs/>
          <w:color w:val="000000"/>
          <w:sz w:val="32"/>
          <w:szCs w:val="32"/>
          <w:lang w:eastAsia="zh-CN"/>
        </w:rPr>
        <w:t>：</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3.57</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1792304F">
      <w:pPr>
        <w:spacing w:line="600" w:lineRule="exact"/>
        <w:ind w:firstLine="643" w:firstLineChars="200"/>
        <w:rPr>
          <w:rStyle w:val="19"/>
          <w:rFonts w:hint="eastAsia" w:ascii="仿宋" w:hAnsi="仿宋" w:eastAsia="仿宋"/>
          <w:b w:val="0"/>
          <w:bCs/>
          <w:color w:val="000000"/>
          <w:sz w:val="32"/>
          <w:szCs w:val="32"/>
          <w:lang w:eastAsia="zh-CN"/>
        </w:rPr>
      </w:pPr>
      <w:r>
        <w:rPr>
          <w:rStyle w:val="19"/>
          <w:rFonts w:hint="eastAsia" w:ascii="仿宋_GB2312" w:eastAsia="仿宋_GB2312"/>
          <w:color w:val="000000"/>
          <w:sz w:val="32"/>
          <w:szCs w:val="32"/>
          <w:lang w:val="en-US" w:eastAsia="zh-CN"/>
        </w:rPr>
        <w:t>9</w:t>
      </w:r>
      <w:r>
        <w:rPr>
          <w:rStyle w:val="19"/>
          <w:rFonts w:hint="eastAsia" w:ascii="仿宋_GB2312" w:eastAsia="仿宋_GB2312"/>
          <w:color w:val="000000"/>
          <w:sz w:val="32"/>
          <w:szCs w:val="32"/>
        </w:rPr>
        <w:t>.</w:t>
      </w:r>
      <w:r>
        <w:rPr>
          <w:rFonts w:hint="eastAsia" w:ascii="仿宋" w:hAnsi="仿宋" w:eastAsia="仿宋"/>
          <w:b/>
          <w:bCs/>
          <w:color w:val="000000"/>
          <w:sz w:val="32"/>
          <w:szCs w:val="32"/>
        </w:rPr>
        <w:t>卫生健康</w:t>
      </w:r>
      <w:r>
        <w:rPr>
          <w:rStyle w:val="19"/>
          <w:rFonts w:hint="eastAsia" w:ascii="仿宋" w:hAnsi="仿宋" w:eastAsia="仿宋"/>
          <w:bCs/>
          <w:color w:val="000000"/>
          <w:sz w:val="32"/>
          <w:szCs w:val="32"/>
        </w:rPr>
        <w:t>（类）行政事业单位医疗（款）</w:t>
      </w:r>
      <w:r>
        <w:rPr>
          <w:rStyle w:val="19"/>
          <w:rFonts w:hint="eastAsia" w:ascii="仿宋" w:hAnsi="仿宋" w:eastAsia="仿宋"/>
          <w:bCs/>
          <w:color w:val="000000"/>
          <w:sz w:val="32"/>
          <w:szCs w:val="32"/>
          <w:lang w:eastAsia="zh-CN"/>
        </w:rPr>
        <w:t>公务员医疗补助</w:t>
      </w:r>
      <w:r>
        <w:rPr>
          <w:rStyle w:val="19"/>
          <w:rFonts w:hint="eastAsia" w:ascii="仿宋" w:hAnsi="仿宋" w:eastAsia="仿宋"/>
          <w:bCs/>
          <w:color w:val="000000"/>
          <w:sz w:val="32"/>
          <w:szCs w:val="32"/>
        </w:rPr>
        <w:t>（项）</w:t>
      </w:r>
      <w:r>
        <w:rPr>
          <w:rStyle w:val="19"/>
          <w:rFonts w:hint="eastAsia" w:ascii="仿宋" w:hAnsi="仿宋" w:eastAsia="仿宋"/>
          <w:bCs/>
          <w:color w:val="000000"/>
          <w:sz w:val="32"/>
          <w:szCs w:val="32"/>
          <w:lang w:eastAsia="zh-CN"/>
        </w:rPr>
        <w:t>：</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0.36</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108EBC27">
      <w:pPr>
        <w:pStyle w:val="15"/>
        <w:ind w:firstLine="643" w:firstLineChars="200"/>
        <w:jc w:val="both"/>
        <w:rPr>
          <w:rStyle w:val="19"/>
          <w:rFonts w:hint="eastAsia" w:ascii="仿宋" w:hAnsi="仿宋" w:eastAsia="仿宋" w:cs="Times New Roman"/>
          <w:b w:val="0"/>
          <w:bCs/>
          <w:color w:val="000000"/>
          <w:kern w:val="2"/>
          <w:sz w:val="32"/>
          <w:szCs w:val="32"/>
          <w:lang w:val="en-US" w:eastAsia="zh-CN" w:bidi="ar-SA"/>
        </w:rPr>
      </w:pPr>
      <w:r>
        <w:rPr>
          <w:rFonts w:hint="eastAsia" w:ascii="仿宋_GB2312" w:hAnsi="宋体" w:eastAsia="仿宋_GB2312" w:cs="宋体"/>
          <w:b/>
          <w:color w:val="000000"/>
          <w:kern w:val="0"/>
          <w:sz w:val="32"/>
          <w:szCs w:val="32"/>
          <w:lang w:val="en-US" w:eastAsia="zh-CN"/>
        </w:rPr>
        <w:t>10.</w:t>
      </w:r>
      <w:r>
        <w:rPr>
          <w:rFonts w:hint="eastAsia" w:ascii="仿宋_GB2312" w:hAnsi="宋体" w:eastAsia="仿宋_GB2312" w:cs="宋体"/>
          <w:b/>
          <w:color w:val="000000"/>
          <w:kern w:val="0"/>
          <w:sz w:val="32"/>
          <w:szCs w:val="32"/>
        </w:rPr>
        <w:t>农林水支出（类）</w:t>
      </w:r>
      <w:r>
        <w:rPr>
          <w:rFonts w:hint="eastAsia" w:ascii="仿宋_GB2312" w:hAnsi="宋体" w:eastAsia="仿宋_GB2312" w:cs="宋体"/>
          <w:color w:val="000000"/>
          <w:kern w:val="0"/>
          <w:sz w:val="32"/>
          <w:szCs w:val="32"/>
        </w:rPr>
        <w:t>农业</w:t>
      </w:r>
      <w:r>
        <w:rPr>
          <w:rFonts w:hint="eastAsia" w:ascii="仿宋_GB2312" w:hAnsi="宋体" w:eastAsia="仿宋_GB2312" w:cs="宋体"/>
          <w:color w:val="000000"/>
          <w:kern w:val="0"/>
          <w:sz w:val="32"/>
          <w:szCs w:val="32"/>
          <w:lang w:eastAsia="zh-CN"/>
        </w:rPr>
        <w:t>农村</w:t>
      </w:r>
      <w:r>
        <w:rPr>
          <w:rFonts w:hint="eastAsia" w:ascii="仿宋_GB2312" w:hAnsi="宋体" w:eastAsia="仿宋_GB2312" w:cs="宋体"/>
          <w:b/>
          <w:color w:val="000000"/>
          <w:kern w:val="0"/>
          <w:sz w:val="32"/>
          <w:szCs w:val="32"/>
        </w:rPr>
        <w:t>（款）</w:t>
      </w:r>
      <w:r>
        <w:rPr>
          <w:rFonts w:hint="eastAsia" w:ascii="仿宋_GB2312" w:hAnsi="宋体" w:eastAsia="仿宋_GB2312" w:cs="宋体"/>
          <w:color w:val="000000"/>
          <w:kern w:val="0"/>
          <w:sz w:val="32"/>
          <w:szCs w:val="32"/>
        </w:rPr>
        <w:t>对高校毕业生到基层任职补助（项）：</w:t>
      </w:r>
      <w:r>
        <w:rPr>
          <w:rStyle w:val="19"/>
          <w:rFonts w:hint="eastAsia" w:ascii="仿宋" w:hAnsi="仿宋" w:eastAsia="仿宋" w:cs="Times New Roman"/>
          <w:b w:val="0"/>
          <w:bCs/>
          <w:color w:val="000000"/>
          <w:kern w:val="2"/>
          <w:sz w:val="32"/>
          <w:szCs w:val="32"/>
          <w:lang w:val="en-US" w:eastAsia="zh-CN" w:bidi="ar-SA"/>
        </w:rPr>
        <w:t>支出决算数为140.31万元，完成预算100%。</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与</w:t>
      </w:r>
      <w:r>
        <w:rPr>
          <w:rStyle w:val="19"/>
          <w:rFonts w:hint="eastAsia" w:ascii="仿宋" w:hAnsi="仿宋" w:eastAsia="仿宋"/>
          <w:b w:val="0"/>
          <w:bCs/>
          <w:color w:val="auto"/>
          <w:sz w:val="32"/>
          <w:szCs w:val="32"/>
          <w:highlight w:val="none"/>
        </w:rPr>
        <w:t>预算数</w:t>
      </w:r>
      <w:r>
        <w:rPr>
          <w:rStyle w:val="19"/>
          <w:rFonts w:hint="eastAsia" w:ascii="仿宋" w:hAnsi="仿宋" w:eastAsia="仿宋"/>
          <w:b w:val="0"/>
          <w:bCs/>
          <w:color w:val="auto"/>
          <w:sz w:val="32"/>
          <w:szCs w:val="32"/>
          <w:highlight w:val="none"/>
          <w:lang w:eastAsia="zh-CN"/>
        </w:rPr>
        <w:t>持平。</w:t>
      </w:r>
    </w:p>
    <w:p w14:paraId="43E10D70">
      <w:pPr>
        <w:pStyle w:val="2"/>
        <w:ind w:firstLine="643" w:firstLineChars="200"/>
        <w:rPr>
          <w:rFonts w:ascii="仿宋" w:hAnsi="仿宋" w:eastAsia="仿宋"/>
          <w:b/>
          <w:sz w:val="32"/>
          <w:szCs w:val="32"/>
        </w:rPr>
      </w:pPr>
      <w:r>
        <w:rPr>
          <w:rFonts w:hint="eastAsia" w:ascii="仿宋_GB2312" w:hAnsi="宋体" w:eastAsia="仿宋_GB2312" w:cs="宋体"/>
          <w:b/>
          <w:bCs/>
          <w:i w:val="0"/>
          <w:iCs w:val="0"/>
          <w:color w:val="000000"/>
          <w:kern w:val="0"/>
          <w:sz w:val="32"/>
          <w:szCs w:val="32"/>
          <w:lang w:val="en-US" w:eastAsia="zh-CN" w:bidi="ar-SA"/>
        </w:rPr>
        <w:t>11.住房保障支出（类）</w:t>
      </w:r>
      <w:r>
        <w:rPr>
          <w:rStyle w:val="19"/>
          <w:rFonts w:hint="eastAsia" w:ascii="仿宋" w:hAnsi="仿宋" w:eastAsia="仿宋" w:cs="Times New Roman"/>
          <w:b w:val="0"/>
          <w:bCs/>
          <w:i w:val="0"/>
          <w:iCs w:val="0"/>
          <w:color w:val="000000"/>
          <w:kern w:val="2"/>
          <w:sz w:val="32"/>
          <w:szCs w:val="32"/>
          <w:lang w:val="en-US" w:eastAsia="zh-CN" w:bidi="ar-SA"/>
        </w:rPr>
        <w:t>住房改革支出</w:t>
      </w:r>
      <w:r>
        <w:rPr>
          <w:rFonts w:hint="eastAsia" w:ascii="仿宋_GB2312" w:hAnsi="宋体" w:eastAsia="仿宋_GB2312" w:cs="宋体"/>
          <w:b/>
          <w:bCs/>
          <w:i w:val="0"/>
          <w:iCs w:val="0"/>
          <w:color w:val="000000"/>
          <w:kern w:val="0"/>
          <w:sz w:val="32"/>
          <w:szCs w:val="32"/>
          <w:lang w:val="en-US" w:eastAsia="zh-CN" w:bidi="ar-SA"/>
        </w:rPr>
        <w:t>（款）</w:t>
      </w:r>
      <w:r>
        <w:rPr>
          <w:rStyle w:val="19"/>
          <w:rFonts w:hint="eastAsia" w:ascii="仿宋" w:hAnsi="仿宋" w:eastAsia="仿宋" w:cs="Arial"/>
          <w:b w:val="0"/>
          <w:bCs/>
          <w:i w:val="0"/>
          <w:iCs w:val="0"/>
          <w:color w:val="auto"/>
          <w:kern w:val="2"/>
          <w:sz w:val="32"/>
          <w:szCs w:val="32"/>
          <w:highlight w:val="none"/>
          <w:lang w:val="en-US" w:eastAsia="zh-CN" w:bidi="ar-SA"/>
        </w:rPr>
        <w:t>住房公积金</w:t>
      </w:r>
      <w:r>
        <w:rPr>
          <w:rFonts w:hint="eastAsia" w:ascii="仿宋_GB2312" w:hAnsi="宋体" w:eastAsia="仿宋_GB2312" w:cs="宋体"/>
          <w:b/>
          <w:bCs/>
          <w:i w:val="0"/>
          <w:iCs w:val="0"/>
          <w:color w:val="000000"/>
          <w:kern w:val="0"/>
          <w:sz w:val="32"/>
          <w:szCs w:val="32"/>
          <w:lang w:val="en-US" w:eastAsia="zh-CN" w:bidi="ar-SA"/>
        </w:rPr>
        <w:t>（项）：</w:t>
      </w:r>
      <w:r>
        <w:rPr>
          <w:rStyle w:val="19"/>
          <w:rFonts w:hint="eastAsia" w:ascii="仿宋" w:hAnsi="仿宋" w:eastAsia="仿宋" w:cs="Arial"/>
          <w:b w:val="0"/>
          <w:bCs/>
          <w:i w:val="0"/>
          <w:iCs w:val="0"/>
          <w:color w:val="auto"/>
          <w:kern w:val="2"/>
          <w:sz w:val="32"/>
          <w:szCs w:val="32"/>
          <w:highlight w:val="none"/>
          <w:lang w:val="en-US" w:eastAsia="zh-CN" w:bidi="ar-SA"/>
        </w:rPr>
        <w:t>支出决算数为7.99元，完成预算100%。</w:t>
      </w:r>
    </w:p>
    <w:p w14:paraId="366D4C03">
      <w:pPr>
        <w:tabs>
          <w:tab w:val="right" w:pos="8306"/>
        </w:tabs>
        <w:spacing w:line="600" w:lineRule="exact"/>
        <w:ind w:firstLine="640"/>
        <w:outlineLvl w:val="1"/>
        <w:rPr>
          <w:rStyle w:val="31"/>
        </w:rPr>
      </w:pPr>
      <w:bookmarkStart w:id="36" w:name="_Toc15377214"/>
      <w:bookmarkStart w:id="3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6"/>
      <w:bookmarkEnd w:id="37"/>
      <w:r>
        <w:rPr>
          <w:rStyle w:val="31"/>
          <w:rFonts w:ascii="黑体" w:hAnsi="黑体" w:eastAsia="黑体"/>
          <w:b w:val="0"/>
        </w:rPr>
        <w:tab/>
      </w:r>
    </w:p>
    <w:p w14:paraId="3E67A86A">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181.43</w:t>
      </w:r>
      <w:r>
        <w:rPr>
          <w:rFonts w:hint="eastAsia" w:ascii="仿宋" w:hAnsi="仿宋" w:eastAsia="仿宋"/>
          <w:sz w:val="32"/>
          <w:szCs w:val="32"/>
        </w:rPr>
        <w:t>万元，其中：</w:t>
      </w:r>
    </w:p>
    <w:p w14:paraId="459B6EA4">
      <w:pPr>
        <w:spacing w:line="600" w:lineRule="exact"/>
        <w:ind w:firstLine="645"/>
        <w:rPr>
          <w:rFonts w:hint="eastAsia" w:ascii="仿宋" w:hAnsi="仿宋" w:eastAsia="仿宋"/>
          <w:color w:val="auto"/>
          <w:sz w:val="32"/>
          <w:szCs w:val="32"/>
          <w:highlight w:val="none"/>
        </w:rPr>
      </w:pPr>
      <w:r>
        <w:rPr>
          <w:rFonts w:hint="eastAsia" w:ascii="仿宋" w:hAnsi="仿宋" w:eastAsia="仿宋"/>
          <w:sz w:val="32"/>
          <w:szCs w:val="32"/>
        </w:rPr>
        <w:t>人员经费</w:t>
      </w:r>
      <w:r>
        <w:rPr>
          <w:sz w:val="32"/>
          <w:szCs w:val="32"/>
        </w:rPr>
        <w:t>164.07</w:t>
      </w:r>
      <w:r>
        <w:rPr>
          <w:rFonts w:hint="eastAsia" w:ascii="仿宋" w:hAnsi="仿宋" w:eastAsia="仿宋"/>
          <w:sz w:val="32"/>
          <w:szCs w:val="32"/>
        </w:rPr>
        <w:t>万元，主要包括：</w:t>
      </w:r>
      <w:r>
        <w:rPr>
          <w:rFonts w:hint="eastAsia" w:ascii="仿宋" w:hAnsi="仿宋" w:eastAsia="仿宋"/>
          <w:color w:val="auto"/>
          <w:sz w:val="32"/>
          <w:szCs w:val="32"/>
          <w:highlight w:val="none"/>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A77A3DC">
      <w:pPr>
        <w:spacing w:line="600" w:lineRule="exact"/>
        <w:ind w:firstLine="320" w:firstLineChars="100"/>
        <w:rPr>
          <w:rFonts w:hint="eastAsia" w:ascii="仿宋" w:hAnsi="仿宋" w:eastAsia="仿宋"/>
          <w:sz w:val="32"/>
          <w:szCs w:val="32"/>
          <w:lang w:val="en-US" w:eastAsia="zh-CN"/>
        </w:rPr>
      </w:pPr>
      <w:r>
        <w:rPr>
          <w:rFonts w:hint="eastAsia" w:ascii="仿宋" w:hAnsi="仿宋" w:eastAsia="仿宋"/>
          <w:sz w:val="32"/>
          <w:szCs w:val="32"/>
        </w:rPr>
        <w:t>　公用经费</w:t>
      </w:r>
      <w:r>
        <w:rPr>
          <w:sz w:val="32"/>
          <w:szCs w:val="32"/>
        </w:rPr>
        <w:t>17.35</w:t>
      </w:r>
      <w:r>
        <w:rPr>
          <w:rFonts w:hint="eastAsia" w:ascii="仿宋" w:hAnsi="仿宋" w:eastAsia="仿宋"/>
          <w:sz w:val="32"/>
          <w:szCs w:val="32"/>
        </w:rPr>
        <w:t>万元，</w:t>
      </w:r>
      <w:r>
        <w:rPr>
          <w:rFonts w:hint="eastAsia" w:ascii="仿宋" w:hAnsi="仿宋" w:eastAsia="仿宋"/>
          <w:color w:val="auto"/>
          <w:sz w:val="32"/>
          <w:szCs w:val="32"/>
          <w:highlight w:val="none"/>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color w:val="auto"/>
          <w:sz w:val="32"/>
          <w:szCs w:val="32"/>
          <w:highlight w:val="none"/>
          <w:lang w:eastAsia="zh-CN"/>
        </w:rPr>
        <w:t>。</w:t>
      </w:r>
    </w:p>
    <w:p w14:paraId="5CC49E00">
      <w:pPr>
        <w:spacing w:line="600" w:lineRule="exact"/>
        <w:ind w:firstLine="320" w:firstLineChars="100"/>
        <w:outlineLvl w:val="1"/>
        <w:rPr>
          <w:rStyle w:val="31"/>
          <w:rFonts w:ascii="黑体" w:hAnsi="黑体" w:eastAsia="黑体"/>
          <w:b w:val="0"/>
        </w:rPr>
      </w:pPr>
      <w:bookmarkStart w:id="38" w:name="_Toc15396609"/>
      <w:bookmarkStart w:id="39"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8"/>
      <w:bookmarkEnd w:id="39"/>
    </w:p>
    <w:p w14:paraId="41749818">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2F4BAC04">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sz w:val="32"/>
          <w:szCs w:val="32"/>
        </w:rPr>
        <w:t>2023年度“三公”经费财政拨款支出决算为</w:t>
      </w:r>
      <w:r>
        <w:rPr>
          <w:sz w:val="32"/>
          <w:szCs w:val="32"/>
        </w:rPr>
        <w:t>0.19</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color w:val="auto"/>
          <w:sz w:val="32"/>
          <w:szCs w:val="32"/>
          <w:highlight w:val="none"/>
          <w:lang w:val="en-US" w:eastAsia="zh-CN"/>
        </w:rPr>
        <w:t>3.56万元</w:t>
      </w:r>
      <w:r>
        <w:rPr>
          <w:rFonts w:hint="eastAsia" w:ascii="仿宋" w:hAnsi="仿宋" w:eastAsia="仿宋"/>
          <w:sz w:val="32"/>
          <w:szCs w:val="32"/>
        </w:rPr>
        <w:t>减少</w:t>
      </w:r>
      <w:r>
        <w:rPr>
          <w:rFonts w:hint="eastAsia" w:ascii="仿宋" w:hAnsi="仿宋" w:eastAsia="仿宋"/>
          <w:sz w:val="32"/>
          <w:szCs w:val="32"/>
          <w:lang w:val="en-US" w:eastAsia="zh-CN"/>
        </w:rPr>
        <w:t>3.37</w:t>
      </w:r>
      <w:r>
        <w:rPr>
          <w:rFonts w:hint="eastAsia" w:ascii="仿宋" w:hAnsi="仿宋" w:eastAsia="仿宋"/>
          <w:sz w:val="32"/>
          <w:szCs w:val="32"/>
        </w:rPr>
        <w:t>万元，下降</w:t>
      </w:r>
      <w:r>
        <w:rPr>
          <w:rFonts w:hint="eastAsia" w:ascii="仿宋" w:hAnsi="仿宋" w:eastAsia="仿宋"/>
          <w:sz w:val="32"/>
          <w:szCs w:val="32"/>
          <w:lang w:val="en-US" w:eastAsia="zh-CN"/>
        </w:rPr>
        <w:t>94</w:t>
      </w:r>
      <w:r>
        <w:rPr>
          <w:rFonts w:hint="eastAsia" w:ascii="仿宋" w:hAnsi="仿宋" w:eastAsia="仿宋"/>
          <w:sz w:val="32"/>
          <w:szCs w:val="32"/>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预算数持平</w:t>
      </w:r>
      <w:r>
        <w:rPr>
          <w:rFonts w:hint="eastAsia" w:ascii="仿宋" w:hAnsi="仿宋" w:eastAsia="仿宋"/>
          <w:color w:val="000000"/>
          <w:sz w:val="32"/>
          <w:szCs w:val="32"/>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厉行勤俭节约。</w:t>
      </w:r>
    </w:p>
    <w:p w14:paraId="13E7ECC7">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3627546E">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0.19</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29A22260">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2A0EE23C">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color w:val="FF0000"/>
          <w:sz w:val="32"/>
          <w:szCs w:val="32"/>
        </w:rPr>
        <w:object>
          <v:shape id="_x0000_i1031" o:spt="75" type="#_x0000_t75" style="height:289.3pt;width:390.6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14:paraId="0E0AD394">
      <w:pPr>
        <w:pStyle w:val="2"/>
        <w:rPr>
          <w:rFonts w:hint="eastAsia"/>
          <w:lang w:val="en-US" w:eastAsia="zh-CN"/>
        </w:rPr>
      </w:pPr>
    </w:p>
    <w:p w14:paraId="263E3761">
      <w:pPr>
        <w:numPr>
          <w:ilvl w:val="0"/>
          <w:numId w:val="5"/>
        </w:numPr>
        <w:spacing w:line="600" w:lineRule="exact"/>
        <w:ind w:firstLine="640"/>
        <w:rPr>
          <w:rFonts w:hint="eastAsia" w:ascii="仿宋_GB2312" w:eastAsia="仿宋_GB2312"/>
          <w:color w:val="auto"/>
          <w:sz w:val="32"/>
          <w:szCs w:val="32"/>
          <w:highlight w:val="none"/>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541BA047">
      <w:pPr>
        <w:spacing w:line="600" w:lineRule="exact"/>
        <w:ind w:firstLine="640"/>
        <w:rPr>
          <w:rFonts w:hint="eastAsia" w:ascii="仿宋_GB2312" w:eastAsia="仿宋_GB2312"/>
          <w:b/>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3.5</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2023年公务用车</w:t>
      </w:r>
      <w:r>
        <w:rPr>
          <w:rFonts w:hint="eastAsia" w:ascii="仿宋_GB2312" w:eastAsia="仿宋_GB2312"/>
          <w:sz w:val="32"/>
          <w:szCs w:val="32"/>
        </w:rPr>
        <w:t>购置及运行维护费</w:t>
      </w:r>
      <w:r>
        <w:rPr>
          <w:rFonts w:hint="eastAsia" w:ascii="仿宋_GB2312" w:eastAsia="仿宋_GB2312"/>
          <w:sz w:val="32"/>
          <w:szCs w:val="32"/>
          <w:lang w:eastAsia="zh-CN"/>
        </w:rPr>
        <w:t>由县供销社统一管理。</w:t>
      </w:r>
    </w:p>
    <w:p w14:paraId="3F87794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67C9B97">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19232078">
      <w:pPr>
        <w:numPr>
          <w:ilvl w:val="0"/>
          <w:numId w:val="5"/>
        </w:numPr>
        <w:spacing w:line="600" w:lineRule="exact"/>
        <w:ind w:left="0" w:leftChars="0" w:firstLine="640" w:firstLineChars="0"/>
        <w:rPr>
          <w:rFonts w:hint="eastAsia" w:ascii="仿宋_GB2312" w:eastAsia="仿宋_GB2312"/>
          <w:sz w:val="32"/>
          <w:szCs w:val="32"/>
        </w:rPr>
      </w:pPr>
      <w:r>
        <w:rPr>
          <w:rFonts w:hint="eastAsia" w:ascii="仿宋_GB2312" w:eastAsia="仿宋_GB2312"/>
          <w:b/>
          <w:sz w:val="32"/>
          <w:szCs w:val="32"/>
        </w:rPr>
        <w:t>公务接待费支出</w:t>
      </w:r>
      <w:r>
        <w:rPr>
          <w:sz w:val="32"/>
          <w:szCs w:val="32"/>
        </w:rPr>
        <w:t>0.19</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w:t>
      </w:r>
      <w:r>
        <w:rPr>
          <w:rFonts w:hint="eastAsia" w:ascii="仿宋_GB2312" w:eastAsia="仿宋_GB2312"/>
          <w:sz w:val="32"/>
          <w:szCs w:val="32"/>
          <w:lang w:val="en-US" w:eastAsia="zh-CN"/>
        </w:rPr>
        <w:t>0.06万元</w:t>
      </w:r>
      <w:r>
        <w:rPr>
          <w:rFonts w:hint="eastAsia" w:ascii="仿宋_GB2312" w:eastAsia="仿宋_GB2312"/>
          <w:sz w:val="32"/>
          <w:szCs w:val="32"/>
        </w:rPr>
        <w:t>增加</w:t>
      </w:r>
      <w:r>
        <w:rPr>
          <w:rFonts w:hint="eastAsia" w:ascii="仿宋_GB2312" w:eastAsia="仿宋_GB2312"/>
          <w:sz w:val="32"/>
          <w:szCs w:val="32"/>
          <w:lang w:val="en-US" w:eastAsia="zh-CN"/>
        </w:rPr>
        <w:t>0.13</w:t>
      </w:r>
      <w:r>
        <w:rPr>
          <w:rFonts w:hint="eastAsia" w:ascii="仿宋_GB2312" w:eastAsia="仿宋_GB2312"/>
          <w:sz w:val="32"/>
          <w:szCs w:val="32"/>
        </w:rPr>
        <w:t>万元，增长</w:t>
      </w: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接待人员增加。</w:t>
      </w:r>
    </w:p>
    <w:p w14:paraId="190CD4C5">
      <w:pPr>
        <w:numPr>
          <w:ilvl w:val="0"/>
          <w:numId w:val="0"/>
        </w:numPr>
        <w:spacing w:line="600" w:lineRule="exact"/>
        <w:ind w:left="640" w:leftChars="0"/>
      </w:pPr>
      <w:r>
        <w:rPr>
          <w:rFonts w:hint="eastAsia" w:ascii="仿宋_GB2312" w:eastAsia="仿宋_GB2312"/>
          <w:sz w:val="32"/>
          <w:szCs w:val="32"/>
        </w:rPr>
        <w:t>其中：</w:t>
      </w:r>
      <w:r>
        <w:rPr>
          <w:rFonts w:hint="eastAsia" w:ascii="仿宋" w:hAnsi="仿宋" w:eastAsia="仿宋"/>
          <w:b/>
          <w:sz w:val="32"/>
          <w:szCs w:val="32"/>
        </w:rPr>
        <w:t>国内公务接待支出</w:t>
      </w:r>
      <w:r>
        <w:rPr>
          <w:rFonts w:hint="eastAsia" w:ascii="仿宋" w:hAnsi="仿宋" w:eastAsia="仿宋"/>
          <w:b/>
          <w:sz w:val="32"/>
          <w:szCs w:val="32"/>
          <w:lang w:val="en-US" w:eastAsia="zh-CN"/>
        </w:rPr>
        <w:t>0.19</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color w:val="auto"/>
          <w:sz w:val="32"/>
          <w:szCs w:val="32"/>
          <w:highlight w:val="none"/>
        </w:rPr>
        <w:t>执行公务、开展业务活动开支的交通费、住宿费、用餐费等</w:t>
      </w:r>
      <w:r>
        <w:rPr>
          <w:rFonts w:hint="eastAsia" w:ascii="仿宋_GB2312" w:eastAsia="仿宋_GB2312"/>
          <w:color w:val="auto"/>
          <w:sz w:val="32"/>
          <w:szCs w:val="32"/>
          <w:highlight w:val="none"/>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12</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0.19</w:t>
      </w:r>
      <w:r>
        <w:rPr>
          <w:rFonts w:hint="eastAsia" w:ascii="仿宋_GB2312" w:eastAsia="仿宋_GB2312"/>
          <w:sz w:val="32"/>
          <w:szCs w:val="32"/>
        </w:rPr>
        <w:t>万元，具体内容包括：</w:t>
      </w:r>
      <w:r>
        <w:rPr>
          <w:rFonts w:hint="eastAsia" w:ascii="仿宋_GB2312" w:eastAsia="仿宋_GB2312"/>
          <w:sz w:val="32"/>
          <w:szCs w:val="32"/>
          <w:lang w:eastAsia="zh-CN"/>
        </w:rPr>
        <w:t>四川师范大学赴</w:t>
      </w:r>
      <w:r>
        <w:rPr>
          <w:rFonts w:hint="eastAsia" w:ascii="仿宋_GB2312" w:eastAsia="仿宋_GB2312"/>
          <w:color w:val="000000"/>
          <w:sz w:val="32"/>
          <w:szCs w:val="32"/>
          <w:lang w:eastAsia="zh-CN"/>
        </w:rPr>
        <w:t>彝族自治县调查研究</w:t>
      </w:r>
      <w:r>
        <w:rPr>
          <w:rFonts w:hint="eastAsia" w:ascii="仿宋_GB2312" w:eastAsia="仿宋_GB2312"/>
          <w:sz w:val="32"/>
          <w:szCs w:val="32"/>
          <w:lang w:eastAsia="zh-CN"/>
        </w:rPr>
        <w:t>支教团工件；</w:t>
      </w:r>
      <w:r>
        <w:rPr>
          <w:rFonts w:hint="eastAsia" w:ascii="仿宋_GB2312" w:eastAsia="仿宋_GB2312"/>
          <w:color w:val="000000"/>
          <w:sz w:val="32"/>
          <w:szCs w:val="32"/>
          <w:lang w:eastAsia="zh-CN"/>
        </w:rPr>
        <w:t>共计支出</w:t>
      </w:r>
      <w:r>
        <w:rPr>
          <w:rFonts w:hint="eastAsia" w:ascii="仿宋_GB2312" w:eastAsia="仿宋_GB2312"/>
          <w:color w:val="000000"/>
          <w:sz w:val="32"/>
          <w:szCs w:val="32"/>
          <w:lang w:val="en-US" w:eastAsia="zh-CN"/>
        </w:rPr>
        <w:t>0.06万元；</w:t>
      </w:r>
      <w:r>
        <w:rPr>
          <w:rFonts w:hint="eastAsia" w:ascii="仿宋_GB2312" w:eastAsia="仿宋_GB2312"/>
          <w:sz w:val="32"/>
          <w:szCs w:val="32"/>
          <w:lang w:eastAsia="zh-CN"/>
        </w:rPr>
        <w:t>南京理工大学赴</w:t>
      </w:r>
      <w:r>
        <w:rPr>
          <w:rFonts w:hint="eastAsia" w:ascii="仿宋_GB2312" w:eastAsia="仿宋_GB2312"/>
          <w:color w:val="000000"/>
          <w:sz w:val="32"/>
          <w:szCs w:val="32"/>
          <w:lang w:eastAsia="zh-CN"/>
        </w:rPr>
        <w:t>彝族自治县调查研究</w:t>
      </w:r>
      <w:r>
        <w:rPr>
          <w:rFonts w:hint="eastAsia" w:ascii="仿宋_GB2312" w:eastAsia="仿宋_GB2312"/>
          <w:sz w:val="32"/>
          <w:szCs w:val="32"/>
          <w:lang w:eastAsia="zh-CN"/>
        </w:rPr>
        <w:t>支教团工件；</w:t>
      </w:r>
      <w:r>
        <w:rPr>
          <w:rFonts w:hint="eastAsia" w:ascii="仿宋_GB2312" w:eastAsia="仿宋_GB2312"/>
          <w:color w:val="000000"/>
          <w:sz w:val="32"/>
          <w:szCs w:val="32"/>
          <w:lang w:eastAsia="zh-CN"/>
        </w:rPr>
        <w:t>共计支出</w:t>
      </w:r>
      <w:r>
        <w:rPr>
          <w:rFonts w:hint="eastAsia" w:ascii="仿宋_GB2312" w:eastAsia="仿宋_GB2312"/>
          <w:color w:val="000000"/>
          <w:sz w:val="32"/>
          <w:szCs w:val="32"/>
          <w:lang w:val="en-US" w:eastAsia="zh-CN"/>
        </w:rPr>
        <w:t>0.13万元</w:t>
      </w:r>
      <w:r>
        <w:rPr>
          <w:rFonts w:hint="eastAsia" w:ascii="仿宋_GB2312" w:eastAsia="仿宋_GB2312"/>
          <w:color w:val="000000"/>
          <w:sz w:val="32"/>
          <w:szCs w:val="32"/>
        </w:rPr>
        <w:t>。</w:t>
      </w:r>
    </w:p>
    <w:p w14:paraId="188D0EBF">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人次（不包括陪同人员），共计支出万元。</w:t>
      </w:r>
    </w:p>
    <w:p w14:paraId="5EC07808">
      <w:pPr>
        <w:spacing w:line="600" w:lineRule="exact"/>
        <w:ind w:firstLine="320" w:firstLineChars="100"/>
        <w:outlineLvl w:val="1"/>
        <w:rPr>
          <w:rStyle w:val="31"/>
          <w:rFonts w:ascii="黑体" w:hAnsi="黑体" w:eastAsia="黑体"/>
        </w:rPr>
      </w:pPr>
      <w:bookmarkStart w:id="42" w:name="_Toc15396610"/>
      <w:bookmarkStart w:id="43" w:name="_Toc15377218"/>
      <w:r>
        <w:rPr>
          <w:rFonts w:hint="eastAsia" w:ascii="黑体" w:eastAsia="黑体"/>
          <w:sz w:val="32"/>
          <w:szCs w:val="32"/>
        </w:rPr>
        <w:t>八、</w:t>
      </w:r>
      <w:r>
        <w:rPr>
          <w:rStyle w:val="31"/>
          <w:rFonts w:hint="eastAsia" w:ascii="黑体" w:hAnsi="黑体" w:eastAsia="黑体"/>
          <w:b w:val="0"/>
        </w:rPr>
        <w:t>政府性基金预算支出决算情况说明</w:t>
      </w:r>
      <w:bookmarkEnd w:id="42"/>
      <w:bookmarkEnd w:id="43"/>
    </w:p>
    <w:p w14:paraId="1F5731CA">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14:paraId="7373AF04">
      <w:pPr>
        <w:numPr>
          <w:ilvl w:val="0"/>
          <w:numId w:val="0"/>
        </w:numPr>
        <w:spacing w:line="600" w:lineRule="exact"/>
        <w:ind w:firstLine="320" w:firstLineChars="100"/>
        <w:outlineLvl w:val="1"/>
        <w:rPr>
          <w:rStyle w:val="31"/>
          <w:rFonts w:ascii="黑体" w:hAnsi="黑体" w:eastAsia="黑体"/>
          <w:b w:val="0"/>
        </w:rPr>
      </w:pPr>
      <w:bookmarkStart w:id="44" w:name="_Toc15377219"/>
      <w:bookmarkStart w:id="45" w:name="_Toc15396611"/>
      <w:r>
        <w:rPr>
          <w:rStyle w:val="31"/>
          <w:rFonts w:hint="eastAsia" w:ascii="黑体" w:hAnsi="黑体" w:eastAsia="黑体"/>
          <w:b w:val="0"/>
          <w:lang w:eastAsia="zh-CN"/>
        </w:rPr>
        <w:t>九、</w:t>
      </w:r>
      <w:r>
        <w:rPr>
          <w:rStyle w:val="31"/>
          <w:rFonts w:hint="eastAsia" w:ascii="黑体" w:hAnsi="黑体" w:eastAsia="黑体"/>
          <w:b w:val="0"/>
        </w:rPr>
        <w:t>国有资本经营预算支出决算情况说明</w:t>
      </w:r>
      <w:bookmarkEnd w:id="44"/>
      <w:bookmarkEnd w:id="45"/>
    </w:p>
    <w:p w14:paraId="5B59B908">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7821A1FF">
      <w:pPr>
        <w:numPr>
          <w:ilvl w:val="0"/>
          <w:numId w:val="0"/>
        </w:numPr>
        <w:spacing w:line="600" w:lineRule="exact"/>
        <w:ind w:firstLine="320" w:firstLineChars="100"/>
        <w:outlineLvl w:val="1"/>
        <w:rPr>
          <w:rStyle w:val="31"/>
          <w:rFonts w:ascii="黑体" w:hAnsi="黑体" w:eastAsia="黑体"/>
          <w:b w:val="0"/>
        </w:rPr>
      </w:pPr>
      <w:bookmarkStart w:id="46" w:name="_Toc15377221"/>
      <w:bookmarkStart w:id="47" w:name="_Toc15396612"/>
      <w:r>
        <w:rPr>
          <w:rStyle w:val="31"/>
          <w:rFonts w:hint="eastAsia" w:ascii="黑体" w:hAnsi="黑体" w:eastAsia="黑体"/>
          <w:b w:val="0"/>
          <w:lang w:eastAsia="zh-CN"/>
        </w:rPr>
        <w:t>十、</w:t>
      </w:r>
      <w:r>
        <w:rPr>
          <w:rStyle w:val="31"/>
          <w:rFonts w:hint="eastAsia" w:ascii="黑体" w:hAnsi="黑体" w:eastAsia="黑体"/>
          <w:b w:val="0"/>
        </w:rPr>
        <w:t>其他重要事项的情况说明</w:t>
      </w:r>
      <w:bookmarkEnd w:id="46"/>
      <w:bookmarkEnd w:id="47"/>
    </w:p>
    <w:p w14:paraId="21558B23">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6EB6391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中国共产主义青年团峨边彝族自治县委员会</w:t>
      </w:r>
      <w:r>
        <w:rPr>
          <w:rFonts w:hint="eastAsia" w:ascii="仿宋_GB2312" w:eastAsia="仿宋_GB2312"/>
          <w:sz w:val="32"/>
          <w:szCs w:val="32"/>
        </w:rPr>
        <w:t>机关运行经费支出</w:t>
      </w:r>
      <w:r>
        <w:rPr>
          <w:sz w:val="32"/>
          <w:szCs w:val="32"/>
        </w:rPr>
        <w:t>17.35</w:t>
      </w:r>
      <w:r>
        <w:rPr>
          <w:rFonts w:hint="eastAsia" w:ascii="仿宋_GB2312" w:eastAsia="仿宋_GB2312"/>
          <w:sz w:val="32"/>
          <w:szCs w:val="32"/>
        </w:rPr>
        <w:t>万元，比2022年度</w:t>
      </w:r>
      <w:r>
        <w:rPr>
          <w:rFonts w:hint="eastAsia" w:ascii="仿宋" w:hAnsi="仿宋" w:eastAsia="仿宋"/>
          <w:color w:val="auto"/>
          <w:sz w:val="32"/>
          <w:szCs w:val="32"/>
          <w:highlight w:val="none"/>
        </w:rPr>
        <w:t>25.05万元</w:t>
      </w:r>
      <w:r>
        <w:rPr>
          <w:rFonts w:hint="eastAsia" w:ascii="仿宋_GB2312" w:eastAsia="仿宋_GB2312"/>
          <w:sz w:val="32"/>
          <w:szCs w:val="32"/>
        </w:rPr>
        <w:t>减少</w:t>
      </w:r>
      <w:r>
        <w:rPr>
          <w:rFonts w:hint="eastAsia" w:ascii="仿宋_GB2312" w:eastAsia="仿宋_GB2312"/>
          <w:sz w:val="32"/>
          <w:szCs w:val="32"/>
          <w:lang w:val="en-US" w:eastAsia="zh-CN"/>
        </w:rPr>
        <w:t>7.7</w:t>
      </w:r>
      <w:r>
        <w:rPr>
          <w:rFonts w:hint="eastAsia" w:ascii="仿宋_GB2312" w:eastAsia="仿宋_GB2312"/>
          <w:sz w:val="32"/>
          <w:szCs w:val="32"/>
        </w:rPr>
        <w:t>万元，下降</w:t>
      </w:r>
      <w:r>
        <w:rPr>
          <w:rFonts w:hint="eastAsia" w:ascii="仿宋_GB2312" w:eastAsia="仿宋_GB2312"/>
          <w:sz w:val="32"/>
          <w:szCs w:val="32"/>
          <w:lang w:val="en-US" w:eastAsia="zh-CN"/>
        </w:rPr>
        <w:t>30.73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人员厉行勤俭节约。</w:t>
      </w:r>
    </w:p>
    <w:p w14:paraId="094C3E1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28F9906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中国共产主义青年团峨边彝族自治县委员会</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0BCC4F13">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5CCC78F9">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中国共产主义青年团峨边彝族自治县委员会</w:t>
      </w:r>
      <w:r>
        <w:rPr>
          <w:rFonts w:hint="eastAsia" w:ascii="仿宋_GB2312" w:eastAsia="仿宋_GB2312"/>
          <w:sz w:val="32"/>
          <w:szCs w:val="32"/>
        </w:rPr>
        <w:t>共有车辆</w:t>
      </w:r>
      <w:r>
        <w:rPr>
          <w:rFonts w:ascii="仿宋_GB2312" w:eastAsia="仿宋_GB2312"/>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日常公务开会、下乡帮扶工作等的燃油费、维修费等。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0805D5F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15800B7">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大学生志愿服务西部计划专项资金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农村留守儿童之家建设工作经费、青年工作专项经费，3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年部门整体开展绩效自评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eastAsia="仿宋_GB2312"/>
          <w:color w:val="auto"/>
          <w:sz w:val="32"/>
          <w:szCs w:val="32"/>
        </w:rPr>
        <w:t>共青团峨边彝族自治县委员会</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624CDCD8">
      <w:pPr>
        <w:pStyle w:val="2"/>
        <w:rPr>
          <w:rFonts w:hint="eastAsia" w:ascii="仿宋_GB2312" w:hAnsi="仿宋_GB2312" w:eastAsia="仿宋_GB2312" w:cs="仿宋_GB2312"/>
          <w:color w:val="auto"/>
          <w:sz w:val="32"/>
          <w:szCs w:val="32"/>
          <w:highlight w:val="none"/>
        </w:rPr>
      </w:pPr>
    </w:p>
    <w:p w14:paraId="327AF018">
      <w:pPr>
        <w:rPr>
          <w:rFonts w:hint="eastAsia" w:ascii="仿宋_GB2312" w:hAnsi="仿宋_GB2312" w:eastAsia="仿宋_GB2312" w:cs="仿宋_GB2312"/>
          <w:color w:val="auto"/>
          <w:sz w:val="32"/>
          <w:szCs w:val="32"/>
          <w:highlight w:val="none"/>
        </w:rPr>
      </w:pPr>
    </w:p>
    <w:p w14:paraId="696AAD55">
      <w:pPr>
        <w:pStyle w:val="2"/>
        <w:rPr>
          <w:rFonts w:hint="eastAsia" w:ascii="仿宋_GB2312" w:hAnsi="仿宋_GB2312" w:eastAsia="仿宋_GB2312" w:cs="仿宋_GB2312"/>
          <w:color w:val="auto"/>
          <w:sz w:val="32"/>
          <w:szCs w:val="32"/>
          <w:highlight w:val="none"/>
        </w:rPr>
      </w:pPr>
    </w:p>
    <w:p w14:paraId="715BAD6D">
      <w:pPr>
        <w:rPr>
          <w:rFonts w:hint="eastAsia" w:ascii="仿宋_GB2312" w:hAnsi="仿宋_GB2312" w:eastAsia="仿宋_GB2312" w:cs="仿宋_GB2312"/>
          <w:color w:val="auto"/>
          <w:sz w:val="32"/>
          <w:szCs w:val="32"/>
          <w:highlight w:val="none"/>
        </w:rPr>
      </w:pPr>
    </w:p>
    <w:p w14:paraId="4D24F688">
      <w:pPr>
        <w:pStyle w:val="2"/>
        <w:rPr>
          <w:rFonts w:hint="eastAsia" w:ascii="仿宋_GB2312" w:hAnsi="仿宋_GB2312" w:eastAsia="仿宋_GB2312" w:cs="仿宋_GB2312"/>
          <w:color w:val="auto"/>
          <w:sz w:val="32"/>
          <w:szCs w:val="32"/>
          <w:highlight w:val="none"/>
        </w:rPr>
      </w:pPr>
    </w:p>
    <w:p w14:paraId="49C5A596">
      <w:pPr>
        <w:rPr>
          <w:rFonts w:hint="eastAsia" w:ascii="仿宋_GB2312" w:hAnsi="仿宋_GB2312" w:eastAsia="仿宋_GB2312" w:cs="仿宋_GB2312"/>
          <w:color w:val="auto"/>
          <w:sz w:val="32"/>
          <w:szCs w:val="32"/>
          <w:highlight w:val="none"/>
        </w:rPr>
      </w:pPr>
    </w:p>
    <w:p w14:paraId="7E0881CC">
      <w:pPr>
        <w:pStyle w:val="2"/>
        <w:rPr>
          <w:rFonts w:hint="eastAsia" w:ascii="仿宋_GB2312" w:hAnsi="仿宋_GB2312" w:eastAsia="仿宋_GB2312" w:cs="仿宋_GB2312"/>
          <w:color w:val="auto"/>
          <w:sz w:val="32"/>
          <w:szCs w:val="32"/>
          <w:highlight w:val="none"/>
        </w:rPr>
      </w:pPr>
    </w:p>
    <w:p w14:paraId="65CBDB47">
      <w:pPr>
        <w:rPr>
          <w:rFonts w:hint="eastAsia" w:ascii="仿宋_GB2312" w:hAnsi="仿宋_GB2312" w:eastAsia="仿宋_GB2312" w:cs="仿宋_GB2312"/>
          <w:color w:val="auto"/>
          <w:sz w:val="32"/>
          <w:szCs w:val="32"/>
          <w:highlight w:val="none"/>
        </w:rPr>
      </w:pPr>
    </w:p>
    <w:p w14:paraId="5D7EA2FD">
      <w:pPr>
        <w:pStyle w:val="2"/>
        <w:rPr>
          <w:rFonts w:hint="eastAsia" w:ascii="仿宋_GB2312" w:hAnsi="仿宋_GB2312" w:eastAsia="仿宋_GB2312" w:cs="仿宋_GB2312"/>
          <w:color w:val="auto"/>
          <w:sz w:val="32"/>
          <w:szCs w:val="32"/>
          <w:highlight w:val="none"/>
        </w:rPr>
      </w:pPr>
    </w:p>
    <w:p w14:paraId="5C53DE22">
      <w:pPr>
        <w:rPr>
          <w:rFonts w:hint="eastAsia" w:ascii="仿宋_GB2312" w:hAnsi="仿宋_GB2312" w:eastAsia="仿宋_GB2312" w:cs="仿宋_GB2312"/>
          <w:color w:val="auto"/>
          <w:sz w:val="32"/>
          <w:szCs w:val="32"/>
          <w:highlight w:val="none"/>
        </w:rPr>
      </w:pPr>
    </w:p>
    <w:p w14:paraId="4FFA8A9A">
      <w:pPr>
        <w:pStyle w:val="2"/>
        <w:rPr>
          <w:rFonts w:hint="eastAsia" w:ascii="仿宋_GB2312" w:hAnsi="仿宋_GB2312" w:eastAsia="仿宋_GB2312" w:cs="仿宋_GB2312"/>
          <w:color w:val="auto"/>
          <w:sz w:val="32"/>
          <w:szCs w:val="32"/>
          <w:highlight w:val="none"/>
        </w:rPr>
      </w:pPr>
    </w:p>
    <w:p w14:paraId="08AF9372">
      <w:pPr>
        <w:rPr>
          <w:rFonts w:hint="eastAsia" w:ascii="仿宋_GB2312" w:hAnsi="仿宋_GB2312" w:eastAsia="仿宋_GB2312" w:cs="仿宋_GB2312"/>
          <w:color w:val="auto"/>
          <w:sz w:val="32"/>
          <w:szCs w:val="32"/>
          <w:highlight w:val="none"/>
        </w:rPr>
      </w:pPr>
    </w:p>
    <w:tbl>
      <w:tblPr>
        <w:tblStyle w:val="17"/>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8"/>
        <w:gridCol w:w="1339"/>
        <w:gridCol w:w="1039"/>
        <w:gridCol w:w="1239"/>
        <w:gridCol w:w="1096"/>
        <w:gridCol w:w="1278"/>
        <w:gridCol w:w="1156"/>
      </w:tblGrid>
      <w:tr w14:paraId="7593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595" w:type="dxa"/>
            <w:gridSpan w:val="7"/>
            <w:shd w:val="clear" w:color="auto" w:fill="auto"/>
            <w:vAlign w:val="center"/>
          </w:tcPr>
          <w:p w14:paraId="3A699CC9">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37E5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829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项目名称：</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E06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大学生志愿服务西部计划专项资金</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4D39">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8A260">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07E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年度：</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DA0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67FC0">
            <w:pPr>
              <w:jc w:val="center"/>
              <w:rPr>
                <w:rFonts w:hint="eastAsia" w:ascii="宋体" w:hAnsi="宋体" w:eastAsia="宋体" w:cs="宋体"/>
                <w:i w:val="0"/>
                <w:color w:val="333333"/>
                <w:sz w:val="20"/>
                <w:szCs w:val="20"/>
                <w:u w:val="none"/>
              </w:rPr>
            </w:pPr>
          </w:p>
        </w:tc>
      </w:tr>
      <w:tr w14:paraId="7607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F8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主管部门：</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59D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共青团峨边彝族自治县委</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A077F">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F0386">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E3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实施单位：</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144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共青团峨边彝族自治县委</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D1844">
            <w:pPr>
              <w:jc w:val="center"/>
              <w:rPr>
                <w:rFonts w:hint="eastAsia" w:ascii="宋体" w:hAnsi="宋体" w:eastAsia="宋体" w:cs="宋体"/>
                <w:i w:val="0"/>
                <w:color w:val="333333"/>
                <w:sz w:val="20"/>
                <w:szCs w:val="20"/>
                <w:u w:val="none"/>
              </w:rPr>
            </w:pPr>
          </w:p>
        </w:tc>
      </w:tr>
      <w:tr w14:paraId="4131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147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项目资金（万元）</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D4EE">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BEAE">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F3252">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B7AAD">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4E87">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2E82D">
            <w:pPr>
              <w:jc w:val="center"/>
              <w:rPr>
                <w:rFonts w:hint="eastAsia" w:ascii="宋体" w:hAnsi="宋体" w:eastAsia="宋体" w:cs="宋体"/>
                <w:i w:val="0"/>
                <w:color w:val="333333"/>
                <w:sz w:val="20"/>
                <w:szCs w:val="20"/>
                <w:u w:val="none"/>
              </w:rPr>
            </w:pPr>
          </w:p>
        </w:tc>
      </w:tr>
      <w:tr w14:paraId="626D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4CF2D">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8DD86">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3D2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全年预算数</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2004">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C4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全年执行数</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D7DDA">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99A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执行率</w:t>
            </w:r>
          </w:p>
        </w:tc>
      </w:tr>
      <w:tr w14:paraId="3100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2B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年度资金总额</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5E906">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C99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67.95</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73134">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61A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67.95</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6A40C">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E8C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7085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F0B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其中：中省补助资金</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2A375">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1A1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16299">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6DF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A4FB5">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1F6DD">
            <w:pPr>
              <w:jc w:val="center"/>
              <w:rPr>
                <w:rFonts w:hint="eastAsia" w:ascii="宋体" w:hAnsi="宋体" w:eastAsia="宋体" w:cs="宋体"/>
                <w:i w:val="0"/>
                <w:color w:val="333333"/>
                <w:sz w:val="20"/>
                <w:szCs w:val="20"/>
                <w:u w:val="none"/>
              </w:rPr>
            </w:pPr>
          </w:p>
        </w:tc>
      </w:tr>
      <w:tr w14:paraId="6685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24F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县级预算资金</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352D3">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89D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E938">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445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B7B09">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F8B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76B7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C74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其他资金</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FC8FB">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6A1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0C26E">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3CD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C2E27">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B68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6025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48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年度总体目标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FEC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预期目标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3C958">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43D54">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8215">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9C7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实际完成情况</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67F87">
            <w:pPr>
              <w:jc w:val="center"/>
              <w:rPr>
                <w:rFonts w:hint="eastAsia" w:ascii="宋体" w:hAnsi="宋体" w:eastAsia="宋体" w:cs="宋体"/>
                <w:i w:val="0"/>
                <w:color w:val="333333"/>
                <w:sz w:val="20"/>
                <w:szCs w:val="20"/>
                <w:u w:val="none"/>
              </w:rPr>
            </w:pPr>
          </w:p>
        </w:tc>
      </w:tr>
      <w:tr w14:paraId="1E55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007C5">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E4D72">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2642B">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F986">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C8FFB">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465F">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55367">
            <w:pPr>
              <w:jc w:val="center"/>
              <w:rPr>
                <w:rFonts w:hint="eastAsia" w:ascii="宋体" w:hAnsi="宋体" w:eastAsia="宋体" w:cs="宋体"/>
                <w:i w:val="0"/>
                <w:color w:val="333333"/>
                <w:sz w:val="20"/>
                <w:szCs w:val="20"/>
                <w:u w:val="none"/>
              </w:rPr>
            </w:pPr>
          </w:p>
        </w:tc>
      </w:tr>
      <w:tr w14:paraId="3EB1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042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一级指标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FD4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3EA2">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A1A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目标指标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5E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目标值</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90E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业绩指标</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4EE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完成率</w:t>
            </w:r>
          </w:p>
        </w:tc>
      </w:tr>
      <w:tr w14:paraId="5944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B2C9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8B9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6A391">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8A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05B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F75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830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0C7D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E2EA4">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DCFF">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5F34">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2B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096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121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CB8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4DC3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BE265">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9733">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4E398">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E52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90A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0AB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0F5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099B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11439">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6A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5E9F1">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12B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A8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26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BD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6345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E6709">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CD6DA">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3E2F">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38B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8BA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719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B7B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6194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11F0">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634EF">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0C2F6">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9DA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329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552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ADF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1A4E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7B33">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BEB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1C266">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67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6F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837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BD4E">
            <w:pPr>
              <w:jc w:val="center"/>
              <w:rPr>
                <w:rFonts w:hint="eastAsia" w:ascii="宋体" w:hAnsi="宋体" w:eastAsia="宋体" w:cs="宋体"/>
                <w:i w:val="0"/>
                <w:color w:val="333333"/>
                <w:sz w:val="20"/>
                <w:szCs w:val="20"/>
                <w:u w:val="none"/>
              </w:rPr>
            </w:pPr>
          </w:p>
        </w:tc>
      </w:tr>
      <w:tr w14:paraId="1FA5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11821">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FBD13">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26C63">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D32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954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49F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259FC">
            <w:pPr>
              <w:jc w:val="center"/>
              <w:rPr>
                <w:rFonts w:hint="eastAsia" w:ascii="宋体" w:hAnsi="宋体" w:eastAsia="宋体" w:cs="宋体"/>
                <w:i w:val="0"/>
                <w:color w:val="333333"/>
                <w:sz w:val="20"/>
                <w:szCs w:val="20"/>
                <w:u w:val="none"/>
              </w:rPr>
            </w:pPr>
          </w:p>
        </w:tc>
      </w:tr>
      <w:tr w14:paraId="5716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99A7A">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24AAC">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93E2A">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04F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C5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42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CE556">
            <w:pPr>
              <w:jc w:val="center"/>
              <w:rPr>
                <w:rFonts w:hint="eastAsia" w:ascii="宋体" w:hAnsi="宋体" w:eastAsia="宋体" w:cs="宋体"/>
                <w:i w:val="0"/>
                <w:color w:val="333333"/>
                <w:sz w:val="20"/>
                <w:szCs w:val="20"/>
                <w:u w:val="none"/>
              </w:rPr>
            </w:pPr>
          </w:p>
        </w:tc>
      </w:tr>
      <w:tr w14:paraId="0CA4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3E7AD">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AD32">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E5ADA">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D2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8B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100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E512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70AA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B5FB">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E49E5">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170C4">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1E7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982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87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48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1CFF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2FF2E">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95CDE">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1BD4">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556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FB7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7A4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2062">
            <w:pPr>
              <w:jc w:val="center"/>
              <w:rPr>
                <w:rFonts w:hint="eastAsia" w:ascii="宋体" w:hAnsi="宋体" w:eastAsia="宋体" w:cs="宋体"/>
                <w:i w:val="0"/>
                <w:color w:val="333333"/>
                <w:sz w:val="20"/>
                <w:szCs w:val="20"/>
                <w:u w:val="none"/>
              </w:rPr>
            </w:pPr>
          </w:p>
        </w:tc>
      </w:tr>
      <w:tr w14:paraId="320E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11ECE">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F1F22">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9421">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090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754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73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68AFB">
            <w:pPr>
              <w:jc w:val="center"/>
              <w:rPr>
                <w:rFonts w:hint="eastAsia" w:ascii="宋体" w:hAnsi="宋体" w:eastAsia="宋体" w:cs="宋体"/>
                <w:i w:val="0"/>
                <w:color w:val="333333"/>
                <w:sz w:val="20"/>
                <w:szCs w:val="20"/>
                <w:u w:val="none"/>
              </w:rPr>
            </w:pPr>
          </w:p>
        </w:tc>
      </w:tr>
      <w:tr w14:paraId="105F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5D354">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288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8C53">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AACA">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D43A0">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DF11">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66FC5">
            <w:pPr>
              <w:jc w:val="center"/>
              <w:rPr>
                <w:rFonts w:hint="eastAsia" w:ascii="宋体" w:hAnsi="宋体" w:eastAsia="宋体" w:cs="宋体"/>
                <w:i w:val="0"/>
                <w:color w:val="333333"/>
                <w:sz w:val="20"/>
                <w:szCs w:val="20"/>
                <w:u w:val="none"/>
              </w:rPr>
            </w:pPr>
          </w:p>
        </w:tc>
      </w:tr>
      <w:tr w14:paraId="663D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EF8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37E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E919">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A3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发放大学生西部计划志愿者生活补助</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F4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22人</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F28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226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2304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7C649">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9A5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3A20">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9A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提高志愿者工作能力</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B8E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796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74F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5B54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AB9FC">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AB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E710E">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A90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2023年12月30日完成</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8A1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1年</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67C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41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43D8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ECFE5">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47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75DD">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52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预算使用资金67.95万元</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17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67.95万元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657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3305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408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84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D17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ACE3">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E069">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10652">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85053">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C8DB4">
            <w:pPr>
              <w:jc w:val="center"/>
              <w:rPr>
                <w:rFonts w:hint="eastAsia" w:ascii="宋体" w:hAnsi="宋体" w:eastAsia="宋体" w:cs="宋体"/>
                <w:i w:val="0"/>
                <w:color w:val="333333"/>
                <w:sz w:val="20"/>
                <w:szCs w:val="20"/>
                <w:u w:val="none"/>
              </w:rPr>
            </w:pPr>
          </w:p>
        </w:tc>
      </w:tr>
      <w:tr w14:paraId="3EC8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8D67A">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08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221E">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8E4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提升社会满意度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990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0.95</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80C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A65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1D35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0095">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D62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40285">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3C177">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87B4">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4F8A1">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0B9D2">
            <w:pPr>
              <w:jc w:val="center"/>
              <w:rPr>
                <w:rFonts w:hint="eastAsia" w:ascii="宋体" w:hAnsi="宋体" w:eastAsia="宋体" w:cs="宋体"/>
                <w:i w:val="0"/>
                <w:color w:val="333333"/>
                <w:sz w:val="20"/>
                <w:szCs w:val="20"/>
                <w:u w:val="none"/>
              </w:rPr>
            </w:pPr>
          </w:p>
        </w:tc>
      </w:tr>
      <w:tr w14:paraId="1309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D77A">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BB5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94EC">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7DC63">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C96E8">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43941">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252C">
            <w:pPr>
              <w:jc w:val="center"/>
              <w:rPr>
                <w:rFonts w:hint="eastAsia" w:ascii="宋体" w:hAnsi="宋体" w:eastAsia="宋体" w:cs="宋体"/>
                <w:i w:val="0"/>
                <w:color w:val="333333"/>
                <w:sz w:val="20"/>
                <w:szCs w:val="20"/>
                <w:u w:val="none"/>
              </w:rPr>
            </w:pPr>
          </w:p>
        </w:tc>
      </w:tr>
      <w:tr w14:paraId="1280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9C7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506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8F02C">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F95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提升群众满意度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E8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0.94</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32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6F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4308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595" w:type="dxa"/>
            <w:gridSpan w:val="7"/>
            <w:shd w:val="clear" w:color="auto" w:fill="auto"/>
            <w:vAlign w:val="top"/>
          </w:tcPr>
          <w:p w14:paraId="151657F5">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2E2FDE4E">
      <w:pPr>
        <w:spacing w:line="580" w:lineRule="exact"/>
        <w:rPr>
          <w:rFonts w:hint="eastAsia" w:ascii="仿宋_GB2312" w:hAnsi="仿宋_GB2312" w:eastAsia="仿宋_GB2312" w:cs="仿宋_GB2312"/>
          <w:sz w:val="32"/>
          <w:szCs w:val="32"/>
        </w:rPr>
      </w:pPr>
    </w:p>
    <w:p w14:paraId="41095A99">
      <w:pPr>
        <w:pStyle w:val="2"/>
        <w:rPr>
          <w:rFonts w:hint="eastAsia" w:ascii="仿宋_GB2312" w:hAnsi="仿宋_GB2312" w:eastAsia="仿宋_GB2312" w:cs="仿宋_GB2312"/>
          <w:sz w:val="32"/>
          <w:szCs w:val="32"/>
        </w:rPr>
      </w:pPr>
    </w:p>
    <w:p w14:paraId="51EE5085">
      <w:pPr>
        <w:rPr>
          <w:rFonts w:hint="eastAsia" w:ascii="仿宋_GB2312" w:hAnsi="仿宋_GB2312" w:eastAsia="仿宋_GB2312" w:cs="仿宋_GB2312"/>
          <w:sz w:val="32"/>
          <w:szCs w:val="32"/>
        </w:rPr>
      </w:pPr>
    </w:p>
    <w:p w14:paraId="03742CA7">
      <w:pPr>
        <w:pStyle w:val="2"/>
        <w:rPr>
          <w:rFonts w:hint="eastAsia" w:ascii="仿宋_GB2312" w:hAnsi="仿宋_GB2312" w:eastAsia="仿宋_GB2312" w:cs="仿宋_GB2312"/>
          <w:sz w:val="32"/>
          <w:szCs w:val="32"/>
        </w:rPr>
      </w:pPr>
    </w:p>
    <w:p w14:paraId="5AC29B33">
      <w:pPr>
        <w:rPr>
          <w:rFonts w:hint="eastAsia" w:ascii="仿宋_GB2312" w:hAnsi="仿宋_GB2312" w:eastAsia="仿宋_GB2312" w:cs="仿宋_GB2312"/>
          <w:sz w:val="32"/>
          <w:szCs w:val="32"/>
        </w:rPr>
      </w:pPr>
    </w:p>
    <w:p w14:paraId="3DBB1EED">
      <w:pPr>
        <w:pStyle w:val="2"/>
        <w:rPr>
          <w:rFonts w:hint="eastAsia" w:ascii="仿宋_GB2312" w:hAnsi="仿宋_GB2312" w:eastAsia="仿宋_GB2312" w:cs="仿宋_GB2312"/>
          <w:sz w:val="32"/>
          <w:szCs w:val="32"/>
        </w:rPr>
      </w:pPr>
    </w:p>
    <w:p w14:paraId="1F8D6742">
      <w:pPr>
        <w:rPr>
          <w:rFonts w:hint="eastAsia"/>
        </w:rPr>
      </w:pPr>
    </w:p>
    <w:p w14:paraId="013CF8B8">
      <w:pPr>
        <w:rPr>
          <w:rFonts w:hint="eastAsia" w:ascii="仿宋_GB2312" w:hAnsi="仿宋_GB2312" w:eastAsia="仿宋_GB2312" w:cs="仿宋_GB2312"/>
          <w:sz w:val="32"/>
          <w:szCs w:val="32"/>
        </w:rPr>
      </w:pPr>
    </w:p>
    <w:tbl>
      <w:tblPr>
        <w:tblStyle w:val="17"/>
        <w:tblW w:w="7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6"/>
        <w:gridCol w:w="1037"/>
        <w:gridCol w:w="440"/>
        <w:gridCol w:w="1194"/>
        <w:gridCol w:w="1186"/>
        <w:gridCol w:w="1185"/>
        <w:gridCol w:w="1872"/>
      </w:tblGrid>
      <w:tr w14:paraId="35D3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980" w:type="dxa"/>
            <w:gridSpan w:val="7"/>
            <w:shd w:val="clear" w:color="auto" w:fill="auto"/>
            <w:vAlign w:val="center"/>
          </w:tcPr>
          <w:p w14:paraId="327B899B">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6389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68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9B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农村留守儿童之家建设工作经费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3D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774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6385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20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FB1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D4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F54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r>
      <w:tr w14:paraId="2D30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864B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16C2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03" w:type="dxa"/>
            <w:gridSpan w:val="2"/>
            <w:tcBorders>
              <w:top w:val="single" w:color="000000" w:sz="4" w:space="0"/>
              <w:left w:val="single" w:color="000000" w:sz="4" w:space="0"/>
              <w:bottom w:val="single" w:color="000000" w:sz="4" w:space="0"/>
            </w:tcBorders>
            <w:shd w:val="clear" w:color="auto" w:fill="auto"/>
            <w:vAlign w:val="center"/>
          </w:tcPr>
          <w:p w14:paraId="782C93DC">
            <w:pPr>
              <w:jc w:val="center"/>
              <w:rPr>
                <w:rFonts w:hint="eastAsia" w:ascii="宋体" w:hAnsi="宋体" w:eastAsia="宋体" w:cs="宋体"/>
                <w:i w:val="0"/>
                <w:color w:val="000000"/>
                <w:sz w:val="20"/>
                <w:szCs w:val="20"/>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38C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AFD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5E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1EF6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DDE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985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CD3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EB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91E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3E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04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05C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2CE">
            <w:pPr>
              <w:jc w:val="center"/>
              <w:rPr>
                <w:rFonts w:hint="eastAsia" w:ascii="宋体" w:hAnsi="宋体" w:eastAsia="宋体" w:cs="宋体"/>
                <w:i w:val="0"/>
                <w:color w:val="000000"/>
                <w:sz w:val="20"/>
                <w:szCs w:val="20"/>
                <w:u w:val="none"/>
              </w:rPr>
            </w:pPr>
          </w:p>
        </w:tc>
      </w:tr>
      <w:tr w14:paraId="3DDD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615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357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61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1E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6EC2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BB2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79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C71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AF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D40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3C2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897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16E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5C85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3C37">
            <w:pPr>
              <w:jc w:val="left"/>
              <w:rPr>
                <w:rFonts w:hint="eastAsia" w:ascii="宋体" w:hAnsi="宋体" w:eastAsia="宋体" w:cs="宋体"/>
                <w:i w:val="0"/>
                <w:color w:val="000000"/>
                <w:sz w:val="20"/>
                <w:szCs w:val="20"/>
                <w:u w:val="none"/>
              </w:rPr>
            </w:pPr>
          </w:p>
        </w:tc>
        <w:tc>
          <w:tcPr>
            <w:tcW w:w="3857" w:type="dxa"/>
            <w:gridSpan w:val="4"/>
            <w:tcBorders>
              <w:top w:val="single" w:color="000000" w:sz="4" w:space="0"/>
              <w:left w:val="single" w:color="000000" w:sz="4" w:space="0"/>
              <w:right w:val="single" w:color="000000" w:sz="4" w:space="0"/>
            </w:tcBorders>
            <w:shd w:val="clear" w:color="auto" w:fill="auto"/>
            <w:vAlign w:val="center"/>
          </w:tcPr>
          <w:p w14:paraId="7430A9CD">
            <w:pPr>
              <w:jc w:val="left"/>
              <w:rPr>
                <w:rFonts w:hint="eastAsia" w:ascii="宋体" w:hAnsi="宋体" w:eastAsia="宋体" w:cs="宋体"/>
                <w:i w:val="0"/>
                <w:color w:val="000000"/>
                <w:sz w:val="20"/>
                <w:szCs w:val="20"/>
                <w:u w:val="none"/>
              </w:rPr>
            </w:pP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71706">
            <w:pPr>
              <w:jc w:val="left"/>
              <w:rPr>
                <w:rFonts w:hint="eastAsia" w:ascii="宋体" w:hAnsi="宋体" w:eastAsia="宋体" w:cs="宋体"/>
                <w:i w:val="0"/>
                <w:color w:val="000000"/>
                <w:sz w:val="20"/>
                <w:szCs w:val="20"/>
                <w:u w:val="none"/>
              </w:rPr>
            </w:pPr>
          </w:p>
        </w:tc>
      </w:tr>
      <w:tr w14:paraId="448F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23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918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4B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3D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5A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D7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7737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AC90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77" w:type="dxa"/>
            <w:gridSpan w:val="2"/>
            <w:vMerge w:val="restart"/>
            <w:tcBorders>
              <w:top w:val="single" w:color="000000" w:sz="4" w:space="0"/>
              <w:left w:val="single" w:color="000000" w:sz="4" w:space="0"/>
              <w:bottom w:val="single" w:color="000000" w:sz="4" w:space="0"/>
            </w:tcBorders>
            <w:shd w:val="clear" w:color="auto" w:fill="FFFFFF"/>
            <w:vAlign w:val="center"/>
          </w:tcPr>
          <w:p w14:paraId="3C6863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A19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D84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4B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9131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DF1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8D0F8">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17A45469">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18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18C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DD9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3A7C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CD5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C764C9">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0E11E55C">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8C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4D5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EC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74BC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4CC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5E1ED">
            <w:pPr>
              <w:jc w:val="center"/>
              <w:rPr>
                <w:rFonts w:hint="eastAsia" w:ascii="宋体" w:hAnsi="宋体" w:eastAsia="宋体" w:cs="宋体"/>
                <w:i w:val="0"/>
                <w:color w:val="333333"/>
                <w:sz w:val="20"/>
                <w:szCs w:val="20"/>
                <w:u w:val="none"/>
              </w:rPr>
            </w:pPr>
          </w:p>
        </w:tc>
        <w:tc>
          <w:tcPr>
            <w:tcW w:w="1477" w:type="dxa"/>
            <w:gridSpan w:val="2"/>
            <w:vMerge w:val="restart"/>
            <w:tcBorders>
              <w:top w:val="single" w:color="000000" w:sz="4" w:space="0"/>
              <w:left w:val="single" w:color="000000" w:sz="4" w:space="0"/>
              <w:bottom w:val="single" w:color="000000" w:sz="4" w:space="0"/>
            </w:tcBorders>
            <w:shd w:val="clear" w:color="auto" w:fill="FFFFFF"/>
            <w:vAlign w:val="center"/>
          </w:tcPr>
          <w:p w14:paraId="010C51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EED1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D3D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18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BAA5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CFF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59768">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606C2EE8">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369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BAF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A4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0856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A4C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A9DCA">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144D3D04">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0A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D80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E3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FE84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AA2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7C369">
            <w:pPr>
              <w:jc w:val="center"/>
              <w:rPr>
                <w:rFonts w:hint="eastAsia" w:ascii="宋体" w:hAnsi="宋体" w:eastAsia="宋体" w:cs="宋体"/>
                <w:i w:val="0"/>
                <w:color w:val="333333"/>
                <w:sz w:val="20"/>
                <w:szCs w:val="20"/>
                <w:u w:val="none"/>
              </w:rPr>
            </w:pPr>
          </w:p>
        </w:tc>
        <w:tc>
          <w:tcPr>
            <w:tcW w:w="1477" w:type="dxa"/>
            <w:gridSpan w:val="2"/>
            <w:vMerge w:val="restart"/>
            <w:tcBorders>
              <w:top w:val="single" w:color="000000" w:sz="4" w:space="0"/>
              <w:left w:val="single" w:color="000000" w:sz="4" w:space="0"/>
              <w:bottom w:val="single" w:color="000000" w:sz="4" w:space="0"/>
            </w:tcBorders>
            <w:shd w:val="clear" w:color="auto" w:fill="FFFFFF"/>
            <w:vAlign w:val="center"/>
          </w:tcPr>
          <w:p w14:paraId="2659DA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8EB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CF9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3F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2FDD2">
            <w:pPr>
              <w:jc w:val="center"/>
              <w:rPr>
                <w:rFonts w:hint="eastAsia" w:ascii="宋体" w:hAnsi="宋体" w:eastAsia="宋体" w:cs="宋体"/>
                <w:i w:val="0"/>
                <w:color w:val="333333"/>
                <w:sz w:val="18"/>
                <w:szCs w:val="18"/>
                <w:u w:val="none"/>
              </w:rPr>
            </w:pPr>
          </w:p>
        </w:tc>
      </w:tr>
      <w:tr w14:paraId="44F2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CF7B8">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4E7699FD">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290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48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ED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CB280">
            <w:pPr>
              <w:jc w:val="center"/>
              <w:rPr>
                <w:rFonts w:hint="eastAsia" w:ascii="宋体" w:hAnsi="宋体" w:eastAsia="宋体" w:cs="宋体"/>
                <w:i w:val="0"/>
                <w:color w:val="333333"/>
                <w:sz w:val="18"/>
                <w:szCs w:val="18"/>
                <w:u w:val="none"/>
              </w:rPr>
            </w:pPr>
          </w:p>
        </w:tc>
      </w:tr>
      <w:tr w14:paraId="0283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27A67">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69D50736">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16B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0B2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11C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3A3B4">
            <w:pPr>
              <w:jc w:val="center"/>
              <w:rPr>
                <w:rFonts w:hint="eastAsia" w:ascii="宋体" w:hAnsi="宋体" w:eastAsia="宋体" w:cs="宋体"/>
                <w:i w:val="0"/>
                <w:color w:val="333333"/>
                <w:sz w:val="18"/>
                <w:szCs w:val="18"/>
                <w:u w:val="none"/>
              </w:rPr>
            </w:pPr>
          </w:p>
        </w:tc>
      </w:tr>
      <w:tr w14:paraId="2033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DC643">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206CE1FC">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B04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C9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573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F134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2764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6CCB0">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653006B1">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5BB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3E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87B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95E1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CA7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B71823">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4B26F811">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B8A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D1D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DF9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FEA72">
            <w:pPr>
              <w:jc w:val="center"/>
              <w:rPr>
                <w:rFonts w:hint="eastAsia" w:ascii="宋体" w:hAnsi="宋体" w:eastAsia="宋体" w:cs="宋体"/>
                <w:i w:val="0"/>
                <w:color w:val="333333"/>
                <w:sz w:val="18"/>
                <w:szCs w:val="18"/>
                <w:u w:val="none"/>
              </w:rPr>
            </w:pPr>
          </w:p>
        </w:tc>
      </w:tr>
      <w:tr w14:paraId="009B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741CAA">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0C908458">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50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232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DCF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7539">
            <w:pPr>
              <w:jc w:val="center"/>
              <w:rPr>
                <w:rFonts w:hint="eastAsia" w:ascii="宋体" w:hAnsi="宋体" w:eastAsia="宋体" w:cs="宋体"/>
                <w:i w:val="0"/>
                <w:color w:val="333333"/>
                <w:sz w:val="18"/>
                <w:szCs w:val="18"/>
                <w:u w:val="none"/>
              </w:rPr>
            </w:pPr>
          </w:p>
        </w:tc>
      </w:tr>
      <w:tr w14:paraId="754E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F79F1">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748368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6F59C">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A2D95">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50862">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97A87">
            <w:pPr>
              <w:jc w:val="center"/>
              <w:rPr>
                <w:rFonts w:hint="eastAsia" w:ascii="宋体" w:hAnsi="宋体" w:eastAsia="宋体" w:cs="宋体"/>
                <w:i w:val="0"/>
                <w:color w:val="333333"/>
                <w:sz w:val="20"/>
                <w:szCs w:val="20"/>
                <w:u w:val="none"/>
              </w:rPr>
            </w:pPr>
          </w:p>
        </w:tc>
      </w:tr>
      <w:tr w14:paraId="1A30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4303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196CF2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FD84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建设东风新城童伴之家</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184B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1个</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0A9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A35B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7D9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0A842">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0E8799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3AFB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完善基础设施，提高童伴之家环境。</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2BD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AE54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FB6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864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87E0B">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234D59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C23C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2023年12月30日完成</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5A82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1年</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ACD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B50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662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F29F30">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5D931F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CFB2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预算使用资金3万元</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DC0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3万元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8446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DEC4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621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45FC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4B9908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8A3C3">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B828">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C48D3">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08AB6">
            <w:pPr>
              <w:jc w:val="center"/>
              <w:rPr>
                <w:rFonts w:hint="eastAsia" w:ascii="宋体" w:hAnsi="宋体" w:eastAsia="宋体" w:cs="宋体"/>
                <w:i w:val="0"/>
                <w:color w:val="333333"/>
                <w:sz w:val="20"/>
                <w:szCs w:val="20"/>
                <w:u w:val="none"/>
              </w:rPr>
            </w:pPr>
          </w:p>
        </w:tc>
      </w:tr>
      <w:tr w14:paraId="0CEC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2DED1">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42FC04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8FC6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提升社会满意度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89FF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50D1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172F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98B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B564F">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15545F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8CCF3">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08DFB">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0C1BB">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89B9">
            <w:pPr>
              <w:jc w:val="center"/>
              <w:rPr>
                <w:rFonts w:hint="eastAsia" w:ascii="宋体" w:hAnsi="宋体" w:eastAsia="宋体" w:cs="宋体"/>
                <w:i w:val="0"/>
                <w:color w:val="333333"/>
                <w:sz w:val="20"/>
                <w:szCs w:val="20"/>
                <w:u w:val="none"/>
              </w:rPr>
            </w:pPr>
          </w:p>
        </w:tc>
      </w:tr>
      <w:tr w14:paraId="2C5E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D5CE9">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6848CD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4F337">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5EFB5">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FD032">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F749">
            <w:pPr>
              <w:jc w:val="center"/>
              <w:rPr>
                <w:rFonts w:hint="eastAsia" w:ascii="宋体" w:hAnsi="宋体" w:eastAsia="宋体" w:cs="宋体"/>
                <w:i w:val="0"/>
                <w:color w:val="333333"/>
                <w:sz w:val="20"/>
                <w:szCs w:val="20"/>
                <w:u w:val="none"/>
              </w:rPr>
            </w:pPr>
          </w:p>
        </w:tc>
      </w:tr>
      <w:tr w14:paraId="0B7D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6741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511969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EDC9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提升群众满意度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207A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3BFE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DF3A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38F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980" w:type="dxa"/>
            <w:gridSpan w:val="7"/>
            <w:shd w:val="clear" w:color="auto" w:fill="auto"/>
            <w:vAlign w:val="top"/>
          </w:tcPr>
          <w:p w14:paraId="7CCBAB5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7F1F2456">
      <w:pPr>
        <w:pStyle w:val="2"/>
        <w:rPr>
          <w:rFonts w:hint="eastAsia"/>
        </w:rPr>
      </w:pPr>
    </w:p>
    <w:p w14:paraId="333245F3">
      <w:pPr>
        <w:pStyle w:val="2"/>
        <w:rPr>
          <w:rFonts w:hint="eastAsia" w:ascii="仿宋_GB2312" w:hAnsi="仿宋_GB2312" w:eastAsia="仿宋_GB2312" w:cs="仿宋_GB2312"/>
          <w:sz w:val="32"/>
          <w:szCs w:val="32"/>
        </w:rPr>
      </w:pPr>
    </w:p>
    <w:p w14:paraId="0E1934A1">
      <w:pPr>
        <w:rPr>
          <w:rFonts w:hint="eastAsia" w:ascii="仿宋_GB2312" w:hAnsi="仿宋_GB2312" w:eastAsia="仿宋_GB2312" w:cs="仿宋_GB2312"/>
          <w:sz w:val="32"/>
          <w:szCs w:val="32"/>
        </w:rPr>
      </w:pPr>
    </w:p>
    <w:p w14:paraId="2D6110A8">
      <w:pPr>
        <w:pStyle w:val="2"/>
        <w:rPr>
          <w:rFonts w:hint="eastAsia" w:ascii="仿宋_GB2312" w:hAnsi="仿宋_GB2312" w:eastAsia="仿宋_GB2312" w:cs="仿宋_GB2312"/>
          <w:sz w:val="32"/>
          <w:szCs w:val="32"/>
        </w:rPr>
      </w:pPr>
    </w:p>
    <w:p w14:paraId="4B47BA76">
      <w:pPr>
        <w:rPr>
          <w:rFonts w:hint="eastAsia" w:ascii="仿宋_GB2312" w:hAnsi="仿宋_GB2312" w:eastAsia="仿宋_GB2312" w:cs="仿宋_GB2312"/>
          <w:sz w:val="32"/>
          <w:szCs w:val="32"/>
        </w:rPr>
      </w:pPr>
    </w:p>
    <w:p w14:paraId="30BFD144">
      <w:pPr>
        <w:pStyle w:val="2"/>
        <w:rPr>
          <w:rFonts w:hint="eastAsia" w:ascii="仿宋_GB2312" w:hAnsi="仿宋_GB2312" w:eastAsia="仿宋_GB2312" w:cs="仿宋_GB2312"/>
          <w:sz w:val="32"/>
          <w:szCs w:val="32"/>
        </w:rPr>
      </w:pPr>
    </w:p>
    <w:p w14:paraId="63A20A88">
      <w:pPr>
        <w:rPr>
          <w:rFonts w:hint="eastAsia"/>
        </w:rPr>
      </w:pPr>
    </w:p>
    <w:p w14:paraId="1EB6E379">
      <w:pPr>
        <w:rPr>
          <w:rFonts w:hint="eastAsia"/>
        </w:rPr>
      </w:pPr>
    </w:p>
    <w:tbl>
      <w:tblPr>
        <w:tblStyle w:val="17"/>
        <w:tblW w:w="86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0"/>
        <w:gridCol w:w="1060"/>
        <w:gridCol w:w="30"/>
        <w:gridCol w:w="1507"/>
        <w:gridCol w:w="1090"/>
        <w:gridCol w:w="1090"/>
        <w:gridCol w:w="2764"/>
      </w:tblGrid>
      <w:tr w14:paraId="64E3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601" w:type="dxa"/>
            <w:gridSpan w:val="7"/>
            <w:shd w:val="clear" w:color="auto" w:fill="auto"/>
            <w:vAlign w:val="center"/>
          </w:tcPr>
          <w:p w14:paraId="531E73AB">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2AB9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B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024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青年工作专项经费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6F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B98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1156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D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D08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7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801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r>
      <w:tr w14:paraId="6FEE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6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4832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08E0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20" w:type="dxa"/>
            <w:gridSpan w:val="2"/>
            <w:tcBorders>
              <w:top w:val="single" w:color="000000" w:sz="4" w:space="0"/>
              <w:left w:val="single" w:color="000000" w:sz="4" w:space="0"/>
              <w:bottom w:val="single" w:color="000000" w:sz="4" w:space="0"/>
            </w:tcBorders>
            <w:shd w:val="clear" w:color="auto" w:fill="auto"/>
            <w:vAlign w:val="center"/>
          </w:tcPr>
          <w:p w14:paraId="304D7D99">
            <w:pPr>
              <w:jc w:val="center"/>
              <w:rPr>
                <w:rFonts w:hint="eastAsia" w:ascii="宋体" w:hAnsi="宋体" w:eastAsia="宋体" w:cs="宋体"/>
                <w:i w:val="0"/>
                <w:color w:val="000000"/>
                <w:sz w:val="20"/>
                <w:szCs w:val="20"/>
                <w:u w:val="none"/>
              </w:rPr>
            </w:pPr>
          </w:p>
        </w:tc>
        <w:tc>
          <w:tcPr>
            <w:tcW w:w="1537" w:type="dxa"/>
            <w:gridSpan w:val="2"/>
            <w:tcBorders>
              <w:top w:val="single" w:color="000000" w:sz="4" w:space="0"/>
              <w:left w:val="single" w:color="000000" w:sz="4" w:space="0"/>
              <w:bottom w:val="single" w:color="000000" w:sz="4" w:space="0"/>
            </w:tcBorders>
            <w:shd w:val="clear" w:color="auto" w:fill="auto"/>
            <w:vAlign w:val="center"/>
          </w:tcPr>
          <w:p w14:paraId="53951AD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全年预算数</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417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5C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5A1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540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F3E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6A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44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1E7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5CC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62CA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9EF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F16">
            <w:pPr>
              <w:jc w:val="center"/>
              <w:rPr>
                <w:rFonts w:hint="eastAsia" w:ascii="宋体" w:hAnsi="宋体" w:eastAsia="宋体" w:cs="宋体"/>
                <w:i w:val="0"/>
                <w:color w:val="000000"/>
                <w:sz w:val="20"/>
                <w:szCs w:val="20"/>
                <w:u w:val="none"/>
              </w:rPr>
            </w:pPr>
          </w:p>
        </w:tc>
      </w:tr>
      <w:tr w14:paraId="227F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F39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2EE9">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9EA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C6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861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A8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A06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C7E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F7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B02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197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6BE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27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B46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EBB3">
            <w:pPr>
              <w:jc w:val="left"/>
              <w:rPr>
                <w:rFonts w:hint="eastAsia" w:ascii="宋体" w:hAnsi="宋体" w:eastAsia="宋体" w:cs="宋体"/>
                <w:i w:val="0"/>
                <w:color w:val="000000"/>
                <w:sz w:val="20"/>
                <w:szCs w:val="20"/>
                <w:u w:val="none"/>
              </w:rPr>
            </w:pPr>
          </w:p>
        </w:tc>
        <w:tc>
          <w:tcPr>
            <w:tcW w:w="3687" w:type="dxa"/>
            <w:gridSpan w:val="4"/>
            <w:tcBorders>
              <w:top w:val="single" w:color="000000" w:sz="4" w:space="0"/>
              <w:left w:val="single" w:color="000000" w:sz="4" w:space="0"/>
              <w:right w:val="single" w:color="000000" w:sz="4" w:space="0"/>
            </w:tcBorders>
            <w:shd w:val="clear" w:color="auto" w:fill="auto"/>
            <w:vAlign w:val="center"/>
          </w:tcPr>
          <w:p w14:paraId="4FBFF166">
            <w:pPr>
              <w:jc w:val="left"/>
              <w:rPr>
                <w:rFonts w:hint="eastAsia" w:ascii="宋体" w:hAnsi="宋体" w:eastAsia="宋体" w:cs="宋体"/>
                <w:i w:val="0"/>
                <w:color w:val="000000"/>
                <w:sz w:val="20"/>
                <w:szCs w:val="20"/>
                <w:u w:val="none"/>
              </w:rPr>
            </w:pP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7D7AF">
            <w:pPr>
              <w:jc w:val="left"/>
              <w:rPr>
                <w:rFonts w:hint="eastAsia" w:ascii="宋体" w:hAnsi="宋体" w:eastAsia="宋体" w:cs="宋体"/>
                <w:i w:val="0"/>
                <w:color w:val="000000"/>
                <w:sz w:val="20"/>
                <w:szCs w:val="20"/>
                <w:u w:val="none"/>
              </w:rPr>
            </w:pPr>
          </w:p>
        </w:tc>
      </w:tr>
      <w:tr w14:paraId="6D9B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8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6E7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6F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38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1D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3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0DA2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CD60F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090" w:type="dxa"/>
            <w:gridSpan w:val="2"/>
            <w:vMerge w:val="restart"/>
            <w:tcBorders>
              <w:top w:val="single" w:color="000000" w:sz="4" w:space="0"/>
              <w:left w:val="single" w:color="000000" w:sz="4" w:space="0"/>
              <w:bottom w:val="single" w:color="000000" w:sz="4" w:space="0"/>
            </w:tcBorders>
            <w:shd w:val="clear" w:color="auto" w:fill="FFFFFF"/>
            <w:vAlign w:val="center"/>
          </w:tcPr>
          <w:p w14:paraId="2032D6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91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269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A47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49D3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8FB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BB377">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760AF33E">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2B2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18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2B6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F0BB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EA8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D7F5F">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51D9EBCB">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764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63E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A3A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AA84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2653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F1F70">
            <w:pPr>
              <w:jc w:val="center"/>
              <w:rPr>
                <w:rFonts w:hint="eastAsia" w:ascii="宋体" w:hAnsi="宋体" w:eastAsia="宋体" w:cs="宋体"/>
                <w:i w:val="0"/>
                <w:color w:val="333333"/>
                <w:sz w:val="20"/>
                <w:szCs w:val="20"/>
                <w:u w:val="none"/>
              </w:rPr>
            </w:pPr>
          </w:p>
        </w:tc>
        <w:tc>
          <w:tcPr>
            <w:tcW w:w="1090" w:type="dxa"/>
            <w:gridSpan w:val="2"/>
            <w:vMerge w:val="restart"/>
            <w:tcBorders>
              <w:top w:val="single" w:color="000000" w:sz="4" w:space="0"/>
              <w:left w:val="single" w:color="000000" w:sz="4" w:space="0"/>
              <w:bottom w:val="single" w:color="000000" w:sz="4" w:space="0"/>
            </w:tcBorders>
            <w:shd w:val="clear" w:color="auto" w:fill="FFFFFF"/>
            <w:vAlign w:val="center"/>
          </w:tcPr>
          <w:p w14:paraId="3811DA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EAC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0E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82E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C7C5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B76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5E27BB">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18BB0D61">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BD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91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121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3205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538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28059">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174640A1">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529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9D7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5AD4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72A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1F4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57B458">
            <w:pPr>
              <w:jc w:val="center"/>
              <w:rPr>
                <w:rFonts w:hint="eastAsia" w:ascii="宋体" w:hAnsi="宋体" w:eastAsia="宋体" w:cs="宋体"/>
                <w:i w:val="0"/>
                <w:color w:val="333333"/>
                <w:sz w:val="20"/>
                <w:szCs w:val="20"/>
                <w:u w:val="none"/>
              </w:rPr>
            </w:pPr>
          </w:p>
        </w:tc>
        <w:tc>
          <w:tcPr>
            <w:tcW w:w="1090" w:type="dxa"/>
            <w:gridSpan w:val="2"/>
            <w:vMerge w:val="restart"/>
            <w:tcBorders>
              <w:top w:val="single" w:color="000000" w:sz="4" w:space="0"/>
              <w:left w:val="single" w:color="000000" w:sz="4" w:space="0"/>
              <w:bottom w:val="single" w:color="000000" w:sz="4" w:space="0"/>
            </w:tcBorders>
            <w:shd w:val="clear" w:color="auto" w:fill="FFFFFF"/>
            <w:vAlign w:val="center"/>
          </w:tcPr>
          <w:p w14:paraId="26C880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1DC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59B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95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BB604">
            <w:pPr>
              <w:jc w:val="center"/>
              <w:rPr>
                <w:rFonts w:hint="eastAsia" w:ascii="宋体" w:hAnsi="宋体" w:eastAsia="宋体" w:cs="宋体"/>
                <w:i w:val="0"/>
                <w:color w:val="333333"/>
                <w:sz w:val="18"/>
                <w:szCs w:val="18"/>
                <w:u w:val="none"/>
              </w:rPr>
            </w:pPr>
          </w:p>
        </w:tc>
      </w:tr>
      <w:tr w14:paraId="2948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EEA0A">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6365B40E">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322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F57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9BF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8BA3A">
            <w:pPr>
              <w:jc w:val="center"/>
              <w:rPr>
                <w:rFonts w:hint="eastAsia" w:ascii="宋体" w:hAnsi="宋体" w:eastAsia="宋体" w:cs="宋体"/>
                <w:i w:val="0"/>
                <w:color w:val="333333"/>
                <w:sz w:val="18"/>
                <w:szCs w:val="18"/>
                <w:u w:val="none"/>
              </w:rPr>
            </w:pPr>
          </w:p>
        </w:tc>
      </w:tr>
      <w:tr w14:paraId="03FA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0F7054">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37613A8B">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12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30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7C1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9DD25">
            <w:pPr>
              <w:jc w:val="center"/>
              <w:rPr>
                <w:rFonts w:hint="eastAsia" w:ascii="宋体" w:hAnsi="宋体" w:eastAsia="宋体" w:cs="宋体"/>
                <w:i w:val="0"/>
                <w:color w:val="333333"/>
                <w:sz w:val="18"/>
                <w:szCs w:val="18"/>
                <w:u w:val="none"/>
              </w:rPr>
            </w:pPr>
          </w:p>
        </w:tc>
      </w:tr>
      <w:tr w14:paraId="12AD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81B1E">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72188A33">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63A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D4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58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A51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7E9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051B7">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5ED420A8">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57E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57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8F8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855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0B5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439DC">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343DF9B4">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D85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6B7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880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7BCC6">
            <w:pPr>
              <w:jc w:val="center"/>
              <w:rPr>
                <w:rFonts w:hint="eastAsia" w:ascii="宋体" w:hAnsi="宋体" w:eastAsia="宋体" w:cs="宋体"/>
                <w:i w:val="0"/>
                <w:color w:val="333333"/>
                <w:sz w:val="18"/>
                <w:szCs w:val="18"/>
                <w:u w:val="none"/>
              </w:rPr>
            </w:pPr>
          </w:p>
        </w:tc>
      </w:tr>
      <w:tr w14:paraId="0426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D3DF0">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4CFAF727">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86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0C7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2DC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A6507">
            <w:pPr>
              <w:jc w:val="center"/>
              <w:rPr>
                <w:rFonts w:hint="eastAsia" w:ascii="宋体" w:hAnsi="宋体" w:eastAsia="宋体" w:cs="宋体"/>
                <w:i w:val="0"/>
                <w:color w:val="333333"/>
                <w:sz w:val="18"/>
                <w:szCs w:val="18"/>
                <w:u w:val="none"/>
              </w:rPr>
            </w:pPr>
          </w:p>
        </w:tc>
      </w:tr>
      <w:tr w14:paraId="280A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86E020">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0ECFA4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552F">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8583F">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EBA63">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102F">
            <w:pPr>
              <w:jc w:val="center"/>
              <w:rPr>
                <w:rFonts w:hint="eastAsia" w:ascii="宋体" w:hAnsi="宋体" w:eastAsia="宋体" w:cs="宋体"/>
                <w:i w:val="0"/>
                <w:color w:val="333333"/>
                <w:sz w:val="20"/>
                <w:szCs w:val="20"/>
                <w:u w:val="none"/>
              </w:rPr>
            </w:pPr>
          </w:p>
        </w:tc>
      </w:tr>
      <w:tr w14:paraId="60E9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7FA9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600733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4428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开展青年团员培训、青少年活动、基地建设、西部志愿者培训工作、青年交友活动。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9B30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20次</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6BA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BB09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98D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6EA63">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1C6892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A0D2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开展青年团员培训、青少年活动、基地建设、西部志愿者培训工作、青年交友活动。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4722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5F0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9D4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239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7BD8C9">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700924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AB28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2023年12月30日完成</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585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1年</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6639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802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2431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2188CA">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4B78F8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BBAA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预算使用资金8万元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4F75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8万元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522F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66E9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61D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C6E1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6AE1D3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28C6D">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92495">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F67F">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19C9A">
            <w:pPr>
              <w:jc w:val="center"/>
              <w:rPr>
                <w:rFonts w:hint="eastAsia" w:ascii="宋体" w:hAnsi="宋体" w:eastAsia="宋体" w:cs="宋体"/>
                <w:i w:val="0"/>
                <w:color w:val="333333"/>
                <w:sz w:val="20"/>
                <w:szCs w:val="20"/>
                <w:u w:val="none"/>
              </w:rPr>
            </w:pPr>
          </w:p>
        </w:tc>
      </w:tr>
      <w:tr w14:paraId="2B0A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4CD151">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067C1A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1625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提升社会满意度</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0B84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5F94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334D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1A1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FAE1D">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3FEB8A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4ADC">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C6061">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96BC">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19D00">
            <w:pPr>
              <w:jc w:val="center"/>
              <w:rPr>
                <w:rFonts w:hint="eastAsia" w:ascii="宋体" w:hAnsi="宋体" w:eastAsia="宋体" w:cs="宋体"/>
                <w:i w:val="0"/>
                <w:color w:val="333333"/>
                <w:sz w:val="20"/>
                <w:szCs w:val="20"/>
                <w:u w:val="none"/>
              </w:rPr>
            </w:pPr>
          </w:p>
        </w:tc>
      </w:tr>
      <w:tr w14:paraId="717F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39F7D">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137790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C8FE4">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D6144">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FB064">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13B90">
            <w:pPr>
              <w:jc w:val="center"/>
              <w:rPr>
                <w:rFonts w:hint="eastAsia" w:ascii="宋体" w:hAnsi="宋体" w:eastAsia="宋体" w:cs="宋体"/>
                <w:i w:val="0"/>
                <w:color w:val="333333"/>
                <w:sz w:val="20"/>
                <w:szCs w:val="20"/>
                <w:u w:val="none"/>
              </w:rPr>
            </w:pPr>
          </w:p>
        </w:tc>
      </w:tr>
      <w:tr w14:paraId="394D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5BC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0C239D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016B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提升群众满意度</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D28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936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8A20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37B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601" w:type="dxa"/>
            <w:gridSpan w:val="7"/>
            <w:shd w:val="clear" w:color="auto" w:fill="auto"/>
            <w:vAlign w:val="top"/>
          </w:tcPr>
          <w:p w14:paraId="647AF91B">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w:t>
            </w:r>
            <w:bookmarkStart w:id="52" w:name="_GoBack"/>
            <w:bookmarkEnd w:id="52"/>
            <w:r>
              <w:rPr>
                <w:rFonts w:hint="eastAsia" w:ascii="宋体" w:hAnsi="宋体" w:eastAsia="宋体" w:cs="宋体"/>
                <w:i w:val="0"/>
                <w:color w:val="000000"/>
                <w:kern w:val="0"/>
                <w:sz w:val="20"/>
                <w:szCs w:val="20"/>
                <w:u w:val="none"/>
                <w:lang w:val="en-US" w:eastAsia="zh-CN" w:bidi="ar"/>
              </w:rPr>
              <w:t>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w:t>
            </w:r>
            <w:r>
              <w:rPr>
                <w:rFonts w:hint="eastAsia" w:ascii="宋体" w:hAnsi="宋体" w:cs="宋体"/>
                <w:i w:val="0"/>
                <w:color w:val="000000"/>
                <w:kern w:val="0"/>
                <w:sz w:val="20"/>
                <w:szCs w:val="20"/>
                <w:u w:val="none"/>
                <w:lang w:val="en-US" w:eastAsia="zh-CN" w:bidi="ar"/>
              </w:rPr>
              <w:t>投入</w:t>
            </w:r>
            <w:r>
              <w:rPr>
                <w:rFonts w:hint="eastAsia" w:ascii="宋体" w:hAnsi="宋体" w:eastAsia="宋体" w:cs="宋体"/>
                <w:i w:val="0"/>
                <w:color w:val="000000"/>
                <w:kern w:val="0"/>
                <w:sz w:val="20"/>
                <w:szCs w:val="20"/>
                <w:u w:val="none"/>
                <w:lang w:val="en-US" w:eastAsia="zh-CN" w:bidi="ar"/>
              </w:rPr>
              <w:t>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42E15E27">
      <w:pPr>
        <w:pStyle w:val="2"/>
        <w:rPr>
          <w:rFonts w:hint="eastAsia" w:eastAsia="仿宋_GB2312"/>
          <w:lang w:val="en-US" w:eastAsia="zh-CN"/>
        </w:rPr>
      </w:pPr>
    </w:p>
    <w:p w14:paraId="6279DF0D">
      <w:pPr>
        <w:pStyle w:val="3"/>
        <w:jc w:val="center"/>
        <w:rPr>
          <w:rFonts w:hint="eastAsia"/>
        </w:rPr>
      </w:pPr>
    </w:p>
    <w:p w14:paraId="1D7E907F">
      <w:pPr>
        <w:rPr>
          <w:rFonts w:hint="eastAsia"/>
        </w:rPr>
      </w:pPr>
    </w:p>
    <w:p w14:paraId="355E70F0">
      <w:pPr>
        <w:pStyle w:val="3"/>
        <w:jc w:val="center"/>
        <w:rPr>
          <w:rFonts w:hint="eastAsia"/>
        </w:rPr>
      </w:pPr>
    </w:p>
    <w:p w14:paraId="2B4FAED6">
      <w:pPr>
        <w:pStyle w:val="3"/>
        <w:jc w:val="center"/>
      </w:pPr>
      <w:r>
        <w:rPr>
          <w:rFonts w:hint="eastAsia"/>
        </w:rPr>
        <w:t>第三部分 名词解释</w:t>
      </w:r>
    </w:p>
    <w:p w14:paraId="445D75B4"/>
    <w:p w14:paraId="64247260">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0183BCD7">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14:paraId="354BA00E">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14:paraId="0AFF7E4B">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14:paraId="23BED641">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2FF82C06">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43DA497C">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48B354B5">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4EABB1A7">
      <w:pPr>
        <w:pStyle w:val="28"/>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反映行政单位（包括实行公务员管理的事业单位）的基本支出。</w:t>
      </w:r>
      <w:r>
        <w:rPr>
          <w:rFonts w:hint="eastAsia" w:ascii="仿宋_GB2312" w:eastAsia="仿宋_GB2312"/>
          <w:sz w:val="32"/>
          <w:szCs w:val="32"/>
        </w:rPr>
        <w:t> </w:t>
      </w:r>
    </w:p>
    <w:p w14:paraId="2BBC8816">
      <w:pPr>
        <w:pStyle w:val="28"/>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事业运行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sz w:val="32"/>
          <w:szCs w:val="32"/>
        </w:rPr>
        <w:t>指反映事业单位的基本支出，不包括行政单位（包括实行公务员管理的事业单位）后勤服务中心、医务室等附属事业单位。</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11</w:t>
      </w:r>
      <w:r>
        <w:rPr>
          <w:rFonts w:hint="eastAsia" w:ascii="仿宋_GB2312" w:eastAsia="仿宋_GB2312"/>
          <w:color w:val="auto"/>
          <w:sz w:val="32"/>
          <w:szCs w:val="32"/>
          <w:highlight w:val="none"/>
        </w:rPr>
        <w:t>.社会保障和就业（类）行政事业单位养老支出（款）机关事业单位基本养老保险缴费支出（项）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指反映机关事业单位实施养老保险制度由单位缴纳的基本保险费支出</w:t>
      </w:r>
    </w:p>
    <w:p w14:paraId="7B4C4F8D">
      <w:pPr>
        <w:ind w:firstLine="320" w:firstLineChars="100"/>
        <w:rPr>
          <w:rFonts w:hint="eastAsia"/>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.社会保障和就业（类）行政事业单位养老支出（款）机关事业单位职业年金缴费支出（项）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指反映机关事业单位实施养老保险制度由单位实际缴纳的职业年金支出 。</w:t>
      </w:r>
    </w:p>
    <w:p w14:paraId="2D72BC1F">
      <w:pPr>
        <w:pStyle w:val="28"/>
        <w:spacing w:line="560" w:lineRule="exact"/>
        <w:ind w:firstLine="320" w:firstLineChars="100"/>
        <w:rPr>
          <w:rFonts w:hint="eastAsia" w:ascii="仿宋_GB2312" w:eastAsia="仿宋_GB2312"/>
          <w:sz w:val="32"/>
          <w:szCs w:val="32"/>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（款） 其他社会保障</w:t>
      </w:r>
      <w:r>
        <w:rPr>
          <w:rFonts w:hint="eastAsia" w:ascii="仿宋_GB2312" w:eastAsia="仿宋_GB2312"/>
          <w:color w:val="auto"/>
          <w:sz w:val="32"/>
          <w:szCs w:val="32"/>
          <w:highlight w:val="none"/>
          <w:lang w:eastAsia="zh-CN"/>
        </w:rPr>
        <w:t>和就业支出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w:t>
      </w:r>
      <w:r>
        <w:rPr>
          <w:rFonts w:hint="eastAsia" w:ascii="仿宋_GB2312" w:eastAsia="仿宋_GB2312"/>
          <w:sz w:val="32"/>
          <w:szCs w:val="32"/>
          <w:lang w:eastAsia="zh-CN"/>
        </w:rPr>
        <w:t>反映</w:t>
      </w:r>
      <w:r>
        <w:rPr>
          <w:rFonts w:hint="eastAsia" w:ascii="仿宋_GB2312" w:eastAsia="仿宋_GB2312"/>
          <w:sz w:val="32"/>
          <w:szCs w:val="32"/>
        </w:rPr>
        <w:t>除上述项目以外用于群众团体事务方面的支出。</w:t>
      </w:r>
    </w:p>
    <w:p w14:paraId="3D2A9B6E">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.卫生健康（类）行政事业单位医疗（款）行政单位医疗（项）</w:t>
      </w:r>
      <w:r>
        <w:rPr>
          <w:rFonts w:hint="eastAsia" w:ascii="仿宋_GB2312" w:eastAsia="仿宋_GB2312"/>
          <w:color w:val="auto"/>
          <w:sz w:val="32"/>
          <w:szCs w:val="32"/>
          <w:highlight w:val="none"/>
          <w:lang w:eastAsia="zh-CN"/>
        </w:rPr>
        <w:t>：反映财政部门安排的行政单位（包括实行公务员管理的事业单位，同下）基本医疗保险缴费经费，未参加医疗保险的行政单位的公费医疗经费，按国家规定享受离休人员、红军老战士待遇人员的医疗经费。</w:t>
      </w:r>
    </w:p>
    <w:p w14:paraId="1A11EA96">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：反映财政部门安排的公务员医疗补助经费。</w:t>
      </w:r>
    </w:p>
    <w:p w14:paraId="1E9260A1">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：反映其他用于城乡方面的支出。</w:t>
      </w:r>
    </w:p>
    <w:p w14:paraId="7CB38AD2">
      <w:pPr>
        <w:ind w:firstLine="320" w:firstLineChars="100"/>
        <w:rPr>
          <w:rFonts w:hint="eastAsia" w:ascii="仿宋_GB2312" w:eastAsia="仿宋_GB2312"/>
          <w:color w:val="000000"/>
          <w:sz w:val="32"/>
          <w:szCs w:val="32"/>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农林水支出（类）农业（款）对高校毕业生到基层任职补助（项）：</w:t>
      </w:r>
      <w:r>
        <w:rPr>
          <w:rFonts w:hint="eastAsia" w:ascii="仿宋_GB2312" w:eastAsia="仿宋_GB2312"/>
          <w:color w:val="auto"/>
          <w:sz w:val="32"/>
          <w:szCs w:val="32"/>
          <w:highlight w:val="none"/>
          <w:lang w:eastAsia="zh-CN"/>
        </w:rPr>
        <w:t>反映按规定</w:t>
      </w:r>
      <w:r>
        <w:rPr>
          <w:rFonts w:hint="eastAsia" w:ascii="仿宋_GB2312" w:eastAsia="仿宋_GB2312"/>
          <w:color w:val="000000"/>
          <w:sz w:val="32"/>
          <w:szCs w:val="32"/>
        </w:rPr>
        <w:t>对高校毕业生到基层任职的补助支出。</w:t>
      </w:r>
    </w:p>
    <w:p w14:paraId="66330B04">
      <w:pPr>
        <w:ind w:firstLine="320" w:firstLineChars="100"/>
        <w:rPr>
          <w:rFonts w:hint="eastAsia" w:ascii="仿宋_GB2312" w:eastAsia="仿宋_GB2312"/>
          <w:color w:val="auto"/>
          <w:sz w:val="32"/>
          <w:szCs w:val="32"/>
          <w:highlight w:val="none"/>
          <w:lang w:val="en-US" w:eastAsia="zh-CN"/>
        </w:rPr>
      </w:pPr>
    </w:p>
    <w:p w14:paraId="4D7FFC8D">
      <w:pPr>
        <w:pStyle w:val="28"/>
        <w:numPr>
          <w:ilvl w:val="0"/>
          <w:numId w:val="6"/>
        </w:numPr>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rPr>
        <w:t>住房保障支出（类）住房改革支出（款）住房</w:t>
      </w:r>
      <w:r>
        <w:rPr>
          <w:rFonts w:hint="eastAsia" w:ascii="仿宋_GB2312" w:hAnsi="宋体" w:eastAsia="仿宋_GB2312" w:cs="宋体"/>
          <w:color w:val="000000"/>
          <w:kern w:val="0"/>
          <w:sz w:val="32"/>
          <w:szCs w:val="32"/>
        </w:rPr>
        <w:t>公积</w:t>
      </w:r>
      <w:r>
        <w:rPr>
          <w:rFonts w:hint="eastAsia" w:ascii="仿宋_GB2312" w:eastAsia="仿宋_GB2312"/>
          <w:color w:val="auto"/>
          <w:sz w:val="32"/>
          <w:szCs w:val="32"/>
          <w:highlight w:val="none"/>
        </w:rPr>
        <w:t>金（项）：</w:t>
      </w:r>
      <w:r>
        <w:rPr>
          <w:rFonts w:hint="eastAsia" w:ascii="仿宋_GB2312" w:eastAsia="仿宋_GB2312"/>
          <w:color w:val="auto"/>
          <w:sz w:val="32"/>
          <w:szCs w:val="32"/>
          <w:highlight w:val="none"/>
          <w:lang w:eastAsia="zh-CN"/>
        </w:rPr>
        <w:t>反映行政事业单位按人力资源和社会保障部、财政部规定的</w:t>
      </w:r>
      <w:r>
        <w:rPr>
          <w:rFonts w:hint="eastAsia" w:ascii="仿宋_GB2312" w:eastAsia="仿宋_GB2312"/>
          <w:sz w:val="32"/>
          <w:szCs w:val="32"/>
        </w:rPr>
        <w:t>基本工资和津贴补贴以及规定比例为职工缴纳的住房公积金。 </w:t>
      </w:r>
    </w:p>
    <w:p w14:paraId="2DE8602C">
      <w:pPr>
        <w:ind w:firstLine="600" w:firstLineChars="200"/>
        <w:rPr>
          <w:rFonts w:hint="eastAsia" w:ascii="仿宋_GB2312" w:hAnsi="Calibri" w:eastAsia="仿宋_GB2312" w:cs="仿宋"/>
          <w:color w:val="auto"/>
          <w:kern w:val="0"/>
          <w:sz w:val="32"/>
          <w:szCs w:val="32"/>
          <w:highlight w:val="none"/>
          <w:lang w:val="en-US" w:eastAsia="zh-CN" w:bidi="ar-SA"/>
        </w:rPr>
      </w:pPr>
      <w:r>
        <w:rPr>
          <w:rFonts w:hint="eastAsia" w:ascii="仿宋" w:hAnsi="仿宋" w:eastAsia="仿宋" w:cs="仿宋"/>
          <w:color w:val="auto"/>
          <w:sz w:val="30"/>
          <w:szCs w:val="30"/>
          <w:lang w:val="en-US" w:eastAsia="zh-CN"/>
        </w:rPr>
        <w:t>1</w:t>
      </w:r>
      <w:r>
        <w:rPr>
          <w:rFonts w:hint="eastAsia" w:ascii="仿宋_GB2312" w:hAnsi="Calibri" w:eastAsia="仿宋_GB2312" w:cs="仿宋"/>
          <w:color w:val="auto"/>
          <w:kern w:val="0"/>
          <w:sz w:val="32"/>
          <w:szCs w:val="32"/>
          <w:highlight w:val="none"/>
          <w:lang w:val="en-US" w:eastAsia="zh-CN" w:bidi="ar-SA"/>
        </w:rPr>
        <w:t>9.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p>
    <w:p w14:paraId="33E7DF13">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20.基本支出：指为保障机构正常运转、完成日常工作任务而发生的人员支出和公用支出。</w:t>
      </w:r>
    </w:p>
    <w:p w14:paraId="798A51BD">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21.项目支出：指在基本支出之外为完成特定行政任务和事业发展目标所发生的支出。 </w:t>
      </w:r>
    </w:p>
    <w:p w14:paraId="25938803">
      <w:pPr>
        <w:pStyle w:val="28"/>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s="仿宋"/>
          <w:color w:val="000000"/>
          <w:kern w:val="0"/>
          <w:sz w:val="32"/>
          <w:szCs w:val="32"/>
          <w:lang w:val="en-US" w:eastAsia="zh-CN" w:bidi="ar-SA"/>
        </w:rPr>
        <w:t>22.</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79A02F">
      <w:pPr>
        <w:pStyle w:val="28"/>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s="仿宋"/>
          <w:color w:val="000000"/>
          <w:kern w:val="0"/>
          <w:sz w:val="32"/>
          <w:szCs w:val="32"/>
          <w:lang w:val="en-US" w:eastAsia="zh-CN" w:bidi="ar-SA"/>
        </w:rPr>
        <w:t>23.</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3E928C5">
      <w:pPr>
        <w:ind w:firstLine="320" w:firstLineChars="100"/>
        <w:rPr>
          <w:rFonts w:hint="eastAsia" w:ascii="黑体" w:hAnsi="黑体" w:eastAsia="黑体"/>
          <w:b w:val="0"/>
          <w:sz w:val="32"/>
          <w:szCs w:val="32"/>
        </w:rPr>
      </w:pPr>
    </w:p>
    <w:p w14:paraId="2C4E59DF">
      <w:pPr>
        <w:ind w:firstLine="442" w:firstLineChars="100"/>
        <w:rPr>
          <w:rFonts w:hint="eastAsia" w:ascii="Times New Roman" w:hAnsi="Times New Roman" w:eastAsia="宋体" w:cs="Times New Roman"/>
          <w:b/>
          <w:bCs/>
          <w:kern w:val="44"/>
          <w:sz w:val="44"/>
          <w:szCs w:val="44"/>
          <w:lang w:val="en-US" w:eastAsia="zh-CN" w:bidi="ar-SA"/>
        </w:rPr>
      </w:pPr>
    </w:p>
    <w:p w14:paraId="6BF2173B">
      <w:pPr>
        <w:ind w:firstLine="442" w:firstLineChars="100"/>
        <w:rPr>
          <w:rFonts w:hint="eastAsia" w:ascii="Times New Roman" w:hAnsi="Times New Roman" w:eastAsia="宋体" w:cs="Times New Roman"/>
          <w:b/>
          <w:bCs/>
          <w:kern w:val="44"/>
          <w:sz w:val="44"/>
          <w:szCs w:val="44"/>
          <w:lang w:val="en-US" w:eastAsia="zh-CN" w:bidi="ar-SA"/>
        </w:rPr>
      </w:pPr>
    </w:p>
    <w:p w14:paraId="30B99D74">
      <w:pPr>
        <w:ind w:firstLine="442" w:firstLineChars="100"/>
        <w:rPr>
          <w:rFonts w:hint="eastAsia" w:ascii="Times New Roman" w:hAnsi="Times New Roman" w:eastAsia="宋体" w:cs="Times New Roman"/>
          <w:b/>
          <w:bCs/>
          <w:kern w:val="44"/>
          <w:sz w:val="44"/>
          <w:szCs w:val="44"/>
          <w:lang w:val="en-US" w:eastAsia="zh-CN" w:bidi="ar-SA"/>
        </w:rPr>
      </w:pPr>
    </w:p>
    <w:p w14:paraId="5A09BE02">
      <w:pPr>
        <w:ind w:firstLine="442" w:firstLineChars="100"/>
        <w:rPr>
          <w:rFonts w:hint="eastAsia" w:ascii="Times New Roman" w:hAnsi="Times New Roman" w:eastAsia="宋体" w:cs="Times New Roman"/>
          <w:b/>
          <w:bCs/>
          <w:kern w:val="44"/>
          <w:sz w:val="44"/>
          <w:szCs w:val="44"/>
          <w:lang w:val="en-US" w:eastAsia="zh-CN" w:bidi="ar-SA"/>
        </w:rPr>
      </w:pPr>
    </w:p>
    <w:p w14:paraId="5544E1CE">
      <w:pPr>
        <w:ind w:firstLine="442" w:firstLineChars="100"/>
        <w:rPr>
          <w:rFonts w:hint="eastAsia" w:ascii="Times New Roman" w:hAnsi="Times New Roman" w:eastAsia="宋体" w:cs="Times New Roman"/>
          <w:b/>
          <w:bCs/>
          <w:kern w:val="44"/>
          <w:sz w:val="44"/>
          <w:szCs w:val="44"/>
          <w:lang w:val="en-US" w:eastAsia="zh-CN" w:bidi="ar-SA"/>
        </w:rPr>
      </w:pPr>
    </w:p>
    <w:p w14:paraId="36CB2774">
      <w:pPr>
        <w:ind w:firstLine="442" w:firstLineChars="100"/>
        <w:rPr>
          <w:rFonts w:hint="eastAsia" w:ascii="Times New Roman" w:hAnsi="Times New Roman" w:eastAsia="宋体" w:cs="Times New Roman"/>
          <w:b/>
          <w:bCs/>
          <w:kern w:val="44"/>
          <w:sz w:val="44"/>
          <w:szCs w:val="44"/>
          <w:lang w:val="en-US" w:eastAsia="zh-CN" w:bidi="ar-SA"/>
        </w:rPr>
      </w:pPr>
    </w:p>
    <w:p w14:paraId="1F462E24">
      <w:pPr>
        <w:ind w:firstLine="442" w:firstLineChars="100"/>
        <w:rPr>
          <w:rFonts w:hint="eastAsia" w:ascii="Times New Roman" w:hAnsi="Times New Roman" w:eastAsia="宋体" w:cs="Times New Roman"/>
          <w:b/>
          <w:bCs/>
          <w:kern w:val="44"/>
          <w:sz w:val="44"/>
          <w:szCs w:val="44"/>
          <w:lang w:val="en-US" w:eastAsia="zh-CN" w:bidi="ar-SA"/>
        </w:rPr>
      </w:pPr>
    </w:p>
    <w:p w14:paraId="113168E4">
      <w:pPr>
        <w:ind w:firstLine="442" w:firstLineChars="100"/>
        <w:rPr>
          <w:rFonts w:hint="eastAsia" w:ascii="Times New Roman" w:hAnsi="Times New Roman" w:eastAsia="宋体" w:cs="Times New Roman"/>
          <w:b/>
          <w:bCs/>
          <w:kern w:val="44"/>
          <w:sz w:val="44"/>
          <w:szCs w:val="44"/>
          <w:lang w:val="en-US" w:eastAsia="zh-CN" w:bidi="ar-SA"/>
        </w:rPr>
      </w:pPr>
    </w:p>
    <w:p w14:paraId="41D30453">
      <w:pPr>
        <w:ind w:firstLine="442" w:firstLineChars="100"/>
        <w:rPr>
          <w:rFonts w:hint="eastAsia" w:ascii="Times New Roman" w:hAnsi="Times New Roman" w:eastAsia="宋体" w:cs="Times New Roman"/>
          <w:b/>
          <w:bCs/>
          <w:kern w:val="44"/>
          <w:sz w:val="44"/>
          <w:szCs w:val="44"/>
          <w:lang w:val="en-US" w:eastAsia="zh-CN" w:bidi="ar-SA"/>
        </w:rPr>
      </w:pPr>
    </w:p>
    <w:p w14:paraId="3F473147">
      <w:pPr>
        <w:ind w:firstLine="442" w:firstLineChars="100"/>
        <w:rPr>
          <w:rFonts w:hint="eastAsia" w:ascii="Times New Roman" w:hAnsi="Times New Roman" w:eastAsia="宋体" w:cs="Times New Roman"/>
          <w:b/>
          <w:bCs/>
          <w:kern w:val="44"/>
          <w:sz w:val="44"/>
          <w:szCs w:val="44"/>
          <w:lang w:val="en-US" w:eastAsia="zh-CN" w:bidi="ar-SA"/>
        </w:rPr>
      </w:pPr>
    </w:p>
    <w:p w14:paraId="194C54C7">
      <w:pPr>
        <w:ind w:firstLine="442" w:firstLineChars="100"/>
        <w:rPr>
          <w:rFonts w:hint="eastAsia" w:ascii="Times New Roman" w:hAnsi="Times New Roman" w:eastAsia="宋体" w:cs="Times New Roman"/>
          <w:b/>
          <w:bCs/>
          <w:kern w:val="44"/>
          <w:sz w:val="44"/>
          <w:szCs w:val="44"/>
          <w:lang w:val="en-US" w:eastAsia="zh-CN" w:bidi="ar-SA"/>
        </w:rPr>
      </w:pPr>
    </w:p>
    <w:p w14:paraId="31571C9D">
      <w:pPr>
        <w:ind w:firstLine="442" w:firstLineChars="100"/>
        <w:rPr>
          <w:rFonts w:hint="eastAsia" w:ascii="Times New Roman" w:hAnsi="Times New Roman" w:eastAsia="宋体" w:cs="Times New Roman"/>
          <w:b/>
          <w:bCs/>
          <w:kern w:val="44"/>
          <w:sz w:val="44"/>
          <w:szCs w:val="44"/>
          <w:lang w:val="en-US" w:eastAsia="zh-CN" w:bidi="ar-SA"/>
        </w:rPr>
      </w:pPr>
    </w:p>
    <w:p w14:paraId="139091C9">
      <w:pPr>
        <w:jc w:val="center"/>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第四部分 附件</w:t>
      </w:r>
    </w:p>
    <w:p w14:paraId="4F777566"/>
    <w:p w14:paraId="05010074">
      <w:pPr>
        <w:rPr>
          <w:rFonts w:ascii="黑体" w:hAnsi="黑体" w:eastAsia="黑体"/>
          <w:sz w:val="32"/>
          <w:szCs w:val="32"/>
        </w:rPr>
      </w:pPr>
      <w:r>
        <w:rPr>
          <w:rFonts w:hint="eastAsia" w:ascii="黑体" w:hAnsi="黑体" w:eastAsia="黑体"/>
          <w:sz w:val="32"/>
          <w:szCs w:val="32"/>
        </w:rPr>
        <w:t>附件1</w:t>
      </w:r>
    </w:p>
    <w:p w14:paraId="4B77C2FD">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中国共产主义青年团峨边彝族自治县委员会</w:t>
      </w:r>
    </w:p>
    <w:p w14:paraId="24D1B4F5">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3</w:t>
      </w:r>
      <w:r>
        <w:rPr>
          <w:rFonts w:hint="eastAsia" w:ascii="宋体" w:hAnsi="宋体" w:eastAsia="宋体"/>
          <w:b/>
          <w:color w:val="auto"/>
          <w:sz w:val="32"/>
          <w:szCs w:val="32"/>
          <w:highlight w:val="none"/>
          <w:shd w:val="clear" w:color="auto" w:fill="FFFFFF"/>
          <w:lang w:eastAsia="zh-CN"/>
        </w:rPr>
        <w:t>年度部门整体支出绩效评价报告</w:t>
      </w:r>
    </w:p>
    <w:p w14:paraId="0E9F6461">
      <w:pPr>
        <w:ind w:firstLine="1920" w:firstLineChars="600"/>
        <w:jc w:val="both"/>
        <w:rPr>
          <w:rFonts w:ascii="仿宋_GB2312" w:eastAsia="仿宋_GB2312"/>
          <w:sz w:val="32"/>
          <w:szCs w:val="32"/>
        </w:rPr>
      </w:pPr>
      <w:r>
        <w:rPr>
          <w:rFonts w:hint="eastAsia" w:ascii="仿宋_GB2312" w:eastAsia="仿宋_GB2312"/>
          <w:sz w:val="32"/>
          <w:szCs w:val="32"/>
        </w:rPr>
        <w:t>（报告范围包括机关和下属单位）</w:t>
      </w:r>
    </w:p>
    <w:p w14:paraId="56A44406"/>
    <w:p w14:paraId="543FD89C">
      <w:pPr>
        <w:rPr>
          <w:rFonts w:ascii="黑体" w:hAnsi="黑体" w:eastAsia="黑体"/>
          <w:sz w:val="32"/>
          <w:szCs w:val="32"/>
        </w:rPr>
      </w:pPr>
      <w:r>
        <w:rPr>
          <w:rFonts w:hint="eastAsia" w:ascii="黑体" w:hAnsi="黑体" w:eastAsia="黑体"/>
          <w:sz w:val="32"/>
          <w:szCs w:val="32"/>
        </w:rPr>
        <w:t>一、部门（单位）基本情况</w:t>
      </w:r>
    </w:p>
    <w:p w14:paraId="05DBCAC7">
      <w:pPr>
        <w:widowControl/>
        <w:adjustRightInd w:val="0"/>
        <w:snapToGrid w:val="0"/>
        <w:spacing w:line="580" w:lineRule="exact"/>
        <w:ind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（一）机构组成。</w:t>
      </w:r>
    </w:p>
    <w:p w14:paraId="6DDF5FF5">
      <w:pPr>
        <w:widowControl/>
        <w:adjustRightInd w:val="0"/>
        <w:snapToGrid w:val="0"/>
        <w:spacing w:line="580" w:lineRule="exact"/>
        <w:ind w:firstLine="640" w:firstLineChars="200"/>
        <w:contextualSpacing/>
        <w:jc w:val="left"/>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w:t>
      </w:r>
      <w:r>
        <w:rPr>
          <w:rFonts w:hint="eastAsia" w:ascii="仿宋_GB2312" w:eastAsia="仿宋_GB2312"/>
          <w:sz w:val="32"/>
          <w:szCs w:val="32"/>
        </w:rPr>
        <w:t>预算单位1个，其中：行政单位1个，未独立核算的下属事业单位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峨边彝族自治县青少年宫</w:t>
      </w:r>
      <w:r>
        <w:rPr>
          <w:rFonts w:hint="eastAsia" w:ascii="仿宋_GB2312" w:eastAsia="仿宋_GB2312"/>
          <w:sz w:val="32"/>
          <w:szCs w:val="32"/>
        </w:rPr>
        <w:t>。</w:t>
      </w:r>
    </w:p>
    <w:p w14:paraId="500C3210">
      <w:pPr>
        <w:numPr>
          <w:ilvl w:val="0"/>
          <w:numId w:val="7"/>
        </w:numPr>
        <w:ind w:firstLine="643" w:firstLineChars="200"/>
        <w:rPr>
          <w:rFonts w:hint="eastAsia" w:ascii="楷体_GB2312" w:eastAsia="楷体_GB2312"/>
          <w:b/>
          <w:sz w:val="32"/>
          <w:szCs w:val="32"/>
        </w:rPr>
      </w:pPr>
      <w:r>
        <w:rPr>
          <w:rFonts w:hint="eastAsia" w:ascii="楷体_GB2312" w:eastAsia="楷体_GB2312"/>
          <w:b/>
          <w:sz w:val="32"/>
          <w:szCs w:val="32"/>
        </w:rPr>
        <w:t>机构职能。</w:t>
      </w:r>
    </w:p>
    <w:p w14:paraId="709C6F6B">
      <w:pPr>
        <w:spacing w:line="600" w:lineRule="exact"/>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rPr>
        <w:t>中</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483A8A0C">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601C7C93">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1D6D9297">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政府处理、协调与青少年利益相关的事务。</w:t>
      </w:r>
    </w:p>
    <w:p w14:paraId="764C8D01">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385DF15E">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协助政府教育部门做好中、小学生的教育管理工作，维护学校稳定和社会安定团结。</w:t>
      </w:r>
    </w:p>
    <w:p w14:paraId="5DF19A92">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39748900">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5348D8D4">
      <w:pPr>
        <w:numPr>
          <w:ilvl w:val="0"/>
          <w:numId w:val="8"/>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承担县委、县政府和团市委交办的有关事项。</w:t>
      </w:r>
    </w:p>
    <w:p w14:paraId="174CFE6E">
      <w:pPr>
        <w:widowControl/>
        <w:numPr>
          <w:ilvl w:val="0"/>
          <w:numId w:val="7"/>
        </w:numPr>
        <w:adjustRightInd w:val="0"/>
        <w:snapToGrid w:val="0"/>
        <w:spacing w:line="580" w:lineRule="exact"/>
        <w:ind w:left="0" w:leftChars="0"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人员概况。</w:t>
      </w:r>
    </w:p>
    <w:p w14:paraId="0EE9EF1C">
      <w:pPr>
        <w:ind w:firstLine="640" w:firstLineChars="200"/>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委员会参公</w:t>
      </w:r>
      <w:r>
        <w:rPr>
          <w:rFonts w:hint="eastAsia" w:ascii="仿宋_GB2312" w:eastAsia="仿宋_GB2312"/>
          <w:sz w:val="32"/>
          <w:szCs w:val="32"/>
          <w:lang w:val="zh-CN"/>
        </w:rPr>
        <w:t>编制</w:t>
      </w:r>
      <w:r>
        <w:rPr>
          <w:rFonts w:hint="eastAsia" w:ascii="仿宋_GB2312" w:eastAsia="仿宋_GB2312"/>
          <w:sz w:val="32"/>
          <w:szCs w:val="32"/>
          <w:lang w:val="en-US" w:eastAsia="zh-CN"/>
        </w:rPr>
        <w:t>5</w:t>
      </w:r>
      <w:r>
        <w:rPr>
          <w:rFonts w:hint="eastAsia" w:ascii="仿宋_GB2312" w:eastAsia="仿宋_GB2312"/>
          <w:sz w:val="32"/>
          <w:szCs w:val="32"/>
        </w:rPr>
        <w:t>名；下属事业单位</w:t>
      </w:r>
      <w:r>
        <w:rPr>
          <w:rFonts w:hint="eastAsia" w:ascii="仿宋_GB2312" w:eastAsia="仿宋_GB2312"/>
          <w:sz w:val="32"/>
          <w:szCs w:val="32"/>
          <w:lang w:eastAsia="zh-CN"/>
        </w:rPr>
        <w:t>峨边彝族自治县青少年宫</w:t>
      </w:r>
      <w:r>
        <w:rPr>
          <w:rFonts w:hint="eastAsia" w:ascii="仿宋_GB2312" w:eastAsia="仿宋_GB2312"/>
          <w:sz w:val="32"/>
          <w:szCs w:val="32"/>
          <w:lang w:val="en-US" w:eastAsia="zh-CN"/>
        </w:rPr>
        <w:t>3名</w:t>
      </w:r>
      <w:r>
        <w:rPr>
          <w:rFonts w:hint="eastAsia" w:ascii="仿宋_GB2312" w:eastAsia="仿宋_GB2312"/>
          <w:sz w:val="32"/>
          <w:szCs w:val="32"/>
        </w:rPr>
        <w:t>。</w:t>
      </w:r>
    </w:p>
    <w:p w14:paraId="56C9F299">
      <w:pPr>
        <w:ind w:firstLine="320" w:firstLineChars="100"/>
        <w:rPr>
          <w:rFonts w:ascii="黑体" w:hAnsi="黑体" w:eastAsia="黑体"/>
          <w:sz w:val="32"/>
          <w:szCs w:val="32"/>
        </w:rPr>
      </w:pPr>
      <w:r>
        <w:rPr>
          <w:rFonts w:hint="eastAsia" w:ascii="黑体" w:hAnsi="黑体" w:eastAsia="黑体"/>
          <w:sz w:val="32"/>
          <w:szCs w:val="32"/>
        </w:rPr>
        <w:t>二、部门资金收支情况</w:t>
      </w:r>
    </w:p>
    <w:p w14:paraId="651BE643">
      <w:pPr>
        <w:widowControl/>
        <w:adjustRightInd w:val="0"/>
        <w:snapToGrid w:val="0"/>
        <w:spacing w:line="580" w:lineRule="exact"/>
        <w:ind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（一）收入情况。</w:t>
      </w:r>
    </w:p>
    <w:p w14:paraId="7FD087E6">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部门总体收入情况：2023年财政拨款收入358.41万元。</w:t>
      </w:r>
    </w:p>
    <w:p w14:paraId="3A8B8288">
      <w:pPr>
        <w:numPr>
          <w:ilvl w:val="0"/>
          <w:numId w:val="9"/>
        </w:numPr>
        <w:ind w:firstLine="643" w:firstLineChars="200"/>
        <w:rPr>
          <w:rFonts w:hint="eastAsia" w:ascii="楷体_GB2312" w:eastAsia="楷体_GB2312"/>
          <w:b/>
          <w:sz w:val="32"/>
          <w:szCs w:val="32"/>
        </w:rPr>
      </w:pPr>
      <w:r>
        <w:rPr>
          <w:rFonts w:hint="eastAsia" w:ascii="楷体_GB2312" w:eastAsia="楷体_GB2312"/>
          <w:b/>
          <w:sz w:val="32"/>
          <w:szCs w:val="32"/>
        </w:rPr>
        <w:t>支出情况。</w:t>
      </w:r>
    </w:p>
    <w:p w14:paraId="5C36E7FA">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年支出</w:t>
      </w:r>
      <w:r>
        <w:rPr>
          <w:rFonts w:hint="eastAsia" w:ascii="仿宋_GB2312" w:eastAsia="仿宋_GB2312"/>
          <w:sz w:val="32"/>
          <w:szCs w:val="32"/>
          <w:lang w:val="en-US" w:eastAsia="zh-CN"/>
        </w:rPr>
        <w:t>358.41万</w:t>
      </w:r>
      <w:r>
        <w:rPr>
          <w:rFonts w:hint="eastAsia" w:ascii="仿宋_GB2312" w:eastAsia="仿宋_GB2312"/>
          <w:sz w:val="32"/>
          <w:szCs w:val="32"/>
        </w:rPr>
        <w:t>元。其中：（1）基本支出</w:t>
      </w:r>
      <w:r>
        <w:rPr>
          <w:rFonts w:hint="eastAsia" w:ascii="仿宋_GB2312" w:eastAsia="仿宋_GB2312"/>
          <w:sz w:val="32"/>
          <w:szCs w:val="32"/>
          <w:lang w:val="en-US" w:eastAsia="zh-CN"/>
        </w:rPr>
        <w:t>181.43万</w:t>
      </w:r>
      <w:r>
        <w:rPr>
          <w:rFonts w:hint="eastAsia" w:ascii="仿宋_GB2312" w:eastAsia="仿宋_GB2312"/>
          <w:sz w:val="32"/>
          <w:szCs w:val="32"/>
        </w:rPr>
        <w:t>元，主要用于机关干部工资津贴补贴、社会保障缴费、办公费、差旅费、邮电费等支出；（2）项目支出</w:t>
      </w:r>
      <w:r>
        <w:rPr>
          <w:rFonts w:hint="eastAsia" w:ascii="仿宋_GB2312" w:eastAsia="仿宋_GB2312"/>
          <w:sz w:val="32"/>
          <w:szCs w:val="32"/>
          <w:lang w:val="en-US" w:eastAsia="zh-CN"/>
        </w:rPr>
        <w:t>176.98万</w:t>
      </w:r>
      <w:r>
        <w:rPr>
          <w:rFonts w:hint="eastAsia" w:ascii="仿宋_GB2312" w:eastAsia="仿宋_GB2312"/>
          <w:sz w:val="32"/>
          <w:szCs w:val="32"/>
        </w:rPr>
        <w:t>元，其中：</w:t>
      </w:r>
      <w:r>
        <w:rPr>
          <w:rFonts w:hint="eastAsia" w:ascii="仿宋_GB2312" w:eastAsia="仿宋_GB2312"/>
          <w:sz w:val="32"/>
          <w:szCs w:val="32"/>
          <w:lang w:val="en-US" w:eastAsia="zh-CN"/>
        </w:rPr>
        <w:t>青年工作专项经费8万元，农村留守儿童之家工作经费3万元，大学生志愿服务西部计划专项资金70.98万元，</w:t>
      </w:r>
    </w:p>
    <w:p w14:paraId="00760D6E">
      <w:pPr>
        <w:numPr>
          <w:ilvl w:val="0"/>
          <w:numId w:val="0"/>
        </w:numPr>
        <w:ind w:left="319" w:leftChars="152" w:firstLine="320" w:firstLineChars="100"/>
        <w:rPr>
          <w:rFonts w:hint="eastAsia" w:ascii="楷体_GB2312" w:eastAsia="楷体_GB2312"/>
          <w:b/>
          <w:sz w:val="32"/>
          <w:szCs w:val="32"/>
        </w:rPr>
      </w:pPr>
      <w:r>
        <w:rPr>
          <w:rFonts w:hint="eastAsia" w:ascii="仿宋_GB2312" w:eastAsia="仿宋_GB2312"/>
          <w:sz w:val="32"/>
          <w:szCs w:val="32"/>
          <w:lang w:val="en-US" w:eastAsia="zh-CN"/>
        </w:rPr>
        <w:t>西部计划志愿者补助经费95万元。</w:t>
      </w:r>
      <w:r>
        <w:rPr>
          <w:rFonts w:hint="eastAsia" w:ascii="仿宋_GB2312" w:hAnsi="宋体" w:cs="宋体"/>
          <w:color w:val="000000"/>
          <w:kern w:val="0"/>
          <w:szCs w:val="32"/>
          <w:shd w:val="clear" w:color="auto" w:fill="FFFFFF"/>
          <w:lang w:val="en-US" w:eastAsia="zh-CN"/>
        </w:rPr>
        <w:t xml:space="preserve">                                    </w:t>
      </w:r>
      <w:r>
        <w:rPr>
          <w:rFonts w:hint="eastAsia" w:ascii="楷体_GB2312" w:eastAsia="楷体_GB2312"/>
          <w:b/>
          <w:sz w:val="32"/>
          <w:szCs w:val="32"/>
        </w:rPr>
        <w:t>（三）结余分配和结转结余情况。</w:t>
      </w:r>
    </w:p>
    <w:p w14:paraId="17E40B6D">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团县委</w:t>
      </w:r>
      <w:r>
        <w:rPr>
          <w:rFonts w:hint="eastAsia" w:ascii="仿宋_GB2312" w:eastAsia="仿宋_GB2312"/>
          <w:sz w:val="32"/>
          <w:szCs w:val="32"/>
        </w:rPr>
        <w:t>2023年决算报表</w:t>
      </w:r>
      <w:r>
        <w:rPr>
          <w:rFonts w:hint="eastAsia" w:ascii="仿宋_GB2312" w:eastAsia="仿宋_GB2312"/>
          <w:sz w:val="32"/>
          <w:szCs w:val="32"/>
          <w:lang w:eastAsia="zh-CN"/>
        </w:rPr>
        <w:t>无</w:t>
      </w:r>
      <w:r>
        <w:rPr>
          <w:rFonts w:hint="eastAsia" w:ascii="仿宋_GB2312" w:eastAsia="仿宋_GB2312"/>
          <w:sz w:val="32"/>
          <w:szCs w:val="32"/>
        </w:rPr>
        <w:t>结转结余</w:t>
      </w:r>
      <w:r>
        <w:rPr>
          <w:rFonts w:hint="eastAsia" w:ascii="仿宋_GB2312" w:eastAsia="仿宋_GB2312"/>
          <w:sz w:val="32"/>
          <w:szCs w:val="32"/>
          <w:lang w:eastAsia="zh-CN"/>
        </w:rPr>
        <w:t>。</w:t>
      </w:r>
    </w:p>
    <w:p w14:paraId="6E1D6595">
      <w:pPr>
        <w:rPr>
          <w:rFonts w:ascii="黑体" w:hAnsi="黑体" w:eastAsia="黑体"/>
          <w:sz w:val="32"/>
          <w:szCs w:val="32"/>
        </w:rPr>
      </w:pPr>
      <w:r>
        <w:rPr>
          <w:rFonts w:hint="eastAsia" w:ascii="黑体" w:hAnsi="黑体" w:eastAsia="黑体"/>
          <w:sz w:val="32"/>
          <w:szCs w:val="32"/>
        </w:rPr>
        <w:t>三、部门预算绩效分析</w:t>
      </w:r>
    </w:p>
    <w:p w14:paraId="64AC954E">
      <w:pPr>
        <w:rPr>
          <w:rFonts w:hint="eastAsia" w:ascii="楷体_GB2312" w:eastAsia="楷体_GB2312"/>
          <w:b/>
          <w:sz w:val="32"/>
          <w:szCs w:val="32"/>
        </w:rPr>
      </w:pPr>
      <w:r>
        <w:rPr>
          <w:rFonts w:hint="eastAsia" w:ascii="楷体_GB2312" w:eastAsia="楷体_GB2312"/>
          <w:b/>
          <w:sz w:val="32"/>
          <w:szCs w:val="32"/>
        </w:rPr>
        <w:t>（一）部门预算总体绩效分析。</w:t>
      </w:r>
    </w:p>
    <w:p w14:paraId="5BBD99B2">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部门预算管理科学合理，依据近年的预算和决算数据制定绩效目标，并完成了制定的绩效目标。年初预算编制精准细化、严格支出控制、预算动态调整、定期关注执行进度情况、无违规记录等。</w:t>
      </w:r>
    </w:p>
    <w:p w14:paraId="516C4F2F">
      <w:pPr>
        <w:ind w:firstLine="321" w:firstLineChars="100"/>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二</w:t>
      </w:r>
      <w:r>
        <w:rPr>
          <w:rFonts w:hint="eastAsia" w:ascii="楷体_GB2312" w:eastAsia="楷体_GB2312"/>
          <w:b/>
          <w:sz w:val="32"/>
          <w:szCs w:val="32"/>
        </w:rPr>
        <w:t>）绩效结果应用情况。</w:t>
      </w:r>
    </w:p>
    <w:p w14:paraId="77AAA49A">
      <w:pPr>
        <w:ind w:firstLine="640" w:firstLineChars="200"/>
        <w:rPr>
          <w:rFonts w:hint="eastAsia" w:ascii="楷体_GB2312" w:eastAsia="楷体_GB2312"/>
          <w:b/>
          <w:sz w:val="32"/>
          <w:szCs w:val="32"/>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部门绩效自评质量良好、绩效目标按时公开、评价结果反馈整改及时。</w:t>
      </w:r>
    </w:p>
    <w:p w14:paraId="4219FAFB">
      <w:pPr>
        <w:numPr>
          <w:ilvl w:val="0"/>
          <w:numId w:val="4"/>
        </w:numPr>
        <w:ind w:left="1360" w:leftChars="0" w:hanging="720" w:firstLineChars="0"/>
        <w:rPr>
          <w:rFonts w:hint="eastAsia" w:ascii="黑体" w:hAnsi="黑体" w:eastAsia="黑体"/>
          <w:sz w:val="32"/>
          <w:szCs w:val="32"/>
        </w:rPr>
      </w:pPr>
      <w:r>
        <w:rPr>
          <w:rFonts w:hint="eastAsia" w:ascii="黑体" w:hAnsi="黑体" w:eastAsia="黑体"/>
          <w:sz w:val="32"/>
          <w:szCs w:val="32"/>
        </w:rPr>
        <w:t>评价结论及建议</w:t>
      </w:r>
    </w:p>
    <w:p w14:paraId="7F8D156A">
      <w:pPr>
        <w:ind w:firstLine="640" w:firstLineChars="200"/>
        <w:rPr>
          <w:rFonts w:hint="eastAsia" w:eastAsia="仿宋_GB2312"/>
          <w:sz w:val="32"/>
          <w:szCs w:val="32"/>
          <w:lang w:val="zh-CN" w:eastAsia="zh-CN"/>
        </w:rPr>
      </w:pPr>
      <w:r>
        <w:rPr>
          <w:rFonts w:hint="eastAsia" w:eastAsia="仿宋_GB2312"/>
          <w:sz w:val="32"/>
          <w:szCs w:val="32"/>
          <w:lang w:val="zh-CN" w:eastAsia="zh-CN"/>
        </w:rPr>
        <w:t>中国共产主义青年团</w:t>
      </w:r>
      <w:r>
        <w:rPr>
          <w:rFonts w:hint="eastAsia" w:eastAsia="仿宋_GB2312"/>
          <w:sz w:val="32"/>
          <w:szCs w:val="32"/>
          <w:lang w:val="zh-CN"/>
        </w:rPr>
        <w:t>峨边彝族自治县</w:t>
      </w:r>
      <w:r>
        <w:rPr>
          <w:rFonts w:hint="eastAsia" w:eastAsia="仿宋_GB2312"/>
          <w:sz w:val="32"/>
          <w:szCs w:val="32"/>
          <w:lang w:val="zh-CN" w:eastAsia="zh-CN"/>
        </w:rPr>
        <w:t>委员会</w:t>
      </w:r>
      <w:r>
        <w:rPr>
          <w:rFonts w:hint="eastAsia" w:eastAsia="仿宋_GB2312"/>
          <w:sz w:val="32"/>
          <w:szCs w:val="32"/>
          <w:lang w:val="zh-CN"/>
        </w:rPr>
        <w:t>部门整体支出绩效评价科学合理，达到预期设定目标。</w:t>
      </w:r>
      <w:r>
        <w:rPr>
          <w:rFonts w:hint="eastAsia" w:eastAsia="仿宋_GB2312"/>
          <w:sz w:val="32"/>
          <w:szCs w:val="32"/>
          <w:lang w:val="zh-CN" w:eastAsia="zh-CN"/>
        </w:rPr>
        <w:t>根据《峨边彝族自治县财政局关于开展20</w:t>
      </w:r>
      <w:r>
        <w:rPr>
          <w:rFonts w:hint="eastAsia" w:eastAsia="仿宋_GB2312"/>
          <w:sz w:val="32"/>
          <w:szCs w:val="32"/>
          <w:lang w:val="en-US" w:eastAsia="zh-CN"/>
        </w:rPr>
        <w:t>23</w:t>
      </w:r>
      <w:r>
        <w:rPr>
          <w:rFonts w:hint="eastAsia" w:eastAsia="仿宋_GB2312"/>
          <w:sz w:val="32"/>
          <w:szCs w:val="32"/>
          <w:lang w:val="zh-CN" w:eastAsia="zh-CN"/>
        </w:rPr>
        <w:t>年部门整体、项目和政策支出绩效评价工作的通知》文件精神，</w:t>
      </w:r>
      <w:r>
        <w:rPr>
          <w:rFonts w:hint="eastAsia" w:eastAsia="仿宋_GB2312"/>
          <w:sz w:val="32"/>
          <w:szCs w:val="32"/>
          <w:lang w:val="en-US" w:eastAsia="zh-CN"/>
        </w:rPr>
        <w:t>认真组织开展了对本部门整体支出绩效评价工作，经对本部门整体绩效综合自评，绩效评价</w:t>
      </w:r>
      <w:r>
        <w:rPr>
          <w:rFonts w:hint="eastAsia" w:eastAsia="仿宋_GB2312"/>
          <w:sz w:val="32"/>
          <w:szCs w:val="32"/>
          <w:lang w:val="zh-CN" w:eastAsia="zh-CN"/>
        </w:rPr>
        <w:t>得分：</w:t>
      </w:r>
      <w:r>
        <w:rPr>
          <w:rFonts w:hint="eastAsia" w:eastAsia="仿宋_GB2312"/>
          <w:sz w:val="32"/>
          <w:szCs w:val="32"/>
          <w:lang w:val="en-US" w:eastAsia="zh-CN"/>
        </w:rPr>
        <w:t>95</w:t>
      </w:r>
      <w:r>
        <w:rPr>
          <w:rFonts w:hint="eastAsia" w:eastAsia="仿宋_GB2312"/>
          <w:sz w:val="32"/>
          <w:szCs w:val="32"/>
          <w:lang w:val="zh-CN" w:eastAsia="zh-CN"/>
        </w:rPr>
        <w:t>分，评价结果：优。</w:t>
      </w:r>
    </w:p>
    <w:p w14:paraId="1F431CD6">
      <w:pPr>
        <w:tabs>
          <w:tab w:val="left" w:pos="7612"/>
        </w:tabs>
        <w:bidi w:val="0"/>
        <w:jc w:val="left"/>
        <w:rPr>
          <w:rFonts w:hint="eastAsia"/>
          <w:lang w:val="zh-CN" w:eastAsia="zh-CN"/>
        </w:rPr>
      </w:pPr>
      <w:r>
        <w:rPr>
          <w:rFonts w:hint="eastAsia"/>
          <w:lang w:val="en-US" w:eastAsia="zh-CN"/>
        </w:rPr>
        <w:tab/>
      </w:r>
    </w:p>
    <w:p w14:paraId="0029CF0B">
      <w:pPr>
        <w:rPr>
          <w:rFonts w:hint="eastAsia" w:ascii="黑体" w:hAnsi="黑体" w:eastAsia="黑体"/>
          <w:sz w:val="32"/>
          <w:szCs w:val="32"/>
        </w:rPr>
      </w:pPr>
      <w:r>
        <w:rPr>
          <w:rFonts w:hint="eastAsia" w:ascii="黑体" w:hAnsi="黑体" w:eastAsia="黑体"/>
          <w:sz w:val="32"/>
          <w:szCs w:val="32"/>
        </w:rPr>
        <w:t>附件2</w:t>
      </w:r>
    </w:p>
    <w:p w14:paraId="36E14DF9">
      <w:pPr>
        <w:widowControl/>
        <w:spacing w:line="580" w:lineRule="exact"/>
        <w:ind w:firstLine="360" w:firstLineChars="100"/>
        <w:contextualSpacing/>
        <w:jc w:val="both"/>
        <w:rPr>
          <w:rFonts w:ascii="方正小标宋简体" w:hAnsi="宋体" w:eastAsia="方正小标宋简体"/>
          <w:bCs/>
          <w:sz w:val="36"/>
          <w:szCs w:val="36"/>
          <w:shd w:val="clear" w:color="auto" w:fill="FFFFFF"/>
        </w:rPr>
      </w:pPr>
      <w:r>
        <w:rPr>
          <w:rFonts w:hint="eastAsia" w:ascii="方正小标宋简体" w:hAnsi="宋体" w:eastAsia="方正小标宋简体"/>
          <w:bCs/>
          <w:sz w:val="36"/>
          <w:szCs w:val="36"/>
          <w:shd w:val="clear" w:color="auto" w:fill="FFFFFF"/>
          <w:lang w:eastAsia="zh-CN"/>
        </w:rPr>
        <w:t>中国共产主义青年团</w:t>
      </w:r>
      <w:r>
        <w:rPr>
          <w:rFonts w:hint="eastAsia" w:ascii="方正小标宋简体" w:hAnsi="宋体" w:eastAsia="方正小标宋简体"/>
          <w:bCs/>
          <w:sz w:val="36"/>
          <w:szCs w:val="36"/>
          <w:shd w:val="clear" w:color="auto" w:fill="FFFFFF"/>
        </w:rPr>
        <w:t>峨边彝族自治县</w:t>
      </w:r>
      <w:r>
        <w:rPr>
          <w:rFonts w:hint="eastAsia" w:ascii="方正小标宋简体" w:hAnsi="宋体" w:eastAsia="方正小标宋简体"/>
          <w:bCs/>
          <w:sz w:val="36"/>
          <w:szCs w:val="36"/>
          <w:shd w:val="clear" w:color="auto" w:fill="FFFFFF"/>
          <w:lang w:eastAsia="zh-CN"/>
        </w:rPr>
        <w:t>委员会</w:t>
      </w:r>
    </w:p>
    <w:p w14:paraId="79BC58EE">
      <w:pPr>
        <w:pStyle w:val="15"/>
        <w:ind w:firstLine="1446" w:firstLineChars="400"/>
        <w:jc w:val="both"/>
      </w:pPr>
      <w:bookmarkStart w:id="51" w:name="_Hlk51055968"/>
      <w:r>
        <w:rPr>
          <w:rFonts w:hint="eastAsia" w:ascii="方正小标宋简体" w:hAnsi="宋体" w:eastAsia="方正小标宋简体"/>
          <w:bCs/>
          <w:sz w:val="36"/>
          <w:szCs w:val="36"/>
          <w:shd w:val="clear" w:color="auto" w:fill="FFFFFF"/>
        </w:rPr>
        <w:t>20</w:t>
      </w:r>
      <w:r>
        <w:rPr>
          <w:rFonts w:hint="eastAsia" w:ascii="方正小标宋简体" w:hAnsi="宋体" w:eastAsia="方正小标宋简体"/>
          <w:bCs/>
          <w:sz w:val="36"/>
          <w:szCs w:val="36"/>
          <w:shd w:val="clear" w:color="auto" w:fill="FFFFFF"/>
          <w:lang w:val="en-US" w:eastAsia="zh-CN"/>
        </w:rPr>
        <w:t>23</w:t>
      </w:r>
      <w:r>
        <w:rPr>
          <w:rFonts w:hint="eastAsia" w:ascii="方正小标宋简体" w:hAnsi="宋体" w:eastAsia="方正小标宋简体"/>
          <w:bCs/>
          <w:sz w:val="36"/>
          <w:szCs w:val="36"/>
          <w:shd w:val="clear" w:color="auto" w:fill="FFFFFF"/>
        </w:rPr>
        <w:t>年度</w:t>
      </w:r>
      <w:bookmarkEnd w:id="51"/>
      <w:r>
        <w:rPr>
          <w:rFonts w:hint="eastAsia" w:ascii="方正小标宋简体" w:hAnsi="宋体" w:eastAsia="方正小标宋简体"/>
          <w:bCs/>
          <w:sz w:val="36"/>
          <w:szCs w:val="36"/>
        </w:rPr>
        <w:t>项目支出绩效自评报告</w:t>
      </w:r>
    </w:p>
    <w:p w14:paraId="4E2A0963">
      <w:pPr>
        <w:spacing w:line="600" w:lineRule="exact"/>
        <w:jc w:val="center"/>
        <w:rPr>
          <w:rFonts w:ascii="仿宋_GB2312" w:hAnsi="宋体"/>
          <w:sz w:val="32"/>
          <w:szCs w:val="32"/>
        </w:rPr>
      </w:pPr>
      <w:r>
        <w:rPr>
          <w:rFonts w:hint="eastAsia" w:ascii="仿宋_GB2312" w:hAnsi="宋体"/>
          <w:sz w:val="32"/>
          <w:szCs w:val="32"/>
        </w:rPr>
        <w:t>（</w:t>
      </w:r>
      <w:r>
        <w:rPr>
          <w:rFonts w:hint="eastAsia" w:ascii="仿宋_GB2312" w:hAnsi="宋体"/>
          <w:sz w:val="32"/>
          <w:szCs w:val="32"/>
          <w:lang w:eastAsia="zh-CN"/>
        </w:rPr>
        <w:t>青年工作专项经费</w:t>
      </w:r>
      <w:r>
        <w:rPr>
          <w:rFonts w:hint="eastAsia" w:ascii="仿宋_GB2312" w:hAnsi="宋体"/>
          <w:sz w:val="32"/>
          <w:szCs w:val="32"/>
        </w:rPr>
        <w:t>）</w:t>
      </w:r>
    </w:p>
    <w:p w14:paraId="02FD7E3E">
      <w:pPr>
        <w:spacing w:line="600" w:lineRule="exact"/>
        <w:jc w:val="center"/>
        <w:rPr>
          <w:rFonts w:ascii="宋体" w:hAnsi="宋体"/>
        </w:rPr>
      </w:pPr>
    </w:p>
    <w:p w14:paraId="4239792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sz w:val="32"/>
          <w:szCs w:val="32"/>
        </w:rPr>
        <w:t>、</w:t>
      </w:r>
      <w:r>
        <w:rPr>
          <w:rFonts w:hint="eastAsia" w:ascii="黑体" w:hAnsi="宋体" w:eastAsia="黑体"/>
          <w:sz w:val="32"/>
          <w:szCs w:val="32"/>
          <w:lang w:val="zh-CN"/>
        </w:rPr>
        <w:t>项目概况</w:t>
      </w:r>
    </w:p>
    <w:p w14:paraId="685BCD19">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加强青年思想政治引领，培养青年的社会责任感和使命感。丰富青年的文化生活，提供多元化的学习和交流机会。帮助青年解决实际困难，促进青年就业创业。增强团组织的凝聚力和吸引力。</w:t>
      </w:r>
    </w:p>
    <w:p w14:paraId="5ECAE26F">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项目资金申报及批复情况</w:t>
      </w:r>
    </w:p>
    <w:p w14:paraId="58F250E6">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根据《峨边彝族自治县财政局关于批复</w:t>
      </w:r>
      <w:r>
        <w:rPr>
          <w:rFonts w:hint="eastAsia" w:ascii="Times New Roman" w:hAnsi="Times New Roman" w:eastAsia="仿宋_GB2312" w:cs="Times New Roman"/>
          <w:sz w:val="32"/>
          <w:szCs w:val="32"/>
          <w:lang w:val="en-US" w:eastAsia="zh-CN"/>
        </w:rPr>
        <w:t>2023年部门预算的通知》（峨财政〔2023〕13号文件精神</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，用于组织青年交友活动、六一儿童节活动慰问经费、青年文化活动、青年就业创业扶持等。</w:t>
      </w:r>
    </w:p>
    <w:p w14:paraId="7B970FAB">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0" w:leftChars="0" w:firstLine="0" w:firstLineChars="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项目绩效目标。</w:t>
      </w:r>
    </w:p>
    <w:p w14:paraId="13E766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通过合理安排和使用专项经费，促进青年的交流与成长，提升青年工作的质量和效果，增强团组织的凝聚力和影响力。</w:t>
      </w:r>
    </w:p>
    <w:p w14:paraId="19F0EA53">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0" w:leftChars="0" w:firstLine="0" w:firstLineChars="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项目资金申报相符性。</w:t>
      </w:r>
    </w:p>
    <w:p w14:paraId="57FFAE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 xml:space="preserve">资金申报用途与实际使用的一致，本项目申报的专项资金总额为 </w:t>
      </w:r>
      <w:r>
        <w:rPr>
          <w:rFonts w:hint="eastAsia" w:ascii="Times New Roman" w:hAnsi="Times New Roman" w:eastAsia="仿宋_GB2312" w:cs="Times New Roman"/>
          <w:sz w:val="32"/>
          <w:szCs w:val="32"/>
          <w:lang w:val="en-US" w:eastAsia="zh-CN"/>
        </w:rPr>
        <w:t>8</w:t>
      </w:r>
      <w:r>
        <w:rPr>
          <w:rFonts w:hint="eastAsia" w:ascii="仿宋_GB2312" w:eastAsia="仿宋_GB2312"/>
          <w:sz w:val="32"/>
          <w:szCs w:val="32"/>
          <w:lang w:val="en-US" w:eastAsia="zh-CN"/>
        </w:rPr>
        <w:t>万</w:t>
      </w:r>
      <w:r>
        <w:rPr>
          <w:rFonts w:hint="eastAsia" w:ascii="Times New Roman" w:hAnsi="Times New Roman" w:eastAsia="仿宋_GB2312" w:cs="Times New Roman"/>
          <w:sz w:val="32"/>
          <w:szCs w:val="32"/>
          <w:lang w:val="zh-CN" w:eastAsia="zh-CN"/>
        </w:rPr>
        <w:t>元，在实际执行过程中，严格按照申报用途进行资金分配。</w:t>
      </w:r>
    </w:p>
    <w:p w14:paraId="280020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sz w:val="32"/>
          <w:szCs w:val="32"/>
        </w:rPr>
      </w:pPr>
      <w:r>
        <w:rPr>
          <w:rFonts w:hint="eastAsia" w:ascii="黑体" w:hAnsi="宋体" w:eastAsia="黑体"/>
          <w:sz w:val="32"/>
          <w:szCs w:val="32"/>
        </w:rPr>
        <w:t>二、项目实施及管理情况</w:t>
      </w:r>
    </w:p>
    <w:p w14:paraId="39216693">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（一）资金计划、到位及使用情况。</w:t>
      </w:r>
    </w:p>
    <w:p w14:paraId="4AE1FC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 xml:space="preserve">1．资金计划及到位。本项目专项资金 </w:t>
      </w:r>
      <w:r>
        <w:rPr>
          <w:rFonts w:hint="eastAsia" w:ascii="Times New Roman" w:hAnsi="Times New Roman" w:eastAsia="仿宋_GB2312" w:cs="Times New Roman"/>
          <w:sz w:val="32"/>
          <w:szCs w:val="32"/>
          <w:lang w:val="en-US" w:eastAsia="zh-CN"/>
        </w:rPr>
        <w:t>8</w:t>
      </w:r>
      <w:r>
        <w:rPr>
          <w:rFonts w:hint="eastAsia" w:ascii="仿宋_GB2312" w:eastAsia="仿宋_GB2312"/>
          <w:sz w:val="32"/>
          <w:szCs w:val="32"/>
          <w:lang w:val="en-US" w:eastAsia="zh-CN"/>
        </w:rPr>
        <w:t>万</w:t>
      </w:r>
      <w:r>
        <w:rPr>
          <w:rFonts w:hint="eastAsia" w:ascii="Times New Roman" w:hAnsi="Times New Roman" w:eastAsia="仿宋_GB2312" w:cs="Times New Roman"/>
          <w:sz w:val="32"/>
          <w:szCs w:val="32"/>
          <w:lang w:val="zh-CN" w:eastAsia="zh-CN"/>
        </w:rPr>
        <w:t xml:space="preserve"> 元，已全部到位，资金到位率为 100%。</w:t>
      </w:r>
    </w:p>
    <w:p w14:paraId="12C049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hAnsi="宋体" w:eastAsia="仿宋_GB2312"/>
          <w:lang w:val="en-US" w:eastAsia="zh-CN"/>
        </w:rPr>
      </w:pPr>
      <w:r>
        <w:rPr>
          <w:rFonts w:hint="eastAsia" w:ascii="Times New Roman" w:hAnsi="Times New Roman" w:eastAsia="仿宋_GB2312" w:cs="Times New Roman"/>
          <w:sz w:val="32"/>
          <w:szCs w:val="32"/>
          <w:lang w:val="zh-CN" w:eastAsia="zh-CN"/>
        </w:rPr>
        <w:t>2．资金使用。截至报告日期，项目资金共支出</w:t>
      </w:r>
      <w:r>
        <w:rPr>
          <w:rFonts w:hint="eastAsia" w:ascii="Times New Roman" w:hAnsi="Times New Roman" w:eastAsia="仿宋_GB2312" w:cs="Times New Roman"/>
          <w:sz w:val="32"/>
          <w:szCs w:val="32"/>
          <w:lang w:val="en-US" w:eastAsia="zh-CN"/>
        </w:rPr>
        <w:t>8</w:t>
      </w:r>
      <w:r>
        <w:rPr>
          <w:rFonts w:hint="eastAsia" w:ascii="仿宋_GB2312" w:eastAsia="仿宋_GB2312"/>
          <w:sz w:val="32"/>
          <w:szCs w:val="32"/>
          <w:lang w:val="en-US" w:eastAsia="zh-CN"/>
        </w:rPr>
        <w:t>万</w:t>
      </w:r>
      <w:r>
        <w:rPr>
          <w:rFonts w:hint="eastAsia" w:ascii="Times New Roman" w:hAnsi="Times New Roman" w:eastAsia="仿宋_GB2312" w:cs="Times New Roman"/>
          <w:sz w:val="32"/>
          <w:szCs w:val="32"/>
          <w:lang w:val="zh-CN" w:eastAsia="zh-CN"/>
        </w:rPr>
        <w:t>元，包括：</w:t>
      </w:r>
      <w:r>
        <w:rPr>
          <w:rFonts w:hint="eastAsia" w:ascii="Times New Roman" w:hAnsi="Times New Roman" w:eastAsia="仿宋_GB2312" w:cs="Times New Roman"/>
          <w:sz w:val="32"/>
          <w:szCs w:val="32"/>
          <w:lang w:val="en-US" w:eastAsia="zh-CN"/>
        </w:rPr>
        <w:t xml:space="preserve">青年交友活动、 六一儿童节活动经费 、困难学生救助、青年就业创业扶持 、青年志愿服务等 。                  </w:t>
      </w:r>
      <w:r>
        <w:rPr>
          <w:rFonts w:hint="eastAsia" w:ascii="仿宋_GB2312" w:hAnsi="宋体"/>
          <w:lang w:val="en-US" w:eastAsia="zh-CN"/>
        </w:rPr>
        <w:t xml:space="preserve">                                                                                                                                                                                                                                                                                                                                                                                                                                                                                                                                                                                                                                                                                                                                                                                                                                                                                                                                                                                                                                                                                                                                                                                                                                                                                                                                                                                                                                                                                                                                                                                                                                                                                                                                                                                                                                                                                                                                                                                                                                                                                                                                                                                                          </w:t>
      </w:r>
    </w:p>
    <w:p w14:paraId="486F56B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（二）项目财务管理情况。</w:t>
      </w:r>
    </w:p>
    <w:p w14:paraId="690553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本项目资金严格按照财务管理制度进行管理，实行专款专用，确保资金使用的合规性和安全性。在资金使用过程中，严格执行审批程序，规范报销手续，做到账目清晰、凭证齐全。</w:t>
      </w:r>
      <w:r>
        <w:rPr>
          <w:rFonts w:hint="eastAsia" w:ascii="Times New Roman" w:hAnsi="Times New Roman" w:eastAsia="仿宋_GB2312" w:cs="Times New Roman"/>
          <w:sz w:val="32"/>
          <w:szCs w:val="32"/>
          <w:lang w:val="en-US" w:eastAsia="zh-CN"/>
        </w:rPr>
        <w:t xml:space="preserve">          </w:t>
      </w:r>
    </w:p>
    <w:p w14:paraId="40C72D4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（三）项目组织实施情况。</w:t>
      </w:r>
    </w:p>
    <w:p w14:paraId="150B74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提高青年的思想政治素质，增强对党的理论和路线方针政策的认同。</w:t>
      </w:r>
    </w:p>
    <w:p w14:paraId="4DAEFC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2.丰富青年的精神文化生活，促进青年身心健康发展。</w:t>
      </w:r>
    </w:p>
    <w:p w14:paraId="69717B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3.提升青年的就业创业能力，增加就业机会和创业成功率。</w:t>
      </w:r>
    </w:p>
    <w:p w14:paraId="09B759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4.壮大青年志愿者队伍，形成良好的社会风尚。</w:t>
      </w:r>
    </w:p>
    <w:p w14:paraId="1D0176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5.增强青年对团组织的归属感和认同感，使团组织更好地联系和服务青年。</w:t>
      </w:r>
    </w:p>
    <w:p w14:paraId="1A87F6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三、项目绩效情况</w:t>
      </w:r>
      <w:r>
        <w:rPr>
          <w:rFonts w:hint="eastAsia" w:ascii="Times New Roman" w:hAnsi="Times New Roman" w:eastAsia="仿宋_GB2312" w:cs="Times New Roman"/>
          <w:sz w:val="32"/>
          <w:szCs w:val="32"/>
          <w:lang w:val="zh-CN" w:eastAsia="zh-CN"/>
        </w:rPr>
        <w:tab/>
      </w:r>
    </w:p>
    <w:p w14:paraId="3A345CD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3D2152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1.青年交友活动：用于组织青年交友活动，包括场地租赁、活动策划、餐饮等费用，为青年提供了交流和结识新朋友的平台。</w:t>
      </w:r>
    </w:p>
    <w:p w14:paraId="08D76F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2.六一儿童节活动经费：用于开展六一儿童节庆祝活动，为儿童送上节日礼物和关爱。</w:t>
      </w:r>
    </w:p>
    <w:p w14:paraId="49F70A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3.困难学生救助：用于资助家庭经济困难的学生，帮助他们解决学习和生活上的困难。</w:t>
      </w:r>
    </w:p>
    <w:p w14:paraId="2AB3A7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4.青年团干部培训：用于青年团干部培训，提升团干部的业务能力和综合素质。</w:t>
      </w:r>
    </w:p>
    <w:p w14:paraId="42D180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5.大学生兼职乡镇团委书记工作生活补助：为大学生兼职乡镇团委书记提供工作生活补贴，鼓励他们积极参与基层团组织工作。</w:t>
      </w:r>
    </w:p>
    <w:p w14:paraId="1531B0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宋体"/>
          <w:lang w:val="zh-CN"/>
        </w:rPr>
      </w:pPr>
      <w:r>
        <w:rPr>
          <w:rFonts w:hint="eastAsia" w:ascii="Times New Roman" w:hAnsi="Times New Roman" w:eastAsia="仿宋_GB2312" w:cs="Times New Roman"/>
          <w:sz w:val="32"/>
          <w:szCs w:val="32"/>
          <w:lang w:val="en-US" w:eastAsia="zh-CN"/>
        </w:rPr>
        <w:t>6.青少年夏令营红领巾讲解活动费：用于支付青少年参与相关活动的费用</w:t>
      </w:r>
      <w:r>
        <w:rPr>
          <w:rFonts w:hint="eastAsia" w:ascii="仿宋_GB2312" w:hAnsi="宋体"/>
          <w:lang w:val="en-US" w:eastAsia="zh-CN"/>
        </w:rPr>
        <w:t>。</w:t>
      </w:r>
    </w:p>
    <w:p w14:paraId="173881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B0C76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社会效益：通过青年团干部培训、大学生兼职乡镇团委书记工作生活补助，培养了一批具有较高素质和能力的青年骨干，为青年的成长和职业发展提供了有力支持，有助于提升青年整体素质和竞争力；青年交友活动为广大青年搭建了交流互动的平台，增进了青年之间的了解和友谊，促进了社会和谐，增强了社会的凝聚力和向心力；困难学生救助，帮助家庭经济困难的学生解决了学习和生活上的困难，让他们感受到社会的关爱和温暖，有利于促进社会公平正义。</w:t>
      </w:r>
    </w:p>
    <w:p w14:paraId="5C7C67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济效益：青年团干部培训和大学生兼职乡镇团委书记工作生活补助，有助于培养和储备优秀的青年人才，为地区经济发展提供人才支持，促进经济的可持续发展。青年交友活动和各类培训项目促进了青年之间的思想交流和碰撞，激发了青年的创新思维和创业热情，为经济发展注入新的活力。</w:t>
      </w:r>
    </w:p>
    <w:p w14:paraId="74F635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可持续影响：青年交友活动、六一儿童节活动以及困难学生救助等项目，营造了关爱青年、关注儿童成长、互帮互助的良好社会氛围。这种积极向上的社会氛围一旦形成，将具有较强的感染力和传播力，引导更多的社会力量参与到关心青年、支持青少年发展的事业中来，使项目的效益得以持续扩散。</w:t>
      </w:r>
    </w:p>
    <w:p w14:paraId="48D467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14:paraId="2F54E87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25D8F3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1.项目资金不足，青年之家的设施设备还不够完善。</w:t>
      </w:r>
    </w:p>
    <w:p w14:paraId="095CC24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14:paraId="4A74FE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争取更多的财政支持，完善设施设备。</w:t>
      </w:r>
    </w:p>
    <w:p w14:paraId="5E70AAB3">
      <w:pPr>
        <w:adjustRightInd w:val="0"/>
        <w:snapToGrid w:val="0"/>
        <w:spacing w:line="600" w:lineRule="exact"/>
        <w:ind w:firstLine="420" w:firstLineChars="200"/>
        <w:rPr>
          <w:rFonts w:hint="eastAsia"/>
        </w:rPr>
      </w:pPr>
    </w:p>
    <w:p w14:paraId="673BB8C4">
      <w:pPr>
        <w:adjustRightInd w:val="0"/>
        <w:snapToGrid w:val="0"/>
        <w:spacing w:line="600" w:lineRule="exact"/>
        <w:ind w:firstLine="420" w:firstLineChars="200"/>
        <w:rPr>
          <w:rFonts w:hint="eastAsia"/>
        </w:rPr>
      </w:pPr>
    </w:p>
    <w:p w14:paraId="498024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b/>
      </w:r>
      <w:r>
        <w:rPr>
          <w:rFonts w:hint="eastAsia" w:eastAsia="仿宋_GB2312" w:cs="Times New Roman"/>
          <w:sz w:val="32"/>
          <w:szCs w:val="32"/>
          <w:lang w:val="en-US" w:eastAsia="zh-CN"/>
        </w:rPr>
        <w:t xml:space="preserve">  </w:t>
      </w:r>
    </w:p>
    <w:p w14:paraId="526CAB85">
      <w:pPr>
        <w:pStyle w:val="2"/>
        <w:rPr>
          <w:rFonts w:hint="eastAsia" w:eastAsia="仿宋_GB2312" w:cs="Times New Roman"/>
          <w:sz w:val="32"/>
          <w:szCs w:val="32"/>
          <w:lang w:val="en-US" w:eastAsia="zh-CN"/>
        </w:rPr>
      </w:pPr>
    </w:p>
    <w:p w14:paraId="0DED631C">
      <w:pPr>
        <w:rPr>
          <w:rFonts w:hint="eastAsia" w:eastAsia="仿宋_GB2312" w:cs="Times New Roman"/>
          <w:sz w:val="32"/>
          <w:szCs w:val="32"/>
          <w:lang w:val="en-US" w:eastAsia="zh-CN"/>
        </w:rPr>
      </w:pPr>
    </w:p>
    <w:p w14:paraId="0544D747">
      <w:pPr>
        <w:pStyle w:val="2"/>
        <w:rPr>
          <w:rFonts w:hint="eastAsia" w:eastAsia="仿宋_GB2312" w:cs="Times New Roman"/>
          <w:sz w:val="32"/>
          <w:szCs w:val="32"/>
          <w:lang w:val="en-US" w:eastAsia="zh-CN"/>
        </w:rPr>
      </w:pPr>
    </w:p>
    <w:p w14:paraId="24221382">
      <w:pPr>
        <w:rPr>
          <w:rFonts w:hint="eastAsia" w:eastAsia="仿宋_GB2312" w:cs="Times New Roman"/>
          <w:sz w:val="32"/>
          <w:szCs w:val="32"/>
          <w:lang w:val="en-US" w:eastAsia="zh-CN"/>
        </w:rPr>
      </w:pPr>
    </w:p>
    <w:p w14:paraId="68DAA240">
      <w:pPr>
        <w:pStyle w:val="2"/>
        <w:rPr>
          <w:rFonts w:hint="eastAsia"/>
          <w:lang w:val="en-US" w:eastAsia="zh-CN"/>
        </w:rPr>
      </w:pPr>
    </w:p>
    <w:p w14:paraId="07D9E6E1">
      <w:pPr>
        <w:pStyle w:val="3"/>
        <w:jc w:val="center"/>
        <w:rPr>
          <w:rFonts w:ascii="黑体" w:hAnsi="黑体" w:eastAsia="黑体"/>
        </w:rPr>
      </w:pPr>
      <w:r>
        <w:rPr>
          <w:rFonts w:hint="eastAsia" w:ascii="黑体" w:hAnsi="黑体" w:eastAsia="黑体"/>
        </w:rPr>
        <w:t>第五部分 附表</w:t>
      </w:r>
    </w:p>
    <w:p w14:paraId="3A7BD9E6">
      <w:pPr>
        <w:rPr>
          <w:rFonts w:ascii="仿宋" w:hAnsi="仿宋" w:eastAsia="仿宋"/>
          <w:sz w:val="32"/>
          <w:szCs w:val="32"/>
        </w:rPr>
      </w:pPr>
      <w:r>
        <w:rPr>
          <w:rFonts w:hint="eastAsia" w:ascii="仿宋" w:hAnsi="仿宋" w:eastAsia="仿宋"/>
          <w:sz w:val="32"/>
          <w:szCs w:val="32"/>
        </w:rPr>
        <w:t>一、收入支出决算总表</w:t>
      </w:r>
    </w:p>
    <w:p w14:paraId="692FEC13">
      <w:pPr>
        <w:rPr>
          <w:rFonts w:ascii="仿宋" w:hAnsi="仿宋" w:eastAsia="仿宋"/>
          <w:sz w:val="32"/>
          <w:szCs w:val="32"/>
        </w:rPr>
      </w:pPr>
      <w:r>
        <w:rPr>
          <w:rFonts w:hint="eastAsia" w:ascii="仿宋" w:hAnsi="仿宋" w:eastAsia="仿宋"/>
          <w:sz w:val="32"/>
          <w:szCs w:val="32"/>
        </w:rPr>
        <w:t>二、收入决算表</w:t>
      </w:r>
    </w:p>
    <w:p w14:paraId="0B435D75">
      <w:pPr>
        <w:rPr>
          <w:rFonts w:ascii="仿宋" w:hAnsi="仿宋" w:eastAsia="仿宋"/>
          <w:sz w:val="32"/>
          <w:szCs w:val="32"/>
        </w:rPr>
      </w:pPr>
      <w:r>
        <w:rPr>
          <w:rFonts w:hint="eastAsia" w:ascii="仿宋" w:hAnsi="仿宋" w:eastAsia="仿宋"/>
          <w:sz w:val="32"/>
          <w:szCs w:val="32"/>
        </w:rPr>
        <w:t>三、支出决算表</w:t>
      </w:r>
    </w:p>
    <w:p w14:paraId="60F92CBE">
      <w:pPr>
        <w:rPr>
          <w:rFonts w:ascii="仿宋" w:hAnsi="仿宋" w:eastAsia="仿宋"/>
          <w:sz w:val="32"/>
          <w:szCs w:val="32"/>
        </w:rPr>
      </w:pPr>
      <w:r>
        <w:rPr>
          <w:rFonts w:hint="eastAsia" w:ascii="仿宋" w:hAnsi="仿宋" w:eastAsia="仿宋"/>
          <w:sz w:val="32"/>
          <w:szCs w:val="32"/>
        </w:rPr>
        <w:t>四、财政拨款收入支出决算总表</w:t>
      </w:r>
    </w:p>
    <w:p w14:paraId="2E00345B">
      <w:pPr>
        <w:rPr>
          <w:rFonts w:ascii="仿宋" w:hAnsi="仿宋" w:eastAsia="仿宋"/>
          <w:sz w:val="32"/>
          <w:szCs w:val="32"/>
        </w:rPr>
      </w:pPr>
      <w:r>
        <w:rPr>
          <w:rFonts w:hint="eastAsia" w:ascii="仿宋" w:hAnsi="仿宋" w:eastAsia="仿宋"/>
          <w:sz w:val="32"/>
          <w:szCs w:val="32"/>
        </w:rPr>
        <w:t>五、财政拨款支出决算明细表</w:t>
      </w:r>
    </w:p>
    <w:p w14:paraId="5A446859">
      <w:pPr>
        <w:rPr>
          <w:rFonts w:ascii="仿宋" w:hAnsi="仿宋" w:eastAsia="仿宋"/>
          <w:sz w:val="32"/>
          <w:szCs w:val="32"/>
        </w:rPr>
      </w:pPr>
      <w:r>
        <w:rPr>
          <w:rFonts w:hint="eastAsia" w:ascii="仿宋" w:hAnsi="仿宋" w:eastAsia="仿宋"/>
          <w:sz w:val="32"/>
          <w:szCs w:val="32"/>
        </w:rPr>
        <w:t>六、一般公共预算财政拨款支出决算表</w:t>
      </w:r>
    </w:p>
    <w:p w14:paraId="08A31E6A">
      <w:pPr>
        <w:rPr>
          <w:rFonts w:ascii="仿宋" w:hAnsi="仿宋" w:eastAsia="仿宋"/>
          <w:sz w:val="32"/>
          <w:szCs w:val="32"/>
        </w:rPr>
      </w:pPr>
      <w:r>
        <w:rPr>
          <w:rFonts w:hint="eastAsia" w:ascii="仿宋" w:hAnsi="仿宋" w:eastAsia="仿宋"/>
          <w:sz w:val="32"/>
          <w:szCs w:val="32"/>
        </w:rPr>
        <w:t>七、一般公共预算财政拨款支出决算明细表</w:t>
      </w:r>
    </w:p>
    <w:p w14:paraId="49447FB6">
      <w:pPr>
        <w:rPr>
          <w:rFonts w:ascii="仿宋" w:hAnsi="仿宋" w:eastAsia="仿宋"/>
          <w:sz w:val="32"/>
          <w:szCs w:val="32"/>
        </w:rPr>
      </w:pPr>
      <w:r>
        <w:rPr>
          <w:rFonts w:hint="eastAsia" w:ascii="仿宋" w:hAnsi="仿宋" w:eastAsia="仿宋"/>
          <w:sz w:val="32"/>
          <w:szCs w:val="32"/>
        </w:rPr>
        <w:t>八、一般公共预算财政拨款基本支出决算表</w:t>
      </w:r>
    </w:p>
    <w:p w14:paraId="5FA6BCBF">
      <w:pPr>
        <w:rPr>
          <w:rFonts w:ascii="仿宋" w:hAnsi="仿宋" w:eastAsia="仿宋"/>
          <w:sz w:val="32"/>
          <w:szCs w:val="32"/>
        </w:rPr>
      </w:pPr>
      <w:r>
        <w:rPr>
          <w:rFonts w:hint="eastAsia" w:ascii="仿宋" w:hAnsi="仿宋" w:eastAsia="仿宋"/>
          <w:sz w:val="32"/>
          <w:szCs w:val="32"/>
        </w:rPr>
        <w:t>九、一般公共预算财政拨款项目支出决算表</w:t>
      </w:r>
    </w:p>
    <w:p w14:paraId="1168D619">
      <w:pPr>
        <w:rPr>
          <w:rFonts w:ascii="仿宋" w:hAnsi="仿宋" w:eastAsia="仿宋"/>
          <w:sz w:val="32"/>
          <w:szCs w:val="32"/>
        </w:rPr>
      </w:pPr>
      <w:r>
        <w:rPr>
          <w:rFonts w:hint="eastAsia" w:ascii="仿宋" w:hAnsi="仿宋" w:eastAsia="仿宋"/>
          <w:sz w:val="32"/>
          <w:szCs w:val="32"/>
        </w:rPr>
        <w:t>十、政府性基金预算财政拨款收入支出决算表</w:t>
      </w:r>
    </w:p>
    <w:p w14:paraId="4B50CAB0">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65EACC50">
      <w:pPr>
        <w:rPr>
          <w:rFonts w:ascii="仿宋" w:hAnsi="仿宋" w:eastAsia="仿宋"/>
          <w:sz w:val="32"/>
          <w:szCs w:val="32"/>
        </w:rPr>
      </w:pPr>
      <w:r>
        <w:rPr>
          <w:rFonts w:hint="eastAsia" w:ascii="仿宋" w:hAnsi="仿宋" w:eastAsia="仿宋"/>
          <w:sz w:val="32"/>
          <w:szCs w:val="32"/>
        </w:rPr>
        <w:t>十二、国有资本经营预算财政拨款支出决算表</w:t>
      </w:r>
    </w:p>
    <w:p w14:paraId="3C63897F">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68E953F-3B1E-4917-9C11-E4624757013B}"/>
  </w:font>
  <w:font w:name="黑体">
    <w:panose1 w:val="02010609060101010101"/>
    <w:charset w:val="86"/>
    <w:family w:val="auto"/>
    <w:pitch w:val="default"/>
    <w:sig w:usb0="800002BF" w:usb1="38CF7CFA" w:usb2="00000016" w:usb3="00000000" w:csb0="00040001" w:csb1="00000000"/>
    <w:embedRegular r:id="rId2" w:fontKey="{8AE16686-5729-430A-AB9A-6730638AD3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1E1A453-C42C-473F-BCDC-B9B5B4242A8B}"/>
  </w:font>
  <w:font w:name="仿宋">
    <w:panose1 w:val="02010609060101010101"/>
    <w:charset w:val="86"/>
    <w:family w:val="modern"/>
    <w:pitch w:val="default"/>
    <w:sig w:usb0="800002BF" w:usb1="38CF7CFA" w:usb2="00000016" w:usb3="00000000" w:csb0="00040001" w:csb1="00000000"/>
    <w:embedRegular r:id="rId4" w:fontKey="{B89C5A2F-2C4B-43F3-99B8-062574049100}"/>
  </w:font>
  <w:font w:name="Cambria">
    <w:panose1 w:val="02040503050406030204"/>
    <w:charset w:val="00"/>
    <w:family w:val="roman"/>
    <w:pitch w:val="default"/>
    <w:sig w:usb0="E00002FF" w:usb1="400004FF" w:usb2="00000000" w:usb3="00000000" w:csb0="2000019F" w:csb1="00000000"/>
    <w:embedRegular r:id="rId5" w:fontKey="{EABF01DE-A37C-4676-95FB-57707DBC7AE1}"/>
  </w:font>
  <w:font w:name="仿宋_GB2312">
    <w:panose1 w:val="02010609030101010101"/>
    <w:charset w:val="86"/>
    <w:family w:val="modern"/>
    <w:pitch w:val="default"/>
    <w:sig w:usb0="00000001" w:usb1="080E0000" w:usb2="00000000" w:usb3="00000000" w:csb0="00040000" w:csb1="00000000"/>
    <w:embedRegular r:id="rId6" w:fontKey="{02252163-6507-497A-9423-0F0EBEC56DAB}"/>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7" w:fontKey="{6B803578-DBBE-4C31-8760-BBB23F16E268}"/>
  </w:font>
  <w:font w:name="楷体_GB2312">
    <w:panose1 w:val="02010609030101010101"/>
    <w:charset w:val="86"/>
    <w:family w:val="auto"/>
    <w:pitch w:val="default"/>
    <w:sig w:usb0="00000001" w:usb1="080E0000" w:usb2="00000000" w:usb3="00000000" w:csb0="00040000" w:csb1="00000000"/>
    <w:embedRegular r:id="rId8" w:fontKey="{4788ACB0-6F3B-4043-94E1-534129F38B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49D9131">
        <w:pPr>
          <w:pStyle w:val="11"/>
          <w:jc w:val="center"/>
        </w:pPr>
        <w:r>
          <w:fldChar w:fldCharType="begin"/>
        </w:r>
        <w:r>
          <w:instrText xml:space="preserve">PAGE   \* MERGEFORMAT</w:instrText>
        </w:r>
        <w:r>
          <w:fldChar w:fldCharType="separate"/>
        </w:r>
        <w:r>
          <w:rPr>
            <w:lang w:val="zh-CN"/>
          </w:rPr>
          <w:t>23</w:t>
        </w:r>
        <w:r>
          <w:fldChar w:fldCharType="end"/>
        </w:r>
      </w:p>
    </w:sdtContent>
  </w:sdt>
  <w:p w14:paraId="6250508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E3A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516BE"/>
    <w:multiLevelType w:val="singleLevel"/>
    <w:tmpl w:val="A4F516BE"/>
    <w:lvl w:ilvl="0" w:tentative="0">
      <w:start w:val="1"/>
      <w:numFmt w:val="decimal"/>
      <w:lvlText w:val="%1."/>
      <w:lvlJc w:val="left"/>
      <w:pPr>
        <w:tabs>
          <w:tab w:val="left" w:pos="312"/>
        </w:tabs>
      </w:pPr>
    </w:lvl>
  </w:abstractNum>
  <w:abstractNum w:abstractNumId="1">
    <w:nsid w:val="A503EE12"/>
    <w:multiLevelType w:val="singleLevel"/>
    <w:tmpl w:val="A503EE12"/>
    <w:lvl w:ilvl="0" w:tentative="0">
      <w:start w:val="18"/>
      <w:numFmt w:val="decimal"/>
      <w:lvlText w:val="%1."/>
      <w:lvlJc w:val="left"/>
      <w:pPr>
        <w:tabs>
          <w:tab w:val="left" w:pos="312"/>
        </w:tabs>
      </w:pPr>
    </w:lvl>
  </w:abstractNum>
  <w:abstractNum w:abstractNumId="2">
    <w:nsid w:val="BF94D0C4"/>
    <w:multiLevelType w:val="singleLevel"/>
    <w:tmpl w:val="BF94D0C4"/>
    <w:lvl w:ilvl="0" w:tentative="0">
      <w:start w:val="1"/>
      <w:numFmt w:val="chineseCounting"/>
      <w:suff w:val="nothing"/>
      <w:lvlText w:val="（%1）"/>
      <w:lvlJc w:val="left"/>
      <w:rPr>
        <w:rFonts w:hint="eastAsia"/>
      </w:rPr>
    </w:lvl>
  </w:abstractNum>
  <w:abstractNum w:abstractNumId="3">
    <w:nsid w:val="C8737E20"/>
    <w:multiLevelType w:val="singleLevel"/>
    <w:tmpl w:val="C8737E20"/>
    <w:lvl w:ilvl="0" w:tentative="0">
      <w:start w:val="1"/>
      <w:numFmt w:val="chineseCounting"/>
      <w:suff w:val="nothing"/>
      <w:lvlText w:val="%1、"/>
      <w:lvlJc w:val="left"/>
      <w:rPr>
        <w:rFonts w:hint="eastAsia"/>
      </w:rPr>
    </w:lvl>
  </w:abstractNum>
  <w:abstractNum w:abstractNumId="4">
    <w:nsid w:val="F48142B5"/>
    <w:multiLevelType w:val="singleLevel"/>
    <w:tmpl w:val="F48142B5"/>
    <w:lvl w:ilvl="0" w:tentative="0">
      <w:start w:val="2"/>
      <w:numFmt w:val="chineseCounting"/>
      <w:suff w:val="nothing"/>
      <w:lvlText w:val="（%1）"/>
      <w:lvlJc w:val="left"/>
      <w:rPr>
        <w:rFonts w:hint="eastAsia"/>
      </w:rPr>
    </w:lvl>
  </w:abstractNum>
  <w:abstractNum w:abstractNumId="5">
    <w:nsid w:val="00000001"/>
    <w:multiLevelType w:val="singleLevel"/>
    <w:tmpl w:val="00000001"/>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BC78733"/>
    <w:multiLevelType w:val="singleLevel"/>
    <w:tmpl w:val="4BC78733"/>
    <w:lvl w:ilvl="0" w:tentative="0">
      <w:start w:val="2"/>
      <w:numFmt w:val="chineseCounting"/>
      <w:suff w:val="nothing"/>
      <w:lvlText w:val="（%1）"/>
      <w:lvlJc w:val="left"/>
      <w:rPr>
        <w:rFonts w:hint="eastAsia"/>
      </w:rPr>
    </w:lvl>
  </w:abstractNum>
  <w:abstractNum w:abstractNumId="9">
    <w:nsid w:val="5008D6F1"/>
    <w:multiLevelType w:val="singleLevel"/>
    <w:tmpl w:val="5008D6F1"/>
    <w:lvl w:ilvl="0" w:tentative="0">
      <w:start w:val="10"/>
      <w:numFmt w:val="chineseCounting"/>
      <w:suff w:val="nothing"/>
      <w:lvlText w:val="%1、"/>
      <w:lvlJc w:val="left"/>
      <w:rPr>
        <w:rFonts w:hint="eastAsia"/>
      </w:rPr>
    </w:lvl>
  </w:abstractNum>
  <w:num w:numId="1">
    <w:abstractNumId w:val="9"/>
  </w:num>
  <w:num w:numId="2">
    <w:abstractNumId w:val="3"/>
  </w:num>
  <w:num w:numId="3">
    <w:abstractNumId w:val="6"/>
  </w:num>
  <w:num w:numId="4">
    <w:abstractNumId w:val="7"/>
  </w:num>
  <w:num w:numId="5">
    <w:abstractNumId w:val="0"/>
  </w:num>
  <w:num w:numId="6">
    <w:abstractNumId w:val="1"/>
  </w:num>
  <w:num w:numId="7">
    <w:abstractNumId w:val="4"/>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4521D"/>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D92BEF"/>
    <w:rsid w:val="0277536A"/>
    <w:rsid w:val="02FEBE30"/>
    <w:rsid w:val="036F8141"/>
    <w:rsid w:val="03C7351B"/>
    <w:rsid w:val="04173D1B"/>
    <w:rsid w:val="04843BA0"/>
    <w:rsid w:val="066E0107"/>
    <w:rsid w:val="07431A0E"/>
    <w:rsid w:val="07996F6E"/>
    <w:rsid w:val="07DFD8BA"/>
    <w:rsid w:val="084240E8"/>
    <w:rsid w:val="08C006CC"/>
    <w:rsid w:val="0A2032A3"/>
    <w:rsid w:val="0B1217B8"/>
    <w:rsid w:val="0B5B1D83"/>
    <w:rsid w:val="0D153392"/>
    <w:rsid w:val="0D35B1ED"/>
    <w:rsid w:val="0E7ED1F5"/>
    <w:rsid w:val="0E8C1D33"/>
    <w:rsid w:val="0F98263C"/>
    <w:rsid w:val="101860EC"/>
    <w:rsid w:val="104F084C"/>
    <w:rsid w:val="10C055FF"/>
    <w:rsid w:val="118107EC"/>
    <w:rsid w:val="120F560F"/>
    <w:rsid w:val="122C2D89"/>
    <w:rsid w:val="128F7749"/>
    <w:rsid w:val="13390484"/>
    <w:rsid w:val="13D50BC4"/>
    <w:rsid w:val="13F5616D"/>
    <w:rsid w:val="14987371"/>
    <w:rsid w:val="14EF4D19"/>
    <w:rsid w:val="151E185B"/>
    <w:rsid w:val="157E6500"/>
    <w:rsid w:val="16817D13"/>
    <w:rsid w:val="16BB723D"/>
    <w:rsid w:val="17F9714D"/>
    <w:rsid w:val="18E7088C"/>
    <w:rsid w:val="1918F934"/>
    <w:rsid w:val="19590A4E"/>
    <w:rsid w:val="197F2AF8"/>
    <w:rsid w:val="1AB26031"/>
    <w:rsid w:val="1B6B3A14"/>
    <w:rsid w:val="1B7D1044"/>
    <w:rsid w:val="1BE8440E"/>
    <w:rsid w:val="1C8C6CC1"/>
    <w:rsid w:val="1CFA0A5F"/>
    <w:rsid w:val="1D155CEE"/>
    <w:rsid w:val="1D5A587D"/>
    <w:rsid w:val="1DFBC4B3"/>
    <w:rsid w:val="1E3613EF"/>
    <w:rsid w:val="1E37539A"/>
    <w:rsid w:val="1E740ACF"/>
    <w:rsid w:val="1F19C781"/>
    <w:rsid w:val="1F2F3C99"/>
    <w:rsid w:val="1F33FCE5"/>
    <w:rsid w:val="1F6D61A1"/>
    <w:rsid w:val="1F7D75D8"/>
    <w:rsid w:val="1F7F7398"/>
    <w:rsid w:val="1FD2DB6F"/>
    <w:rsid w:val="1FF35744"/>
    <w:rsid w:val="1FF6BC77"/>
    <w:rsid w:val="1FF9236D"/>
    <w:rsid w:val="20946290"/>
    <w:rsid w:val="211B0647"/>
    <w:rsid w:val="21780006"/>
    <w:rsid w:val="21DD6646"/>
    <w:rsid w:val="227463BF"/>
    <w:rsid w:val="22DA12BD"/>
    <w:rsid w:val="2333840E"/>
    <w:rsid w:val="23860B96"/>
    <w:rsid w:val="240371BF"/>
    <w:rsid w:val="245A6DA5"/>
    <w:rsid w:val="257C638F"/>
    <w:rsid w:val="261226BA"/>
    <w:rsid w:val="263E63EB"/>
    <w:rsid w:val="266F0844"/>
    <w:rsid w:val="267659E1"/>
    <w:rsid w:val="285A0E19"/>
    <w:rsid w:val="28AE5AA9"/>
    <w:rsid w:val="294B4FB0"/>
    <w:rsid w:val="294E3BD1"/>
    <w:rsid w:val="295C6226"/>
    <w:rsid w:val="29ED3D2B"/>
    <w:rsid w:val="29FD04D3"/>
    <w:rsid w:val="2BFF7BC6"/>
    <w:rsid w:val="2C8A61B5"/>
    <w:rsid w:val="2CD59C95"/>
    <w:rsid w:val="2D60147B"/>
    <w:rsid w:val="2DCF4FE7"/>
    <w:rsid w:val="2DF04E50"/>
    <w:rsid w:val="2E474DEB"/>
    <w:rsid w:val="2EFD05E5"/>
    <w:rsid w:val="2F040D46"/>
    <w:rsid w:val="2F4F95CE"/>
    <w:rsid w:val="2FACAFDD"/>
    <w:rsid w:val="2FAE5751"/>
    <w:rsid w:val="2FB1A395"/>
    <w:rsid w:val="2FCF0B76"/>
    <w:rsid w:val="2FD9A7D8"/>
    <w:rsid w:val="319F7F4E"/>
    <w:rsid w:val="3304709D"/>
    <w:rsid w:val="33344C8B"/>
    <w:rsid w:val="34C7744F"/>
    <w:rsid w:val="35233A8C"/>
    <w:rsid w:val="3550383A"/>
    <w:rsid w:val="36AA5135"/>
    <w:rsid w:val="36BE0DA7"/>
    <w:rsid w:val="376B6AA6"/>
    <w:rsid w:val="376D39B2"/>
    <w:rsid w:val="37E16F03"/>
    <w:rsid w:val="37F53A3B"/>
    <w:rsid w:val="38D469F0"/>
    <w:rsid w:val="38F78389"/>
    <w:rsid w:val="39285B75"/>
    <w:rsid w:val="397BAF1F"/>
    <w:rsid w:val="39E7B272"/>
    <w:rsid w:val="39F7642F"/>
    <w:rsid w:val="39FF7B37"/>
    <w:rsid w:val="3A0F6C0A"/>
    <w:rsid w:val="3AAB316E"/>
    <w:rsid w:val="3AB79AF3"/>
    <w:rsid w:val="3AFDCB77"/>
    <w:rsid w:val="3B642B0A"/>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5E2CEA"/>
    <w:rsid w:val="3F8F79EA"/>
    <w:rsid w:val="3FBE5714"/>
    <w:rsid w:val="3FDD8615"/>
    <w:rsid w:val="3FDFB2FF"/>
    <w:rsid w:val="3FF4CAE0"/>
    <w:rsid w:val="3FF75FAF"/>
    <w:rsid w:val="3FF7B227"/>
    <w:rsid w:val="40F7482E"/>
    <w:rsid w:val="41064B67"/>
    <w:rsid w:val="418F2D37"/>
    <w:rsid w:val="41B62CE6"/>
    <w:rsid w:val="42D90111"/>
    <w:rsid w:val="44E268DA"/>
    <w:rsid w:val="45405C18"/>
    <w:rsid w:val="456F7FE0"/>
    <w:rsid w:val="457F4F6B"/>
    <w:rsid w:val="467A6ABB"/>
    <w:rsid w:val="46D84B93"/>
    <w:rsid w:val="46F2463E"/>
    <w:rsid w:val="4737FB58"/>
    <w:rsid w:val="47682582"/>
    <w:rsid w:val="477474D6"/>
    <w:rsid w:val="47B74A88"/>
    <w:rsid w:val="47ECCB02"/>
    <w:rsid w:val="47FA6A3F"/>
    <w:rsid w:val="49247DAA"/>
    <w:rsid w:val="494033E6"/>
    <w:rsid w:val="497B4C44"/>
    <w:rsid w:val="498E578A"/>
    <w:rsid w:val="49D7AE48"/>
    <w:rsid w:val="4A3F6C7E"/>
    <w:rsid w:val="4A627F82"/>
    <w:rsid w:val="4B0E749A"/>
    <w:rsid w:val="4B20000A"/>
    <w:rsid w:val="4B4F25DA"/>
    <w:rsid w:val="4BBB4781"/>
    <w:rsid w:val="4BD709A5"/>
    <w:rsid w:val="4BDD9BFF"/>
    <w:rsid w:val="4BE068DB"/>
    <w:rsid w:val="4D577224"/>
    <w:rsid w:val="4D677180"/>
    <w:rsid w:val="4DBF1CEB"/>
    <w:rsid w:val="4DBF6A6B"/>
    <w:rsid w:val="4DF6A672"/>
    <w:rsid w:val="4E9A4B6D"/>
    <w:rsid w:val="4EA06DB3"/>
    <w:rsid w:val="4EAB630A"/>
    <w:rsid w:val="4ECE2238"/>
    <w:rsid w:val="4F7EA413"/>
    <w:rsid w:val="4FAB812F"/>
    <w:rsid w:val="4FE9BD67"/>
    <w:rsid w:val="4FEE4C07"/>
    <w:rsid w:val="4FFB052F"/>
    <w:rsid w:val="50CB6160"/>
    <w:rsid w:val="517245C9"/>
    <w:rsid w:val="51761DAD"/>
    <w:rsid w:val="518F38A4"/>
    <w:rsid w:val="523E23F9"/>
    <w:rsid w:val="52CF13BB"/>
    <w:rsid w:val="536D7777"/>
    <w:rsid w:val="53744553"/>
    <w:rsid w:val="537E6D0A"/>
    <w:rsid w:val="53AB6B88"/>
    <w:rsid w:val="53F74C96"/>
    <w:rsid w:val="54372177"/>
    <w:rsid w:val="54EA369C"/>
    <w:rsid w:val="5583522D"/>
    <w:rsid w:val="56115365"/>
    <w:rsid w:val="57BD3DD4"/>
    <w:rsid w:val="57F9CD1E"/>
    <w:rsid w:val="58924A15"/>
    <w:rsid w:val="5AF92295"/>
    <w:rsid w:val="5AF9D8E9"/>
    <w:rsid w:val="5B137A5B"/>
    <w:rsid w:val="5B2B7D39"/>
    <w:rsid w:val="5B925A35"/>
    <w:rsid w:val="5BDD38BD"/>
    <w:rsid w:val="5BDD79E6"/>
    <w:rsid w:val="5BEFC772"/>
    <w:rsid w:val="5BFF5DFC"/>
    <w:rsid w:val="5CD71FC4"/>
    <w:rsid w:val="5D1F11B5"/>
    <w:rsid w:val="5D3647F9"/>
    <w:rsid w:val="5D9B717E"/>
    <w:rsid w:val="5DA644D4"/>
    <w:rsid w:val="5DAE1B18"/>
    <w:rsid w:val="5DDB3ADB"/>
    <w:rsid w:val="5DE7D9E5"/>
    <w:rsid w:val="5ECEC941"/>
    <w:rsid w:val="5EFF8FC6"/>
    <w:rsid w:val="5F5BA39A"/>
    <w:rsid w:val="5F677ADC"/>
    <w:rsid w:val="5F7D3B79"/>
    <w:rsid w:val="5F7F4610"/>
    <w:rsid w:val="5FBF9FF3"/>
    <w:rsid w:val="5FCD4E2C"/>
    <w:rsid w:val="5FEF394A"/>
    <w:rsid w:val="5FF67715"/>
    <w:rsid w:val="61CA71D5"/>
    <w:rsid w:val="621E3FE9"/>
    <w:rsid w:val="627EE9EA"/>
    <w:rsid w:val="63B23AA5"/>
    <w:rsid w:val="641A408B"/>
    <w:rsid w:val="647F5392"/>
    <w:rsid w:val="64E322C4"/>
    <w:rsid w:val="65375E96"/>
    <w:rsid w:val="65856339"/>
    <w:rsid w:val="65C50841"/>
    <w:rsid w:val="65FB93B9"/>
    <w:rsid w:val="6633C463"/>
    <w:rsid w:val="67D55B77"/>
    <w:rsid w:val="67D62108"/>
    <w:rsid w:val="67EE7F84"/>
    <w:rsid w:val="686F5F53"/>
    <w:rsid w:val="693C3397"/>
    <w:rsid w:val="6A6A5B69"/>
    <w:rsid w:val="6AFFCEAF"/>
    <w:rsid w:val="6B96E9E6"/>
    <w:rsid w:val="6BA946CA"/>
    <w:rsid w:val="6BCE57B5"/>
    <w:rsid w:val="6BFEA4DB"/>
    <w:rsid w:val="6BFFB662"/>
    <w:rsid w:val="6C4A05C8"/>
    <w:rsid w:val="6CFF4FB8"/>
    <w:rsid w:val="6D6BD6E0"/>
    <w:rsid w:val="6D77E73C"/>
    <w:rsid w:val="6DBF5E93"/>
    <w:rsid w:val="6DFF077E"/>
    <w:rsid w:val="6E6D649A"/>
    <w:rsid w:val="6E7E3605"/>
    <w:rsid w:val="6E7FDCC7"/>
    <w:rsid w:val="6ED6A62E"/>
    <w:rsid w:val="6EE00B15"/>
    <w:rsid w:val="6EE737B2"/>
    <w:rsid w:val="6EEB2329"/>
    <w:rsid w:val="6EECE67A"/>
    <w:rsid w:val="6F6F90A8"/>
    <w:rsid w:val="6F6FB3EB"/>
    <w:rsid w:val="6F8133B0"/>
    <w:rsid w:val="6F8731EA"/>
    <w:rsid w:val="6FBC2ADD"/>
    <w:rsid w:val="6FD57C00"/>
    <w:rsid w:val="6FEFFFD8"/>
    <w:rsid w:val="6FF5CC65"/>
    <w:rsid w:val="6FFB47EC"/>
    <w:rsid w:val="6FFD47DB"/>
    <w:rsid w:val="6FFF034A"/>
    <w:rsid w:val="712A28F1"/>
    <w:rsid w:val="715C0E4B"/>
    <w:rsid w:val="71FFD401"/>
    <w:rsid w:val="72233669"/>
    <w:rsid w:val="72734D90"/>
    <w:rsid w:val="7332FE48"/>
    <w:rsid w:val="73AD73D5"/>
    <w:rsid w:val="73B6EB34"/>
    <w:rsid w:val="73C2157B"/>
    <w:rsid w:val="73FA497D"/>
    <w:rsid w:val="744731E5"/>
    <w:rsid w:val="74BBD01D"/>
    <w:rsid w:val="74C358B4"/>
    <w:rsid w:val="74ED5379"/>
    <w:rsid w:val="751D56B2"/>
    <w:rsid w:val="75605252"/>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9460C6"/>
    <w:rsid w:val="78E22996"/>
    <w:rsid w:val="797E3A6C"/>
    <w:rsid w:val="79CF70E2"/>
    <w:rsid w:val="79D7FD79"/>
    <w:rsid w:val="79E75806"/>
    <w:rsid w:val="79EE5BA4"/>
    <w:rsid w:val="7A641148"/>
    <w:rsid w:val="7A6F8BF5"/>
    <w:rsid w:val="7A894339"/>
    <w:rsid w:val="7AB75ECF"/>
    <w:rsid w:val="7ACF82B5"/>
    <w:rsid w:val="7AFF28C9"/>
    <w:rsid w:val="7AFF72A0"/>
    <w:rsid w:val="7AFF7572"/>
    <w:rsid w:val="7B0613FD"/>
    <w:rsid w:val="7B0E2F99"/>
    <w:rsid w:val="7B6C7DFB"/>
    <w:rsid w:val="7B7D76A7"/>
    <w:rsid w:val="7BAE2FE2"/>
    <w:rsid w:val="7BAF6951"/>
    <w:rsid w:val="7BBB027A"/>
    <w:rsid w:val="7BBD5280"/>
    <w:rsid w:val="7BBFBED0"/>
    <w:rsid w:val="7BC3E394"/>
    <w:rsid w:val="7BF3FE4C"/>
    <w:rsid w:val="7BFB5035"/>
    <w:rsid w:val="7BFDE17E"/>
    <w:rsid w:val="7C9D28B9"/>
    <w:rsid w:val="7CBFC87B"/>
    <w:rsid w:val="7CCF152D"/>
    <w:rsid w:val="7CFE0F48"/>
    <w:rsid w:val="7D3DE31C"/>
    <w:rsid w:val="7D7EC23E"/>
    <w:rsid w:val="7D7F8A13"/>
    <w:rsid w:val="7DB10D5A"/>
    <w:rsid w:val="7DB92E9A"/>
    <w:rsid w:val="7DBBCB01"/>
    <w:rsid w:val="7DC765D0"/>
    <w:rsid w:val="7DDB0EE0"/>
    <w:rsid w:val="7DFF51D8"/>
    <w:rsid w:val="7E634199"/>
    <w:rsid w:val="7E8ADEBF"/>
    <w:rsid w:val="7EB9529E"/>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Quote"/>
    <w:basedOn w:val="1"/>
    <w:next w:val="1"/>
    <w:qFormat/>
    <w:uiPriority w:val="29"/>
    <w:rPr>
      <w:i/>
      <w:iCs/>
      <w:color w:val="000000"/>
    </w:rPr>
  </w:style>
  <w:style w:type="paragraph" w:styleId="6">
    <w:name w:val="annotation text"/>
    <w:basedOn w:val="1"/>
    <w:semiHidden/>
    <w:unhideWhenUsed/>
    <w:qFormat/>
    <w:uiPriority w:val="99"/>
    <w:pPr>
      <w:jc w:val="left"/>
    </w:p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99"/>
    <w:pPr>
      <w:spacing w:before="240" w:after="60"/>
      <w:jc w:val="center"/>
      <w:outlineLvl w:val="0"/>
    </w:pPr>
    <w:rPr>
      <w:rFonts w:ascii="Arial" w:hAnsi="Arial" w:cs="Arial"/>
      <w:b/>
      <w:bCs/>
      <w:sz w:val="32"/>
      <w:szCs w:val="32"/>
    </w:rPr>
  </w:style>
  <w:style w:type="paragraph" w:styleId="16">
    <w:name w:val="Body Text First Indent 2"/>
    <w:basedOn w:val="8"/>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80914b-3314-42c4-9e33-9ed6f64ca79b}"/>
        <w:style w:val=""/>
        <w:category>
          <w:name w:val="常规"/>
          <w:gallery w:val="placeholder"/>
        </w:category>
        <w:types>
          <w:type w:val="bbPlcHdr"/>
        </w:types>
        <w:behaviors>
          <w:behavior w:val="content"/>
        </w:behaviors>
        <w:description w:val=""/>
        <w:guid w:val="{7480914b-3314-42c4-9e33-9ed6f64ca79b}"/>
      </w:docPartPr>
      <w:docPartBody>
        <w:p w14:paraId="7D736F60">
          <w:r>
            <w:rPr>
              <w:color w:val="808080"/>
            </w:rPr>
            <w:t>单击此处输入文字。</w:t>
          </w:r>
        </w:p>
      </w:docPartBody>
    </w:docPart>
    <w:docPart>
      <w:docPartPr>
        <w:name w:val="{5dad3883-1ea1-4bf1-85e7-3fa70dac14b6}"/>
        <w:style w:val=""/>
        <w:category>
          <w:name w:val="常规"/>
          <w:gallery w:val="placeholder"/>
        </w:category>
        <w:types>
          <w:type w:val="bbPlcHdr"/>
        </w:types>
        <w:behaviors>
          <w:behavior w:val="content"/>
        </w:behaviors>
        <w:description w:val=""/>
        <w:guid w:val="{5dad3883-1ea1-4bf1-85e7-3fa70dac14b6}"/>
      </w:docPartPr>
      <w:docPartBody>
        <w:p w14:paraId="146F0643">
          <w:r>
            <w:rPr>
              <w:color w:val="808080"/>
            </w:rPr>
            <w:t>单击此处输入文字。</w:t>
          </w:r>
        </w:p>
      </w:docPartBody>
    </w:docPart>
    <w:docPart>
      <w:docPartPr>
        <w:name w:val="{2272f958-c633-43ee-bc49-ace855866b00}"/>
        <w:style w:val=""/>
        <w:category>
          <w:name w:val="常规"/>
          <w:gallery w:val="placeholder"/>
        </w:category>
        <w:types>
          <w:type w:val="bbPlcHdr"/>
        </w:types>
        <w:behaviors>
          <w:behavior w:val="content"/>
        </w:behaviors>
        <w:description w:val=""/>
        <w:guid w:val="{2272f958-c633-43ee-bc49-ace855866b00}"/>
      </w:docPartPr>
      <w:docPartBody>
        <w:p w14:paraId="73ACFB26">
          <w:r>
            <w:rPr>
              <w:color w:val="808080"/>
            </w:rPr>
            <w:t>单击此处输入文字。</w:t>
          </w:r>
        </w:p>
      </w:docPartBody>
    </w:docPart>
    <w:docPart>
      <w:docPartPr>
        <w:name w:val="{734b6732-346c-4689-b924-5ee025b728fd}"/>
        <w:style w:val=""/>
        <w:category>
          <w:name w:val="常规"/>
          <w:gallery w:val="placeholder"/>
        </w:category>
        <w:types>
          <w:type w:val="bbPlcHdr"/>
        </w:types>
        <w:behaviors>
          <w:behavior w:val="content"/>
        </w:behaviors>
        <w:description w:val=""/>
        <w:guid w:val="{734b6732-346c-4689-b924-5ee025b728fd}"/>
      </w:docPartPr>
      <w:docPartBody>
        <w:p w14:paraId="57A2F3B1">
          <w:r>
            <w:rPr>
              <w:color w:val="808080"/>
            </w:rPr>
            <w:t>单击此处输入文字。</w:t>
          </w:r>
        </w:p>
      </w:docPartBody>
    </w:docPart>
    <w:docPart>
      <w:docPartPr>
        <w:name w:val="{d9de7cd7-58a0-4fe9-bc98-0eb5388527b2}"/>
        <w:style w:val=""/>
        <w:category>
          <w:name w:val="常规"/>
          <w:gallery w:val="placeholder"/>
        </w:category>
        <w:types>
          <w:type w:val="bbPlcHdr"/>
        </w:types>
        <w:behaviors>
          <w:behavior w:val="content"/>
        </w:behaviors>
        <w:description w:val=""/>
        <w:guid w:val="{d9de7cd7-58a0-4fe9-bc98-0eb5388527b2}"/>
      </w:docPartPr>
      <w:docPartBody>
        <w:p w14:paraId="09F4DCF7">
          <w:r>
            <w:rPr>
              <w:color w:val="808080"/>
            </w:rPr>
            <w:t>单击此处输入文字。</w:t>
          </w:r>
        </w:p>
      </w:docPartBody>
    </w:docPart>
    <w:docPart>
      <w:docPartPr>
        <w:name w:val="{8b75882b-bb1b-41a4-b315-9ca6a5ea1884}"/>
        <w:style w:val=""/>
        <w:category>
          <w:name w:val="常规"/>
          <w:gallery w:val="placeholder"/>
        </w:category>
        <w:types>
          <w:type w:val="bbPlcHdr"/>
        </w:types>
        <w:behaviors>
          <w:behavior w:val="content"/>
        </w:behaviors>
        <w:description w:val=""/>
        <w:guid w:val="{8b75882b-bb1b-41a4-b315-9ca6a5ea1884}"/>
      </w:docPartPr>
      <w:docPartBody>
        <w:p w14:paraId="18D3E990">
          <w:r>
            <w:rPr>
              <w:color w:val="808080"/>
            </w:rPr>
            <w:t>单击此处输入文字。</w:t>
          </w:r>
        </w:p>
      </w:docPartBody>
    </w:docPart>
    <w:docPart>
      <w:docPartPr>
        <w:name w:val="{b7f1a40d-9afe-4e47-8702-7726ef24eca6}"/>
        <w:style w:val=""/>
        <w:category>
          <w:name w:val="常规"/>
          <w:gallery w:val="placeholder"/>
        </w:category>
        <w:types>
          <w:type w:val="bbPlcHdr"/>
        </w:types>
        <w:behaviors>
          <w:behavior w:val="content"/>
        </w:behaviors>
        <w:description w:val=""/>
        <w:guid w:val="{b7f1a40d-9afe-4e47-8702-7726ef24eca6}"/>
      </w:docPartPr>
      <w:docPartBody>
        <w:p w14:paraId="266BD6FA">
          <w:r>
            <w:rPr>
              <w:color w:val="808080"/>
            </w:rPr>
            <w:t>单击此处输入文字。</w:t>
          </w:r>
        </w:p>
      </w:docPartBody>
    </w:docPart>
    <w:docPart>
      <w:docPartPr>
        <w:name w:val="{c78e22ef-25fe-4c8c-9d56-7a059acb1de7}"/>
        <w:style w:val=""/>
        <w:category>
          <w:name w:val="常规"/>
          <w:gallery w:val="placeholder"/>
        </w:category>
        <w:types>
          <w:type w:val="bbPlcHdr"/>
        </w:types>
        <w:behaviors>
          <w:behavior w:val="content"/>
        </w:behaviors>
        <w:description w:val=""/>
        <w:guid w:val="{c78e22ef-25fe-4c8c-9d56-7a059acb1de7}"/>
      </w:docPartPr>
      <w:docPartBody>
        <w:p w14:paraId="38B440A4">
          <w:r>
            <w:rPr>
              <w:color w:val="808080"/>
            </w:rPr>
            <w:t>单击此处输入文字。</w:t>
          </w:r>
        </w:p>
      </w:docPartBody>
    </w:docPart>
    <w:docPart>
      <w:docPartPr>
        <w:name w:val="{59519bfd-452a-44e5-9875-ded905d3d61a}"/>
        <w:style w:val=""/>
        <w:category>
          <w:name w:val="常规"/>
          <w:gallery w:val="placeholder"/>
        </w:category>
        <w:types>
          <w:type w:val="bbPlcHdr"/>
        </w:types>
        <w:behaviors>
          <w:behavior w:val="content"/>
        </w:behaviors>
        <w:description w:val=""/>
        <w:guid w:val="{59519bfd-452a-44e5-9875-ded905d3d61a}"/>
      </w:docPartPr>
      <w:docPartBody>
        <w:p w14:paraId="7F1B20C8">
          <w:r>
            <w:rPr>
              <w:color w:val="808080"/>
            </w:rPr>
            <w:t>单击此处输入文字。</w:t>
          </w:r>
        </w:p>
      </w:docPartBody>
    </w:docPart>
    <w:docPart>
      <w:docPartPr>
        <w:name w:val="{4e3f507e-dc56-4a8d-a0fc-e08e33ab940c}"/>
        <w:style w:val=""/>
        <w:category>
          <w:name w:val="常规"/>
          <w:gallery w:val="placeholder"/>
        </w:category>
        <w:types>
          <w:type w:val="bbPlcHdr"/>
        </w:types>
        <w:behaviors>
          <w:behavior w:val="content"/>
        </w:behaviors>
        <w:description w:val=""/>
        <w:guid w:val="{4e3f507e-dc56-4a8d-a0fc-e08e33ab940c}"/>
      </w:docPartPr>
      <w:docPartBody>
        <w:p w14:paraId="319DD58F">
          <w:r>
            <w:rPr>
              <w:color w:val="808080"/>
            </w:rPr>
            <w:t>单击此处输入文字。</w:t>
          </w:r>
        </w:p>
      </w:docPartBody>
    </w:docPart>
    <w:docPart>
      <w:docPartPr>
        <w:name w:val="{8f611492-0d13-43f5-8919-c5805a65a6ca}"/>
        <w:style w:val=""/>
        <w:category>
          <w:name w:val="常规"/>
          <w:gallery w:val="placeholder"/>
        </w:category>
        <w:types>
          <w:type w:val="bbPlcHdr"/>
        </w:types>
        <w:behaviors>
          <w:behavior w:val="content"/>
        </w:behaviors>
        <w:description w:val=""/>
        <w:guid w:val="{8f611492-0d13-43f5-8919-c5805a65a6ca}"/>
      </w:docPartPr>
      <w:docPartBody>
        <w:p w14:paraId="4A6A63B6">
          <w:r>
            <w:rPr>
              <w:color w:val="808080"/>
            </w:rPr>
            <w:t>单击此处输入文字。</w:t>
          </w:r>
        </w:p>
      </w:docPartBody>
    </w:docPart>
    <w:docPart>
      <w:docPartPr>
        <w:name w:val="{9e27c22c-f6b3-479e-b5ac-e89d3aea44f3}"/>
        <w:style w:val=""/>
        <w:category>
          <w:name w:val="常规"/>
          <w:gallery w:val="placeholder"/>
        </w:category>
        <w:types>
          <w:type w:val="bbPlcHdr"/>
        </w:types>
        <w:behaviors>
          <w:behavior w:val="content"/>
        </w:behaviors>
        <w:description w:val=""/>
        <w:guid w:val="{9e27c22c-f6b3-479e-b5ac-e89d3aea44f3}"/>
      </w:docPartPr>
      <w:docPartBody>
        <w:p w14:paraId="7AF6B05F">
          <w:r>
            <w:rPr>
              <w:color w:val="808080"/>
            </w:rPr>
            <w:t>单击此处输入文字。</w:t>
          </w:r>
        </w:p>
      </w:docPartBody>
    </w:docPart>
    <w:docPart>
      <w:docPartPr>
        <w:name w:val="{efd8704d-389b-4510-8f54-4781ad3635da}"/>
        <w:style w:val=""/>
        <w:category>
          <w:name w:val="常规"/>
          <w:gallery w:val="placeholder"/>
        </w:category>
        <w:types>
          <w:type w:val="bbPlcHdr"/>
        </w:types>
        <w:behaviors>
          <w:behavior w:val="content"/>
        </w:behaviors>
        <w:description w:val=""/>
        <w:guid w:val="{efd8704d-389b-4510-8f54-4781ad3635da}"/>
      </w:docPartPr>
      <w:docPartBody>
        <w:p w14:paraId="28D86219">
          <w:r>
            <w:rPr>
              <w:color w:val="808080"/>
            </w:rPr>
            <w:t>单击此处输入文字。</w:t>
          </w:r>
        </w:p>
      </w:docPartBody>
    </w:docPart>
    <w:docPart>
      <w:docPartPr>
        <w:name w:val="{c086ffe8-1250-440f-a44e-9bcb79325900}"/>
        <w:style w:val=""/>
        <w:category>
          <w:name w:val="常规"/>
          <w:gallery w:val="placeholder"/>
        </w:category>
        <w:types>
          <w:type w:val="bbPlcHdr"/>
        </w:types>
        <w:behaviors>
          <w:behavior w:val="content"/>
        </w:behaviors>
        <w:description w:val=""/>
        <w:guid w:val="{c086ffe8-1250-440f-a44e-9bcb79325900}"/>
      </w:docPartPr>
      <w:docPartBody>
        <w:p w14:paraId="401C8530">
          <w:r>
            <w:rPr>
              <w:color w:val="808080"/>
            </w:rPr>
            <w:t>单击此处输入文字。</w:t>
          </w:r>
        </w:p>
      </w:docPartBody>
    </w:docPart>
    <w:docPart>
      <w:docPartPr>
        <w:name w:val="{1402391d-583f-4ef2-89b6-15a9015e6826}"/>
        <w:style w:val=""/>
        <w:category>
          <w:name w:val="常规"/>
          <w:gallery w:val="placeholder"/>
        </w:category>
        <w:types>
          <w:type w:val="bbPlcHdr"/>
        </w:types>
        <w:behaviors>
          <w:behavior w:val="content"/>
        </w:behaviors>
        <w:description w:val=""/>
        <w:guid w:val="{1402391d-583f-4ef2-89b6-15a9015e6826}"/>
      </w:docPartPr>
      <w:docPartBody>
        <w:p w14:paraId="6D45BCD7">
          <w:r>
            <w:rPr>
              <w:color w:val="808080"/>
            </w:rPr>
            <w:t>单击此处输入文字。</w:t>
          </w:r>
        </w:p>
      </w:docPartBody>
    </w:docPart>
    <w:docPart>
      <w:docPartPr>
        <w:name w:val="{7dd19bb1-4f20-40ca-9602-04317ef330c2}"/>
        <w:style w:val=""/>
        <w:category>
          <w:name w:val="常规"/>
          <w:gallery w:val="placeholder"/>
        </w:category>
        <w:types>
          <w:type w:val="bbPlcHdr"/>
        </w:types>
        <w:behaviors>
          <w:behavior w:val="content"/>
        </w:behaviors>
        <w:description w:val=""/>
        <w:guid w:val="{7dd19bb1-4f20-40ca-9602-04317ef330c2}"/>
      </w:docPartPr>
      <w:docPartBody>
        <w:p w14:paraId="7AEA74EF">
          <w:r>
            <w:rPr>
              <w:color w:val="808080"/>
            </w:rPr>
            <w:t>单击此处输入文字。</w:t>
          </w:r>
        </w:p>
      </w:docPartBody>
    </w:docPart>
    <w:docPart>
      <w:docPartPr>
        <w:name w:val="{edbf2f4e-5a2b-4600-9dae-3f482d0a682c}"/>
        <w:style w:val=""/>
        <w:category>
          <w:name w:val="常规"/>
          <w:gallery w:val="placeholder"/>
        </w:category>
        <w:types>
          <w:type w:val="bbPlcHdr"/>
        </w:types>
        <w:behaviors>
          <w:behavior w:val="content"/>
        </w:behaviors>
        <w:description w:val=""/>
        <w:guid w:val="{edbf2f4e-5a2b-4600-9dae-3f482d0a682c}"/>
      </w:docPartPr>
      <w:docPartBody>
        <w:p w14:paraId="59646769">
          <w:r>
            <w:rPr>
              <w:color w:val="808080"/>
            </w:rPr>
            <w:t>单击此处输入文字。</w:t>
          </w:r>
        </w:p>
      </w:docPartBody>
    </w:docPart>
    <w:docPart>
      <w:docPartPr>
        <w:name w:val="{38c103fa-6ad4-4fc4-97e7-c75a9ce154a7}"/>
        <w:style w:val=""/>
        <w:category>
          <w:name w:val="常规"/>
          <w:gallery w:val="placeholder"/>
        </w:category>
        <w:types>
          <w:type w:val="bbPlcHdr"/>
        </w:types>
        <w:behaviors>
          <w:behavior w:val="content"/>
        </w:behaviors>
        <w:description w:val=""/>
        <w:guid w:val="{38c103fa-6ad4-4fc4-97e7-c75a9ce154a7}"/>
      </w:docPartPr>
      <w:docPartBody>
        <w:p w14:paraId="1424E8B3">
          <w:r>
            <w:rPr>
              <w:color w:val="808080"/>
            </w:rPr>
            <w:t>单击此处输入文字。</w:t>
          </w:r>
        </w:p>
      </w:docPartBody>
    </w:docPart>
    <w:docPart>
      <w:docPartPr>
        <w:name w:val="{97d4477a-ee1e-4753-ae73-99d11da91be5}"/>
        <w:style w:val=""/>
        <w:category>
          <w:name w:val="常规"/>
          <w:gallery w:val="placeholder"/>
        </w:category>
        <w:types>
          <w:type w:val="bbPlcHdr"/>
        </w:types>
        <w:behaviors>
          <w:behavior w:val="content"/>
        </w:behaviors>
        <w:description w:val=""/>
        <w:guid w:val="{97d4477a-ee1e-4753-ae73-99d11da91be5}"/>
      </w:docPartPr>
      <w:docPartBody>
        <w:p w14:paraId="65B65814">
          <w:r>
            <w:rPr>
              <w:color w:val="808080"/>
            </w:rPr>
            <w:t>单击此处输入文字。</w:t>
          </w:r>
        </w:p>
      </w:docPartBody>
    </w:docPart>
    <w:docPart>
      <w:docPartPr>
        <w:name w:val="{f8c09f2d-b070-4bde-bc33-b29a85737d02}"/>
        <w:style w:val=""/>
        <w:category>
          <w:name w:val="常规"/>
          <w:gallery w:val="placeholder"/>
        </w:category>
        <w:types>
          <w:type w:val="bbPlcHdr"/>
        </w:types>
        <w:behaviors>
          <w:behavior w:val="content"/>
        </w:behaviors>
        <w:description w:val=""/>
        <w:guid w:val="{f8c09f2d-b070-4bde-bc33-b29a85737d02}"/>
      </w:docPartPr>
      <w:docPartBody>
        <w:p w14:paraId="52F27E3D">
          <w:r>
            <w:rPr>
              <w:color w:val="808080"/>
            </w:rPr>
            <w:t>单击此处输入文字。</w:t>
          </w:r>
        </w:p>
      </w:docPartBody>
    </w:docPart>
    <w:docPart>
      <w:docPartPr>
        <w:name w:val="{2b7013d2-f9d6-42b1-bb0d-3dddc3a61d12}"/>
        <w:style w:val=""/>
        <w:category>
          <w:name w:val="常规"/>
          <w:gallery w:val="placeholder"/>
        </w:category>
        <w:types>
          <w:type w:val="bbPlcHdr"/>
        </w:types>
        <w:behaviors>
          <w:behavior w:val="content"/>
        </w:behaviors>
        <w:description w:val=""/>
        <w:guid w:val="{2b7013d2-f9d6-42b1-bb0d-3dddc3a61d12}"/>
      </w:docPartPr>
      <w:docPartBody>
        <w:p w14:paraId="12960679">
          <w:r>
            <w:rPr>
              <w:color w:val="808080"/>
            </w:rPr>
            <w:t>单击此处输入文字。</w:t>
          </w:r>
        </w:p>
      </w:docPartBody>
    </w:docPart>
    <w:docPart>
      <w:docPartPr>
        <w:name w:val="{c010f8b2-420b-4409-ba3d-a810247e7a7a}"/>
        <w:style w:val=""/>
        <w:category>
          <w:name w:val="常规"/>
          <w:gallery w:val="placeholder"/>
        </w:category>
        <w:types>
          <w:type w:val="bbPlcHdr"/>
        </w:types>
        <w:behaviors>
          <w:behavior w:val="content"/>
        </w:behaviors>
        <w:description w:val=""/>
        <w:guid w:val="{c010f8b2-420b-4409-ba3d-a810247e7a7a}"/>
      </w:docPartPr>
      <w:docPartBody>
        <w:p w14:paraId="73EAAAED">
          <w:r>
            <w:rPr>
              <w:color w:val="808080"/>
            </w:rPr>
            <w:t>单击此处输入文字。</w:t>
          </w:r>
        </w:p>
      </w:docPartBody>
    </w:docPart>
    <w:docPart>
      <w:docPartPr>
        <w:name w:val="{d6420704-a872-43d8-b379-f14afc96c43c}"/>
        <w:style w:val=""/>
        <w:category>
          <w:name w:val="常规"/>
          <w:gallery w:val="placeholder"/>
        </w:category>
        <w:types>
          <w:type w:val="bbPlcHdr"/>
        </w:types>
        <w:behaviors>
          <w:behavior w:val="content"/>
        </w:behaviors>
        <w:description w:val=""/>
        <w:guid w:val="{d6420704-a872-43d8-b379-f14afc96c43c}"/>
      </w:docPartPr>
      <w:docPartBody>
        <w:p w14:paraId="70DC4F39">
          <w:r>
            <w:rPr>
              <w:color w:val="808080"/>
            </w:rPr>
            <w:t>单击此处输入文字。</w:t>
          </w:r>
        </w:p>
      </w:docPartBody>
    </w:docPart>
    <w:docPart>
      <w:docPartPr>
        <w:name w:val="{13a8365f-2dfd-4982-9ad5-172b3eaee580}"/>
        <w:style w:val=""/>
        <w:category>
          <w:name w:val="常规"/>
          <w:gallery w:val="placeholder"/>
        </w:category>
        <w:types>
          <w:type w:val="bbPlcHdr"/>
        </w:types>
        <w:behaviors>
          <w:behavior w:val="content"/>
        </w:behaviors>
        <w:description w:val=""/>
        <w:guid w:val="{13a8365f-2dfd-4982-9ad5-172b3eaee580}"/>
      </w:docPartPr>
      <w:docPartBody>
        <w:p w14:paraId="45544493">
          <w:r>
            <w:rPr>
              <w:color w:val="808080"/>
            </w:rPr>
            <w:t>单击此处输入文字。</w:t>
          </w:r>
        </w:p>
      </w:docPartBody>
    </w:docPart>
    <w:docPart>
      <w:docPartPr>
        <w:name w:val="{1be4631f-dadc-4d90-9a1e-c6d85314abd6}"/>
        <w:style w:val=""/>
        <w:category>
          <w:name w:val="常规"/>
          <w:gallery w:val="placeholder"/>
        </w:category>
        <w:types>
          <w:type w:val="bbPlcHdr"/>
        </w:types>
        <w:behaviors>
          <w:behavior w:val="content"/>
        </w:behaviors>
        <w:description w:val=""/>
        <w:guid w:val="{1be4631f-dadc-4d90-9a1e-c6d85314abd6}"/>
      </w:docPartPr>
      <w:docPartBody>
        <w:p w14:paraId="4FFFFCBE">
          <w:r>
            <w:rPr>
              <w:color w:val="808080"/>
            </w:rPr>
            <w:t>单击此处输入文字。</w:t>
          </w:r>
        </w:p>
      </w:docPartBody>
    </w:docPart>
    <w:docPart>
      <w:docPartPr>
        <w:name w:val="{5a77ab0c-8383-47a5-9e4b-11552905fba1}"/>
        <w:style w:val=""/>
        <w:category>
          <w:name w:val="常规"/>
          <w:gallery w:val="placeholder"/>
        </w:category>
        <w:types>
          <w:type w:val="bbPlcHdr"/>
        </w:types>
        <w:behaviors>
          <w:behavior w:val="content"/>
        </w:behaviors>
        <w:description w:val=""/>
        <w:guid w:val="{5a77ab0c-8383-47a5-9e4b-11552905fba1}"/>
      </w:docPartPr>
      <w:docPartBody>
        <w:p w14:paraId="00FE025E">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10504</Words>
  <Characters>11385</Characters>
  <Lines>72</Lines>
  <Paragraphs>20</Paragraphs>
  <TotalTime>5</TotalTime>
  <ScaleCrop>false</ScaleCrop>
  <LinksUpToDate>false</LinksUpToDate>
  <CharactersWithSpaces>13782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2024-09-27T06:07:00Z</cp:lastPrinted>
  <dcterms:modified xsi:type="dcterms:W3CDTF">2024-10-26T01:26:09Z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D3B371DFB827422C9597D9BCA52915C2_12</vt:lpwstr>
  </property>
</Properties>
</file>