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5CF2E">
      <w:pPr>
        <w:jc w:val="center"/>
        <w:rPr>
          <w:rFonts w:ascii="隶书" w:eastAsia="隶书"/>
          <w:color w:val="auto"/>
          <w:sz w:val="44"/>
          <w:szCs w:val="44"/>
        </w:rPr>
      </w:pPr>
      <w:r>
        <w:rPr>
          <w:rFonts w:hint="eastAsia" w:ascii="隶书" w:eastAsia="隶书"/>
          <w:color w:val="auto"/>
          <w:sz w:val="44"/>
          <w:szCs w:val="44"/>
        </w:rPr>
        <w:t>峨边彝族自治县</w:t>
      </w:r>
    </w:p>
    <w:p w14:paraId="0828DAAB">
      <w:pPr>
        <w:jc w:val="center"/>
        <w:rPr>
          <w:rFonts w:ascii="隶书" w:eastAsia="隶书"/>
          <w:color w:val="auto"/>
          <w:sz w:val="44"/>
          <w:szCs w:val="44"/>
        </w:rPr>
      </w:pPr>
      <w:r>
        <w:rPr>
          <w:rFonts w:hint="eastAsia" w:ascii="隶书" w:eastAsia="隶书"/>
          <w:color w:val="auto"/>
          <w:sz w:val="44"/>
          <w:szCs w:val="44"/>
        </w:rPr>
        <w:t>202</w:t>
      </w:r>
      <w:r>
        <w:rPr>
          <w:rFonts w:hint="eastAsia" w:ascii="隶书" w:eastAsia="隶书"/>
          <w:color w:val="auto"/>
          <w:sz w:val="44"/>
          <w:szCs w:val="44"/>
          <w:lang w:val="en-US" w:eastAsia="zh-CN"/>
        </w:rPr>
        <w:t>5</w:t>
      </w:r>
      <w:r>
        <w:rPr>
          <w:rFonts w:hint="eastAsia" w:ascii="隶书" w:eastAsia="隶书"/>
          <w:color w:val="auto"/>
          <w:sz w:val="44"/>
          <w:szCs w:val="44"/>
        </w:rPr>
        <w:t>年国民经济和社会发展</w:t>
      </w:r>
    </w:p>
    <w:p w14:paraId="6BC952A7">
      <w:pPr>
        <w:jc w:val="center"/>
        <w:rPr>
          <w:rFonts w:ascii="隶书" w:eastAsia="隶书"/>
          <w:color w:val="auto"/>
          <w:sz w:val="52"/>
          <w:szCs w:val="52"/>
        </w:rPr>
      </w:pPr>
      <w:r>
        <w:rPr>
          <w:rFonts w:hint="eastAsia" w:ascii="隶书" w:eastAsia="隶书"/>
          <w:color w:val="auto"/>
          <w:sz w:val="52"/>
          <w:szCs w:val="52"/>
        </w:rPr>
        <w:t>统 计 公 报</w:t>
      </w:r>
    </w:p>
    <w:p w14:paraId="676EB71B">
      <w:pPr>
        <w:spacing w:line="300" w:lineRule="auto"/>
        <w:jc w:val="center"/>
        <w:rPr>
          <w:rFonts w:ascii="楷体_GB2312" w:eastAsia="楷体_GB2312"/>
          <w:b/>
          <w:bCs/>
          <w:color w:val="auto"/>
          <w:sz w:val="28"/>
        </w:rPr>
      </w:pPr>
      <w:r>
        <w:rPr>
          <w:rFonts w:hint="eastAsia" w:ascii="楷体_GB2312" w:eastAsia="楷体_GB2312"/>
          <w:b/>
          <w:bCs/>
          <w:color w:val="auto"/>
          <w:sz w:val="28"/>
        </w:rPr>
        <w:t>峨边彝族自治县统计局</w:t>
      </w:r>
    </w:p>
    <w:p w14:paraId="4E97ABCA">
      <w:pPr>
        <w:jc w:val="center"/>
        <w:rPr>
          <w:rFonts w:ascii="楷体_GB2312" w:eastAsia="楷体_GB2312"/>
          <w:b/>
          <w:bCs/>
          <w:color w:val="auto"/>
          <w:sz w:val="28"/>
        </w:rPr>
      </w:pPr>
      <w:r>
        <w:rPr>
          <w:rFonts w:hint="eastAsia" w:ascii="楷体_GB2312" w:eastAsia="楷体_GB2312"/>
          <w:b/>
          <w:bCs/>
          <w:color w:val="auto"/>
          <w:sz w:val="28"/>
        </w:rPr>
        <w:t>202</w:t>
      </w:r>
      <w:r>
        <w:rPr>
          <w:rFonts w:hint="eastAsia" w:ascii="楷体_GB2312" w:eastAsia="楷体_GB2312"/>
          <w:b/>
          <w:bCs/>
          <w:color w:val="auto"/>
          <w:sz w:val="28"/>
          <w:lang w:val="en-US" w:eastAsia="zh-CN"/>
        </w:rPr>
        <w:t>6</w:t>
      </w:r>
      <w:r>
        <w:rPr>
          <w:rFonts w:hint="eastAsia" w:ascii="楷体_GB2312" w:eastAsia="楷体_GB2312"/>
          <w:b/>
          <w:bCs/>
          <w:color w:val="auto"/>
          <w:sz w:val="28"/>
        </w:rPr>
        <w:t>年</w:t>
      </w:r>
      <w:r>
        <w:rPr>
          <w:rFonts w:hint="eastAsia" w:ascii="楷体_GB2312" w:eastAsia="楷体_GB2312"/>
          <w:b/>
          <w:bCs/>
          <w:color w:val="auto"/>
          <w:sz w:val="28"/>
          <w:lang w:val="en-US" w:eastAsia="zh-CN"/>
        </w:rPr>
        <w:t>4</w:t>
      </w:r>
      <w:r>
        <w:rPr>
          <w:rFonts w:hint="eastAsia" w:ascii="楷体_GB2312" w:eastAsia="楷体_GB2312"/>
          <w:b/>
          <w:bCs/>
          <w:color w:val="auto"/>
          <w:sz w:val="28"/>
        </w:rPr>
        <w:t>月</w:t>
      </w:r>
      <w:r>
        <w:rPr>
          <w:rFonts w:hint="eastAsia" w:ascii="楷体_GB2312" w:eastAsia="楷体_GB2312"/>
          <w:b/>
          <w:bCs/>
          <w:color w:val="auto"/>
          <w:sz w:val="28"/>
          <w:lang w:val="en-US" w:eastAsia="zh-CN"/>
        </w:rPr>
        <w:t>1</w:t>
      </w:r>
      <w:r>
        <w:rPr>
          <w:rFonts w:hint="eastAsia" w:ascii="楷体_GB2312" w:eastAsia="楷体_GB2312"/>
          <w:b/>
          <w:bCs/>
          <w:color w:val="auto"/>
          <w:sz w:val="28"/>
        </w:rPr>
        <w:t>日</w:t>
      </w:r>
    </w:p>
    <w:p w14:paraId="5039E579">
      <w:pPr>
        <w:pStyle w:val="2"/>
        <w:spacing w:after="0" w:line="460" w:lineRule="exact"/>
        <w:ind w:firstLine="480" w:firstLineChars="200"/>
        <w:rPr>
          <w:rFonts w:ascii="仿宋_GB2312" w:hAnsi="宋体" w:eastAsia="仿宋_GB2312"/>
          <w:color w:val="auto"/>
          <w:kern w:val="0"/>
          <w:sz w:val="24"/>
        </w:rPr>
      </w:pPr>
    </w:p>
    <w:p w14:paraId="73B61F8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2025年是“十四五”规划收官之年。</w:t>
      </w:r>
      <w:r>
        <w:rPr>
          <w:rFonts w:hint="eastAsia" w:ascii="仿宋_GB2312" w:hAnsi="宋体" w:eastAsia="仿宋_GB2312"/>
          <w:color w:val="auto"/>
          <w:sz w:val="24"/>
          <w:highlight w:val="none"/>
          <w:lang w:eastAsia="zh-CN"/>
        </w:rPr>
        <w:t>全县上下坚定</w:t>
      </w:r>
      <w:r>
        <w:rPr>
          <w:rFonts w:hint="default" w:ascii="仿宋_GB2312" w:hAnsi="宋体" w:eastAsia="仿宋_GB2312"/>
          <w:color w:val="auto"/>
          <w:sz w:val="24"/>
          <w:highlight w:val="none"/>
          <w:lang w:val="en-US" w:eastAsia="zh-CN"/>
        </w:rPr>
        <w:t>以</w:t>
      </w:r>
      <w:r>
        <w:rPr>
          <w:rFonts w:hint="eastAsia" w:ascii="仿宋_GB2312" w:hAnsi="宋体" w:eastAsia="仿宋_GB2312"/>
          <w:color w:val="auto"/>
          <w:sz w:val="24"/>
          <w:highlight w:val="none"/>
        </w:rPr>
        <w:t>习近平新时代中国特色社会主义思想为指导，深入学习贯彻党的二十大和二十届历次全会精神以及习近平总书记对四川工作系列重要指示精神，围绕省市各项决策部署，紧扣县委“党建引领、三区联动、城乡融合、全面振兴”发展思路，凝心聚力、承压奋进、攻坚克难，</w:t>
      </w:r>
      <w:r>
        <w:rPr>
          <w:rFonts w:hint="eastAsia" w:ascii="仿宋_GB2312" w:hAnsi="宋体" w:eastAsia="仿宋_GB2312"/>
          <w:color w:val="auto"/>
          <w:sz w:val="24"/>
          <w:highlight w:val="none"/>
          <w:lang w:eastAsia="zh-CN"/>
        </w:rPr>
        <w:t>全力以赴拼经济搞建设，坚决应对各类风险挑战，</w:t>
      </w:r>
      <w:r>
        <w:rPr>
          <w:rFonts w:hint="eastAsia" w:ascii="仿宋_GB2312" w:hAnsi="宋体" w:eastAsia="仿宋_GB2312"/>
          <w:color w:val="auto"/>
          <w:sz w:val="24"/>
          <w:highlight w:val="none"/>
        </w:rPr>
        <w:t>经济社会发展取得新成效。</w:t>
      </w:r>
    </w:p>
    <w:p w14:paraId="7242FA7C">
      <w:pPr>
        <w:spacing w:line="460" w:lineRule="exact"/>
        <w:ind w:firstLine="480" w:firstLineChars="200"/>
        <w:rPr>
          <w:rFonts w:hint="eastAsia" w:ascii="仿宋_GB2312" w:hAnsi="宋体" w:eastAsia="仿宋_GB2312"/>
          <w:color w:val="auto"/>
          <w:sz w:val="24"/>
          <w:highlight w:val="none"/>
        </w:rPr>
      </w:pPr>
    </w:p>
    <w:p w14:paraId="77139AD0">
      <w:pPr>
        <w:spacing w:line="460" w:lineRule="exact"/>
        <w:jc w:val="both"/>
        <w:rPr>
          <w:rFonts w:hint="eastAsia" w:ascii="黑体" w:hAnsi="GulimChe" w:eastAsia="黑体"/>
          <w:color w:val="auto"/>
          <w:sz w:val="24"/>
        </w:rPr>
      </w:pPr>
    </w:p>
    <w:p w14:paraId="69560B1F">
      <w:pPr>
        <w:spacing w:line="460" w:lineRule="exact"/>
        <w:jc w:val="center"/>
        <w:rPr>
          <w:rFonts w:ascii="黑体" w:hAnsi="GulimChe" w:eastAsia="黑体"/>
          <w:color w:val="auto"/>
          <w:sz w:val="24"/>
        </w:rPr>
      </w:pPr>
      <w:r>
        <w:rPr>
          <w:rFonts w:hint="eastAsia" w:ascii="黑体" w:hAnsi="GulimChe" w:eastAsia="黑体"/>
          <w:color w:val="auto"/>
          <w:sz w:val="24"/>
        </w:rPr>
        <w:t>一、</w:t>
      </w:r>
      <w:r>
        <w:rPr>
          <w:rFonts w:hint="eastAsia" w:ascii="黑体" w:hAnsi="宋体" w:eastAsia="黑体"/>
          <w:color w:val="auto"/>
          <w:sz w:val="24"/>
        </w:rPr>
        <w:t xml:space="preserve">综  </w:t>
      </w:r>
      <w:r>
        <w:rPr>
          <w:rFonts w:hint="eastAsia" w:ascii="黑体" w:hAnsi="GulimChe" w:eastAsia="黑体"/>
          <w:color w:val="auto"/>
          <w:sz w:val="24"/>
        </w:rPr>
        <w:t>合</w:t>
      </w:r>
    </w:p>
    <w:p w14:paraId="7972A3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GulimChe" w:eastAsia="黑体"/>
          <w:color w:val="auto"/>
          <w:sz w:val="24"/>
        </w:rPr>
      </w:pPr>
    </w:p>
    <w:p w14:paraId="6626B2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olor w:val="auto"/>
          <w:sz w:val="24"/>
          <w:highlight w:val="yellow"/>
          <w:lang w:eastAsia="zh-CN"/>
        </w:rPr>
      </w:pPr>
      <w:r>
        <w:rPr>
          <w:rFonts w:hint="eastAsia" w:ascii="仿宋_GB2312" w:hAnsi="仿宋" w:eastAsia="仿宋_GB2312"/>
          <w:color w:val="auto"/>
          <w:sz w:val="24"/>
          <w:highlight w:val="none"/>
        </w:rPr>
        <w:t>年末全县总户数</w:t>
      </w:r>
      <w:r>
        <w:rPr>
          <w:rFonts w:hint="eastAsia" w:ascii="仿宋_GB2312" w:hAnsi="仿宋" w:eastAsia="仿宋_GB2312"/>
          <w:color w:val="auto"/>
          <w:sz w:val="24"/>
          <w:highlight w:val="none"/>
          <w:lang w:val="en-US" w:eastAsia="zh-CN"/>
        </w:rPr>
        <w:t>46775</w:t>
      </w:r>
      <w:r>
        <w:rPr>
          <w:rFonts w:hint="eastAsia" w:ascii="仿宋_GB2312" w:hAnsi="仿宋" w:eastAsia="仿宋_GB2312"/>
          <w:color w:val="auto"/>
          <w:sz w:val="24"/>
          <w:highlight w:val="none"/>
        </w:rPr>
        <w:t>户，户籍人口为147288人。出生人数</w:t>
      </w:r>
      <w:r>
        <w:rPr>
          <w:rFonts w:hint="eastAsia" w:ascii="仿宋_GB2312" w:hAnsi="仿宋" w:eastAsia="仿宋_GB2312"/>
          <w:color w:val="auto"/>
          <w:sz w:val="24"/>
          <w:highlight w:val="none"/>
          <w:lang w:val="en-US" w:eastAsia="zh-CN"/>
        </w:rPr>
        <w:t>1611</w:t>
      </w:r>
      <w:r>
        <w:rPr>
          <w:rFonts w:hint="eastAsia" w:ascii="仿宋_GB2312" w:hAnsi="仿宋" w:eastAsia="仿宋_GB2312"/>
          <w:color w:val="auto"/>
          <w:sz w:val="24"/>
          <w:highlight w:val="none"/>
        </w:rPr>
        <w:t>人，死亡人数</w:t>
      </w:r>
      <w:r>
        <w:rPr>
          <w:rFonts w:hint="eastAsia" w:ascii="仿宋_GB2312" w:hAnsi="仿宋" w:eastAsia="仿宋_GB2312"/>
          <w:color w:val="auto"/>
          <w:sz w:val="24"/>
          <w:highlight w:val="none"/>
          <w:lang w:val="en-US" w:eastAsia="zh-CN"/>
        </w:rPr>
        <w:t>1672</w:t>
      </w:r>
      <w:r>
        <w:rPr>
          <w:rFonts w:hint="eastAsia" w:ascii="仿宋_GB2312" w:hAnsi="仿宋" w:eastAsia="仿宋_GB2312"/>
          <w:color w:val="auto"/>
          <w:sz w:val="24"/>
          <w:highlight w:val="none"/>
        </w:rPr>
        <w:t>人，人口出生率</w:t>
      </w:r>
      <w:r>
        <w:rPr>
          <w:rFonts w:hint="eastAsia" w:ascii="仿宋_GB2312" w:hAnsi="仿宋" w:eastAsia="仿宋_GB2312"/>
          <w:color w:val="auto"/>
          <w:sz w:val="24"/>
          <w:highlight w:val="none"/>
          <w:lang w:val="en-US" w:eastAsia="zh-CN"/>
        </w:rPr>
        <w:t>10.9</w:t>
      </w:r>
      <w:r>
        <w:rPr>
          <w:rFonts w:hint="eastAsia" w:ascii="仿宋_GB2312" w:hAnsi="仿宋" w:eastAsia="仿宋_GB2312"/>
          <w:color w:val="auto"/>
          <w:sz w:val="24"/>
          <w:highlight w:val="none"/>
        </w:rPr>
        <w:t>‰，死亡率为</w:t>
      </w:r>
      <w:r>
        <w:rPr>
          <w:rFonts w:hint="eastAsia" w:ascii="仿宋_GB2312" w:hAnsi="仿宋" w:eastAsia="仿宋_GB2312"/>
          <w:color w:val="auto"/>
          <w:sz w:val="24"/>
          <w:highlight w:val="none"/>
          <w:lang w:val="en-US" w:eastAsia="zh-CN"/>
        </w:rPr>
        <w:t>11.4</w:t>
      </w:r>
      <w:r>
        <w:rPr>
          <w:rFonts w:hint="eastAsia" w:ascii="仿宋_GB2312" w:hAnsi="仿宋" w:eastAsia="仿宋_GB2312"/>
          <w:color w:val="auto"/>
          <w:sz w:val="24"/>
          <w:highlight w:val="none"/>
        </w:rPr>
        <w:t>‰，自然增长率为</w:t>
      </w:r>
      <w:r>
        <w:rPr>
          <w:rFonts w:hint="eastAsia" w:ascii="仿宋_GB2312" w:hAnsi="仿宋" w:eastAsia="仿宋_GB2312"/>
          <w:color w:val="auto"/>
          <w:sz w:val="24"/>
          <w:highlight w:val="none"/>
          <w:lang w:val="en-US" w:eastAsia="zh-CN"/>
        </w:rPr>
        <w:t>-0.4</w:t>
      </w:r>
      <w:r>
        <w:rPr>
          <w:rFonts w:hint="eastAsia" w:ascii="仿宋_GB2312" w:hAnsi="仿宋" w:eastAsia="仿宋_GB2312"/>
          <w:color w:val="auto"/>
          <w:sz w:val="24"/>
          <w:highlight w:val="none"/>
        </w:rPr>
        <w:t>‰。在总人口中，非农业</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城镇</w:t>
      </w:r>
      <w:r>
        <w:rPr>
          <w:rFonts w:hint="eastAsia" w:ascii="仿宋_GB2312" w:hAnsi="仿宋" w:eastAsia="仿宋_GB2312"/>
          <w:color w:val="auto"/>
          <w:sz w:val="24"/>
          <w:highlight w:val="none"/>
          <w:lang w:eastAsia="zh-CN"/>
        </w:rPr>
        <w:t>）</w:t>
      </w:r>
      <w:r>
        <w:rPr>
          <w:rFonts w:hint="eastAsia" w:ascii="仿宋_GB2312" w:hAnsi="仿宋" w:eastAsia="仿宋_GB2312"/>
          <w:color w:val="auto"/>
          <w:sz w:val="24"/>
          <w:highlight w:val="none"/>
        </w:rPr>
        <w:t>人口</w:t>
      </w:r>
      <w:r>
        <w:rPr>
          <w:rFonts w:hint="eastAsia" w:ascii="仿宋_GB2312" w:hAnsi="仿宋" w:eastAsia="仿宋_GB2312"/>
          <w:color w:val="auto"/>
          <w:sz w:val="24"/>
          <w:highlight w:val="none"/>
          <w:lang w:val="en-US" w:eastAsia="zh-CN"/>
        </w:rPr>
        <w:t>28839</w:t>
      </w:r>
      <w:r>
        <w:rPr>
          <w:rFonts w:hint="eastAsia" w:ascii="仿宋_GB2312" w:hAnsi="仿宋" w:eastAsia="仿宋_GB2312"/>
          <w:color w:val="auto"/>
          <w:sz w:val="24"/>
          <w:highlight w:val="none"/>
        </w:rPr>
        <w:t>人，农业（乡村）人口</w:t>
      </w:r>
      <w:r>
        <w:rPr>
          <w:rFonts w:hint="eastAsia" w:ascii="仿宋_GB2312" w:hAnsi="仿宋" w:eastAsia="仿宋_GB2312"/>
          <w:color w:val="auto"/>
          <w:sz w:val="24"/>
          <w:highlight w:val="none"/>
          <w:lang w:val="en-US" w:eastAsia="zh-CN"/>
        </w:rPr>
        <w:t>118449</w:t>
      </w:r>
      <w:r>
        <w:rPr>
          <w:rFonts w:hint="eastAsia" w:ascii="仿宋_GB2312" w:hAnsi="仿宋" w:eastAsia="仿宋_GB2312"/>
          <w:color w:val="auto"/>
          <w:sz w:val="24"/>
          <w:highlight w:val="none"/>
        </w:rPr>
        <w:t>人；男性人口76473人，女性人口70815人，人口性别比为</w:t>
      </w:r>
      <w:r>
        <w:rPr>
          <w:rFonts w:hint="eastAsia" w:ascii="仿宋_GB2312" w:hAnsi="仿宋" w:eastAsia="仿宋_GB2312"/>
          <w:color w:val="auto"/>
          <w:sz w:val="24"/>
          <w:highlight w:val="none"/>
          <w:lang w:val="en-US" w:eastAsia="zh-CN"/>
        </w:rPr>
        <w:t>108</w:t>
      </w:r>
      <w:r>
        <w:rPr>
          <w:rFonts w:hint="eastAsia" w:ascii="仿宋_GB2312" w:hAnsi="仿宋" w:eastAsia="仿宋_GB2312"/>
          <w:color w:val="auto"/>
          <w:sz w:val="24"/>
          <w:highlight w:val="none"/>
        </w:rPr>
        <w:t>。年末全县常住人口11.7万人，城镇化率42.73%，比上年增长1.32个百分点。</w:t>
      </w:r>
    </w:p>
    <w:p w14:paraId="2033E975">
      <w:pPr>
        <w:keepNext w:val="0"/>
        <w:keepLines w:val="0"/>
        <w:pageBreakBefore w:val="0"/>
        <w:widowControl w:val="0"/>
        <w:kinsoku/>
        <w:wordWrap/>
        <w:overflowPunct/>
        <w:topLinePunct w:val="0"/>
        <w:autoSpaceDE/>
        <w:autoSpaceDN/>
        <w:bidi w:val="0"/>
        <w:adjustRightInd/>
        <w:snapToGrid/>
        <w:spacing w:line="100" w:lineRule="exact"/>
        <w:ind w:firstLine="480" w:firstLineChars="200"/>
        <w:textAlignment w:val="auto"/>
        <w:rPr>
          <w:rFonts w:hint="eastAsia" w:ascii="仿宋_GB2312" w:hAnsi="仿宋" w:eastAsia="仿宋_GB2312"/>
          <w:color w:val="auto"/>
          <w:sz w:val="24"/>
          <w:highlight w:val="yellow"/>
          <w:lang w:eastAsia="zh-CN"/>
        </w:rPr>
      </w:pPr>
    </w:p>
    <w:p w14:paraId="7E24E1B3">
      <w:pPr>
        <w:spacing w:line="460" w:lineRule="exact"/>
        <w:ind w:firstLine="480" w:firstLineChars="200"/>
        <w:rPr>
          <w:rFonts w:hint="eastAsia" w:ascii="仿宋_GB2312" w:hAnsi="仿宋" w:eastAsia="仿宋_GB2312"/>
          <w:color w:val="auto"/>
          <w:sz w:val="24"/>
          <w:highlight w:val="none"/>
        </w:rPr>
      </w:pPr>
      <w:r>
        <w:rPr>
          <w:rFonts w:hint="eastAsia" w:ascii="仿宋_GB2312" w:hAnsi="仿宋" w:eastAsia="仿宋_GB2312"/>
          <w:color w:val="auto"/>
          <w:sz w:val="24"/>
        </w:rPr>
        <w:t>经市统计局审定，202</w:t>
      </w:r>
      <w:r>
        <w:rPr>
          <w:rFonts w:hint="eastAsia" w:ascii="仿宋_GB2312" w:hAnsi="仿宋" w:eastAsia="仿宋_GB2312"/>
          <w:color w:val="auto"/>
          <w:sz w:val="24"/>
          <w:lang w:val="en-US" w:eastAsia="zh-CN"/>
        </w:rPr>
        <w:t>5</w:t>
      </w:r>
      <w:r>
        <w:rPr>
          <w:rFonts w:hint="eastAsia" w:ascii="仿宋_GB2312" w:hAnsi="仿宋" w:eastAsia="仿宋_GB2312"/>
          <w:color w:val="auto"/>
          <w:sz w:val="24"/>
        </w:rPr>
        <w:t>年峨边彝族自治县地区生产总值（GDP）914954万元，按可比价计算，比上年增长</w:t>
      </w:r>
      <w:r>
        <w:rPr>
          <w:rFonts w:hint="eastAsia" w:ascii="仿宋_GB2312" w:hAnsi="仿宋" w:eastAsia="仿宋_GB2312"/>
          <w:color w:val="auto"/>
          <w:sz w:val="24"/>
          <w:lang w:val="en-US" w:eastAsia="zh-CN"/>
        </w:rPr>
        <w:t>6.4</w:t>
      </w:r>
      <w:r>
        <w:rPr>
          <w:rFonts w:hint="eastAsia" w:ascii="仿宋_GB2312" w:hAnsi="仿宋" w:eastAsia="仿宋_GB2312"/>
          <w:color w:val="auto"/>
          <w:sz w:val="24"/>
        </w:rPr>
        <w:t>%。其中，第一产业增加值83280万元，增长</w:t>
      </w:r>
      <w:r>
        <w:rPr>
          <w:rFonts w:hint="eastAsia" w:ascii="仿宋_GB2312" w:hAnsi="仿宋" w:eastAsia="仿宋_GB2312"/>
          <w:color w:val="auto"/>
          <w:sz w:val="24"/>
          <w:lang w:val="en-US" w:eastAsia="zh-CN"/>
        </w:rPr>
        <w:t>3.2</w:t>
      </w:r>
      <w:r>
        <w:rPr>
          <w:rFonts w:hint="eastAsia" w:ascii="仿宋_GB2312" w:hAnsi="仿宋" w:eastAsia="仿宋_GB2312"/>
          <w:color w:val="auto"/>
          <w:sz w:val="24"/>
        </w:rPr>
        <w:t>%；第二产业增加值</w:t>
      </w:r>
      <w:r>
        <w:rPr>
          <w:rFonts w:hint="eastAsia" w:ascii="仿宋_GB2312" w:hAnsi="仿宋" w:eastAsia="仿宋_GB2312"/>
          <w:color w:val="auto"/>
          <w:sz w:val="24"/>
          <w:lang w:val="en-US" w:eastAsia="zh-CN"/>
        </w:rPr>
        <w:t>390779</w:t>
      </w:r>
      <w:r>
        <w:rPr>
          <w:rFonts w:hint="eastAsia" w:ascii="仿宋_GB2312" w:hAnsi="仿宋" w:eastAsia="仿宋_GB2312"/>
          <w:color w:val="auto"/>
          <w:sz w:val="24"/>
        </w:rPr>
        <w:t>万元，增长</w:t>
      </w:r>
      <w:r>
        <w:rPr>
          <w:rFonts w:hint="eastAsia" w:ascii="仿宋_GB2312" w:hAnsi="仿宋" w:eastAsia="仿宋_GB2312"/>
          <w:color w:val="auto"/>
          <w:sz w:val="24"/>
          <w:lang w:val="en-US" w:eastAsia="zh-CN"/>
        </w:rPr>
        <w:t>6.6</w:t>
      </w:r>
      <w:r>
        <w:rPr>
          <w:rFonts w:hint="eastAsia" w:ascii="仿宋_GB2312" w:hAnsi="仿宋" w:eastAsia="仿宋_GB2312"/>
          <w:color w:val="auto"/>
          <w:sz w:val="24"/>
        </w:rPr>
        <w:t>%；第三产业增加值</w:t>
      </w:r>
      <w:r>
        <w:rPr>
          <w:rFonts w:hint="eastAsia" w:ascii="仿宋_GB2312" w:hAnsi="仿宋" w:eastAsia="仿宋_GB2312"/>
          <w:color w:val="auto"/>
          <w:sz w:val="24"/>
          <w:lang w:val="en-US" w:eastAsia="zh-CN"/>
        </w:rPr>
        <w:t>440895</w:t>
      </w:r>
      <w:r>
        <w:rPr>
          <w:rFonts w:hint="eastAsia" w:ascii="仿宋_GB2312" w:hAnsi="仿宋" w:eastAsia="仿宋_GB2312"/>
          <w:color w:val="auto"/>
          <w:sz w:val="24"/>
        </w:rPr>
        <w:t>万元，增长</w:t>
      </w:r>
      <w:r>
        <w:rPr>
          <w:rFonts w:hint="eastAsia" w:ascii="仿宋_GB2312" w:hAnsi="仿宋" w:eastAsia="仿宋_GB2312"/>
          <w:color w:val="auto"/>
          <w:sz w:val="24"/>
          <w:lang w:val="en-US" w:eastAsia="zh-CN"/>
        </w:rPr>
        <w:t>7.1</w:t>
      </w:r>
      <w:r>
        <w:rPr>
          <w:rFonts w:hint="eastAsia" w:ascii="仿宋_GB2312" w:hAnsi="仿宋" w:eastAsia="仿宋_GB2312"/>
          <w:color w:val="auto"/>
          <w:sz w:val="24"/>
        </w:rPr>
        <w:t>%。三次产业分别拉动GDP增长</w:t>
      </w:r>
      <w:r>
        <w:rPr>
          <w:rFonts w:hint="eastAsia" w:ascii="仿宋_GB2312" w:hAnsi="仿宋" w:eastAsia="仿宋_GB2312"/>
          <w:color w:val="auto"/>
          <w:sz w:val="24"/>
          <w:lang w:val="en-US" w:eastAsia="zh-CN"/>
        </w:rPr>
        <w:t>0.3</w:t>
      </w:r>
      <w:r>
        <w:rPr>
          <w:rFonts w:hint="eastAsia" w:ascii="仿宋_GB2312" w:hAnsi="仿宋" w:eastAsia="仿宋_GB2312"/>
          <w:color w:val="auto"/>
          <w:sz w:val="24"/>
        </w:rPr>
        <w:t>、</w:t>
      </w:r>
      <w:r>
        <w:rPr>
          <w:rFonts w:hint="eastAsia" w:ascii="仿宋_GB2312" w:hAnsi="仿宋" w:eastAsia="仿宋_GB2312"/>
          <w:color w:val="auto"/>
          <w:sz w:val="24"/>
          <w:lang w:val="en-US" w:eastAsia="zh-CN"/>
        </w:rPr>
        <w:t>2.9</w:t>
      </w:r>
      <w:r>
        <w:rPr>
          <w:rFonts w:hint="eastAsia" w:ascii="仿宋_GB2312" w:hAnsi="仿宋" w:eastAsia="仿宋_GB2312"/>
          <w:color w:val="auto"/>
          <w:sz w:val="24"/>
        </w:rPr>
        <w:t>和</w:t>
      </w:r>
      <w:r>
        <w:rPr>
          <w:rFonts w:hint="eastAsia" w:ascii="仿宋_GB2312" w:hAnsi="仿宋" w:eastAsia="仿宋_GB2312"/>
          <w:color w:val="auto"/>
          <w:sz w:val="24"/>
          <w:lang w:val="en-US" w:eastAsia="zh-CN"/>
        </w:rPr>
        <w:t>3.2</w:t>
      </w:r>
      <w:r>
        <w:rPr>
          <w:rFonts w:hint="eastAsia" w:ascii="仿宋_GB2312" w:hAnsi="仿宋" w:eastAsia="仿宋_GB2312"/>
          <w:color w:val="auto"/>
          <w:sz w:val="24"/>
        </w:rPr>
        <w:t>个百分点，对经济增长的贡献率分别为</w:t>
      </w:r>
      <w:r>
        <w:rPr>
          <w:rFonts w:hint="eastAsia" w:ascii="仿宋_GB2312" w:hAnsi="仿宋" w:eastAsia="仿宋_GB2312"/>
          <w:color w:val="auto"/>
          <w:sz w:val="24"/>
          <w:lang w:val="en-US" w:eastAsia="zh-CN"/>
        </w:rPr>
        <w:t>5.4</w:t>
      </w:r>
      <w:r>
        <w:rPr>
          <w:rFonts w:hint="eastAsia" w:ascii="仿宋_GB2312" w:hAnsi="仿宋" w:eastAsia="仿宋_GB2312"/>
          <w:color w:val="auto"/>
          <w:sz w:val="24"/>
        </w:rPr>
        <w:t>%、</w:t>
      </w:r>
      <w:r>
        <w:rPr>
          <w:rFonts w:hint="eastAsia" w:ascii="仿宋_GB2312" w:hAnsi="仿宋" w:eastAsia="仿宋_GB2312"/>
          <w:color w:val="auto"/>
          <w:sz w:val="24"/>
          <w:lang w:val="en-US" w:eastAsia="zh-CN"/>
        </w:rPr>
        <w:t>44.6</w:t>
      </w:r>
      <w:r>
        <w:rPr>
          <w:rFonts w:hint="eastAsia" w:ascii="仿宋_GB2312" w:hAnsi="仿宋" w:eastAsia="仿宋_GB2312"/>
          <w:color w:val="auto"/>
          <w:sz w:val="24"/>
        </w:rPr>
        <w:t>%和</w:t>
      </w:r>
      <w:r>
        <w:rPr>
          <w:rFonts w:hint="eastAsia" w:ascii="仿宋_GB2312" w:hAnsi="仿宋" w:eastAsia="仿宋_GB2312"/>
          <w:color w:val="auto"/>
          <w:sz w:val="24"/>
          <w:lang w:val="en-US" w:eastAsia="zh-CN"/>
        </w:rPr>
        <w:t>50.0</w:t>
      </w:r>
      <w:r>
        <w:rPr>
          <w:rFonts w:hint="eastAsia" w:ascii="仿宋_GB2312" w:hAnsi="仿宋" w:eastAsia="仿宋_GB2312"/>
          <w:color w:val="auto"/>
          <w:sz w:val="24"/>
        </w:rPr>
        <w:t>%。三次产业结构为</w:t>
      </w:r>
      <w:r>
        <w:rPr>
          <w:rFonts w:hint="eastAsia" w:ascii="仿宋_GB2312" w:hAnsi="仿宋" w:eastAsia="仿宋_GB2312"/>
          <w:color w:val="auto"/>
          <w:sz w:val="24"/>
          <w:lang w:val="en-US" w:eastAsia="zh-CN"/>
        </w:rPr>
        <w:t>9.1</w:t>
      </w:r>
      <w:r>
        <w:rPr>
          <w:rFonts w:hint="eastAsia" w:ascii="仿宋_GB2312" w:hAnsi="仿宋" w:eastAsia="仿宋_GB2312"/>
          <w:color w:val="auto"/>
          <w:sz w:val="24"/>
        </w:rPr>
        <w:t>:</w:t>
      </w:r>
      <w:r>
        <w:rPr>
          <w:rFonts w:hint="eastAsia" w:ascii="仿宋_GB2312" w:hAnsi="仿宋" w:eastAsia="仿宋_GB2312"/>
          <w:color w:val="auto"/>
          <w:sz w:val="24"/>
          <w:lang w:val="en-US" w:eastAsia="zh-CN"/>
        </w:rPr>
        <w:t>42.7</w:t>
      </w:r>
      <w:r>
        <w:rPr>
          <w:rFonts w:hint="eastAsia" w:ascii="仿宋_GB2312" w:hAnsi="仿宋" w:eastAsia="仿宋_GB2312"/>
          <w:color w:val="auto"/>
          <w:sz w:val="24"/>
        </w:rPr>
        <w:t>:</w:t>
      </w:r>
      <w:r>
        <w:rPr>
          <w:rFonts w:hint="eastAsia" w:ascii="仿宋_GB2312" w:hAnsi="仿宋" w:eastAsia="仿宋_GB2312"/>
          <w:color w:val="auto"/>
          <w:sz w:val="24"/>
          <w:lang w:val="en-US" w:eastAsia="zh-CN"/>
        </w:rPr>
        <w:t>48.2</w:t>
      </w:r>
      <w:r>
        <w:rPr>
          <w:rFonts w:hint="eastAsia" w:ascii="仿宋_GB2312" w:hAnsi="仿宋" w:eastAsia="仿宋_GB2312"/>
          <w:color w:val="auto"/>
          <w:sz w:val="24"/>
        </w:rPr>
        <w:t>。</w:t>
      </w:r>
      <w:r>
        <w:rPr>
          <w:rFonts w:hint="eastAsia" w:ascii="仿宋_GB2312" w:hAnsi="仿宋" w:eastAsia="仿宋_GB2312"/>
          <w:color w:val="auto"/>
          <w:sz w:val="24"/>
          <w:highlight w:val="none"/>
          <w:lang w:eastAsia="zh-CN"/>
        </w:rPr>
        <w:t>“十四五</w:t>
      </w:r>
      <w:r>
        <w:rPr>
          <w:rFonts w:hint="eastAsia" w:ascii="仿宋_GB2312" w:hAnsi="仿宋" w:eastAsia="仿宋_GB2312"/>
          <w:color w:val="auto"/>
          <w:sz w:val="24"/>
          <w:highlight w:val="none"/>
        </w:rPr>
        <w:t>”期间，</w:t>
      </w:r>
      <w:r>
        <w:rPr>
          <w:rFonts w:hint="eastAsia" w:ascii="仿宋_GB2312" w:hAnsi="仿宋" w:eastAsia="仿宋_GB2312"/>
          <w:color w:val="auto"/>
          <w:sz w:val="24"/>
          <w:highlight w:val="none"/>
          <w:lang w:eastAsia="zh-CN"/>
        </w:rPr>
        <w:t>全县地区生产总值</w:t>
      </w:r>
      <w:r>
        <w:rPr>
          <w:rFonts w:hint="eastAsia" w:ascii="仿宋_GB2312" w:hAnsi="仿宋" w:eastAsia="仿宋_GB2312"/>
          <w:color w:val="auto"/>
          <w:sz w:val="24"/>
          <w:highlight w:val="none"/>
        </w:rPr>
        <w:t>年均增长</w:t>
      </w:r>
      <w:r>
        <w:rPr>
          <w:rFonts w:hint="eastAsia" w:ascii="仿宋_GB2312" w:hAnsi="仿宋" w:eastAsia="仿宋_GB2312"/>
          <w:color w:val="auto"/>
          <w:sz w:val="24"/>
          <w:highlight w:val="none"/>
          <w:lang w:val="en-US" w:eastAsia="zh-CN"/>
        </w:rPr>
        <w:t>6.1</w:t>
      </w:r>
      <w:r>
        <w:rPr>
          <w:rFonts w:hint="eastAsia" w:ascii="仿宋_GB2312" w:hAnsi="仿宋" w:eastAsia="仿宋_GB2312"/>
          <w:color w:val="auto"/>
          <w:sz w:val="24"/>
          <w:highlight w:val="none"/>
        </w:rPr>
        <w:t>%。</w:t>
      </w:r>
    </w:p>
    <w:p w14:paraId="3CB9EE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仿宋" w:eastAsia="黑体"/>
          <w:color w:val="auto"/>
          <w:sz w:val="24"/>
        </w:rPr>
      </w:pPr>
    </w:p>
    <w:p w14:paraId="10221D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仿宋" w:eastAsia="黑体"/>
          <w:color w:val="auto"/>
          <w:sz w:val="24"/>
        </w:rPr>
      </w:pPr>
      <w:r>
        <w:rPr>
          <w:rFonts w:hint="eastAsia" w:ascii="黑体" w:hAnsi="仿宋" w:eastAsia="黑体"/>
          <w:color w:val="auto"/>
          <w:sz w:val="24"/>
        </w:rPr>
        <w:t>图1 “20</w:t>
      </w:r>
      <w:r>
        <w:rPr>
          <w:rFonts w:hint="eastAsia" w:ascii="黑体" w:hAnsi="仿宋" w:eastAsia="黑体"/>
          <w:color w:val="auto"/>
          <w:sz w:val="24"/>
          <w:lang w:val="en-US" w:eastAsia="zh-CN"/>
        </w:rPr>
        <w:t>21</w:t>
      </w:r>
      <w:r>
        <w:rPr>
          <w:rFonts w:hint="eastAsia" w:ascii="黑体" w:hAnsi="仿宋" w:eastAsia="黑体"/>
          <w:color w:val="auto"/>
          <w:sz w:val="24"/>
        </w:rPr>
        <w:t>年</w:t>
      </w:r>
      <w:r>
        <w:rPr>
          <w:rFonts w:hint="eastAsia" w:ascii="黑体" w:hAnsi="仿宋" w:eastAsia="黑体"/>
          <w:color w:val="auto"/>
          <w:sz w:val="24"/>
          <w:lang w:eastAsia="zh-CN"/>
        </w:rPr>
        <w:t>—</w:t>
      </w:r>
      <w:r>
        <w:rPr>
          <w:rFonts w:hint="eastAsia" w:ascii="黑体" w:hAnsi="仿宋" w:eastAsia="黑体"/>
          <w:color w:val="auto"/>
          <w:sz w:val="24"/>
        </w:rPr>
        <w:t>202</w:t>
      </w:r>
      <w:r>
        <w:rPr>
          <w:rFonts w:hint="eastAsia" w:ascii="黑体" w:hAnsi="仿宋" w:eastAsia="黑体"/>
          <w:color w:val="auto"/>
          <w:sz w:val="24"/>
          <w:lang w:val="en-US" w:eastAsia="zh-CN"/>
        </w:rPr>
        <w:t>5</w:t>
      </w:r>
      <w:r>
        <w:rPr>
          <w:rFonts w:hint="eastAsia" w:ascii="黑体" w:hAnsi="仿宋" w:eastAsia="黑体"/>
          <w:color w:val="auto"/>
          <w:sz w:val="24"/>
        </w:rPr>
        <w:t>年”期间峨边GDP总量及增速</w:t>
      </w:r>
    </w:p>
    <w:p w14:paraId="26D098A7">
      <w:pPr>
        <w:tabs>
          <w:tab w:val="left" w:pos="105"/>
          <w:tab w:val="left" w:pos="735"/>
        </w:tabs>
        <w:jc w:val="center"/>
        <w:rPr>
          <w:color w:val="auto"/>
          <w:sz w:val="24"/>
        </w:rPr>
      </w:pPr>
      <w:r>
        <w:rPr>
          <w:color w:val="auto"/>
          <w:sz w:val="24"/>
        </w:rPr>
        <w:drawing>
          <wp:inline distT="0" distB="0" distL="0" distR="0">
            <wp:extent cx="3479165" cy="2099945"/>
            <wp:effectExtent l="4445" t="4445" r="40640" b="4826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50B5F8">
      <w:pPr>
        <w:tabs>
          <w:tab w:val="left" w:pos="105"/>
          <w:tab w:val="left" w:pos="735"/>
        </w:tabs>
        <w:spacing w:line="460" w:lineRule="exact"/>
        <w:ind w:firstLine="480" w:firstLineChars="200"/>
        <w:rPr>
          <w:rFonts w:hint="eastAsia" w:ascii="仿宋_GB2312" w:hAnsi="仿宋" w:eastAsia="仿宋_GB2312"/>
          <w:color w:val="auto"/>
          <w:sz w:val="24"/>
          <w:highlight w:val="none"/>
          <w:lang w:val="en-US" w:eastAsia="zh-CN"/>
        </w:rPr>
      </w:pPr>
      <w:r>
        <w:rPr>
          <w:rFonts w:hint="eastAsia" w:ascii="仿宋_GB2312" w:hAnsi="仿宋" w:eastAsia="仿宋_GB2312"/>
          <w:color w:val="auto"/>
          <w:kern w:val="0"/>
          <w:sz w:val="24"/>
        </w:rPr>
        <w:t>全年民营经济增加值539667万元，</w:t>
      </w:r>
      <w:r>
        <w:rPr>
          <w:rFonts w:hint="eastAsia" w:ascii="仿宋_GB2312" w:hAnsi="仿宋" w:eastAsia="仿宋_GB2312"/>
          <w:color w:val="auto"/>
          <w:kern w:val="0"/>
          <w:sz w:val="24"/>
          <w:lang w:eastAsia="zh-CN"/>
        </w:rPr>
        <w:t>比上年</w:t>
      </w:r>
      <w:r>
        <w:rPr>
          <w:rFonts w:hint="eastAsia" w:ascii="仿宋_GB2312" w:hAnsi="仿宋" w:eastAsia="仿宋_GB2312"/>
          <w:color w:val="auto"/>
          <w:kern w:val="0"/>
          <w:sz w:val="24"/>
        </w:rPr>
        <w:t>增长</w:t>
      </w:r>
      <w:r>
        <w:rPr>
          <w:rFonts w:hint="eastAsia" w:ascii="仿宋_GB2312" w:hAnsi="仿宋" w:eastAsia="仿宋_GB2312"/>
          <w:color w:val="auto"/>
          <w:kern w:val="0"/>
          <w:sz w:val="24"/>
          <w:lang w:val="en-US" w:eastAsia="zh-CN"/>
        </w:rPr>
        <w:t>6.2</w:t>
      </w:r>
      <w:r>
        <w:rPr>
          <w:rFonts w:hint="eastAsia" w:ascii="仿宋_GB2312" w:hAnsi="仿宋" w:eastAsia="仿宋_GB2312"/>
          <w:color w:val="auto"/>
          <w:kern w:val="0"/>
          <w:sz w:val="24"/>
        </w:rPr>
        <w:t>%，民营经济拉动GDP增长</w:t>
      </w:r>
      <w:r>
        <w:rPr>
          <w:rFonts w:hint="eastAsia" w:ascii="仿宋_GB2312" w:hAnsi="仿宋" w:eastAsia="仿宋_GB2312"/>
          <w:color w:val="auto"/>
          <w:kern w:val="0"/>
          <w:sz w:val="24"/>
          <w:lang w:val="en-US" w:eastAsia="zh-CN"/>
        </w:rPr>
        <w:t>3.71</w:t>
      </w:r>
      <w:r>
        <w:rPr>
          <w:rFonts w:hint="eastAsia" w:ascii="仿宋_GB2312" w:hAnsi="仿宋" w:eastAsia="仿宋_GB2312"/>
          <w:color w:val="auto"/>
          <w:kern w:val="0"/>
          <w:sz w:val="24"/>
        </w:rPr>
        <w:t>个百分点，对GDP增长的贡献率为</w:t>
      </w:r>
      <w:r>
        <w:rPr>
          <w:rFonts w:hint="eastAsia" w:ascii="仿宋_GB2312" w:hAnsi="仿宋" w:eastAsia="仿宋_GB2312"/>
          <w:color w:val="auto"/>
          <w:kern w:val="0"/>
          <w:sz w:val="24"/>
          <w:lang w:val="en-US" w:eastAsia="zh-CN"/>
        </w:rPr>
        <w:t>57.64</w:t>
      </w:r>
      <w:r>
        <w:rPr>
          <w:rFonts w:hint="eastAsia" w:ascii="仿宋_GB2312" w:hAnsi="仿宋" w:eastAsia="仿宋_GB2312"/>
          <w:color w:val="auto"/>
          <w:kern w:val="0"/>
          <w:sz w:val="24"/>
        </w:rPr>
        <w:t>%，总量占GDP的</w:t>
      </w:r>
      <w:r>
        <w:rPr>
          <w:rFonts w:hint="eastAsia" w:ascii="仿宋_GB2312" w:hAnsi="仿宋" w:eastAsia="仿宋_GB2312"/>
          <w:color w:val="auto"/>
          <w:kern w:val="0"/>
          <w:sz w:val="24"/>
          <w:lang w:val="en-US" w:eastAsia="zh-CN"/>
        </w:rPr>
        <w:t>59.87</w:t>
      </w:r>
      <w:r>
        <w:rPr>
          <w:rFonts w:hint="eastAsia" w:ascii="仿宋_GB2312" w:hAnsi="仿宋" w:eastAsia="仿宋_GB2312"/>
          <w:color w:val="auto"/>
          <w:kern w:val="0"/>
          <w:sz w:val="24"/>
        </w:rPr>
        <w:t>%。其中，第一产业增加值81807万元，</w:t>
      </w:r>
      <w:r>
        <w:rPr>
          <w:rFonts w:hint="eastAsia" w:ascii="仿宋_GB2312" w:hAnsi="仿宋" w:eastAsia="仿宋_GB2312"/>
          <w:color w:val="auto"/>
          <w:kern w:val="0"/>
          <w:sz w:val="24"/>
          <w:lang w:eastAsia="zh-CN"/>
        </w:rPr>
        <w:t>增长</w:t>
      </w:r>
      <w:r>
        <w:rPr>
          <w:rFonts w:hint="eastAsia" w:ascii="仿宋_GB2312" w:hAnsi="仿宋" w:eastAsia="仿宋_GB2312"/>
          <w:color w:val="auto"/>
          <w:kern w:val="0"/>
          <w:sz w:val="24"/>
          <w:lang w:val="en-US" w:eastAsia="zh-CN"/>
        </w:rPr>
        <w:t>3.2</w:t>
      </w:r>
      <w:r>
        <w:rPr>
          <w:rFonts w:hint="eastAsia" w:ascii="仿宋_GB2312" w:hAnsi="仿宋" w:eastAsia="仿宋_GB2312"/>
          <w:color w:val="auto"/>
          <w:kern w:val="0"/>
          <w:sz w:val="24"/>
        </w:rPr>
        <w:t>%；第二产业增加值</w:t>
      </w:r>
      <w:r>
        <w:rPr>
          <w:rFonts w:hint="eastAsia" w:ascii="仿宋_GB2312" w:hAnsi="仿宋" w:eastAsia="仿宋_GB2312"/>
          <w:color w:val="auto"/>
          <w:kern w:val="0"/>
          <w:sz w:val="24"/>
          <w:lang w:val="en-US" w:eastAsia="zh-CN"/>
        </w:rPr>
        <w:t>258276</w:t>
      </w:r>
      <w:r>
        <w:rPr>
          <w:rFonts w:hint="eastAsia" w:ascii="仿宋_GB2312" w:hAnsi="仿宋" w:eastAsia="仿宋_GB2312"/>
          <w:color w:val="auto"/>
          <w:kern w:val="0"/>
          <w:sz w:val="24"/>
        </w:rPr>
        <w:t>万元，增长</w:t>
      </w:r>
      <w:r>
        <w:rPr>
          <w:rFonts w:hint="eastAsia" w:ascii="仿宋_GB2312" w:hAnsi="仿宋" w:eastAsia="仿宋_GB2312"/>
          <w:color w:val="auto"/>
          <w:kern w:val="0"/>
          <w:sz w:val="24"/>
          <w:lang w:val="en-US" w:eastAsia="zh-CN"/>
        </w:rPr>
        <w:t>2.4</w:t>
      </w:r>
      <w:r>
        <w:rPr>
          <w:rFonts w:hint="eastAsia" w:ascii="仿宋_GB2312" w:hAnsi="仿宋" w:eastAsia="仿宋_GB2312"/>
          <w:color w:val="auto"/>
          <w:kern w:val="0"/>
          <w:sz w:val="24"/>
        </w:rPr>
        <w:t>%；第三产业增加值</w:t>
      </w:r>
      <w:r>
        <w:rPr>
          <w:rFonts w:hint="eastAsia" w:ascii="仿宋_GB2312" w:hAnsi="仿宋" w:eastAsia="仿宋_GB2312"/>
          <w:color w:val="auto"/>
          <w:kern w:val="0"/>
          <w:sz w:val="24"/>
          <w:lang w:val="en-US" w:eastAsia="zh-CN"/>
        </w:rPr>
        <w:t>199584</w:t>
      </w:r>
      <w:r>
        <w:rPr>
          <w:rFonts w:hint="eastAsia" w:ascii="仿宋_GB2312" w:hAnsi="仿宋" w:eastAsia="仿宋_GB2312"/>
          <w:color w:val="auto"/>
          <w:kern w:val="0"/>
          <w:sz w:val="24"/>
        </w:rPr>
        <w:t>万元，</w:t>
      </w:r>
      <w:r>
        <w:rPr>
          <w:rFonts w:hint="eastAsia" w:ascii="仿宋_GB2312" w:hAnsi="仿宋" w:eastAsia="仿宋_GB2312"/>
          <w:color w:val="auto"/>
          <w:kern w:val="0"/>
          <w:sz w:val="24"/>
          <w:lang w:eastAsia="zh-CN"/>
        </w:rPr>
        <w:t>增长</w:t>
      </w:r>
      <w:r>
        <w:rPr>
          <w:rFonts w:hint="eastAsia" w:ascii="仿宋_GB2312" w:hAnsi="仿宋" w:eastAsia="仿宋_GB2312"/>
          <w:color w:val="auto"/>
          <w:kern w:val="0"/>
          <w:sz w:val="24"/>
          <w:lang w:val="en-US" w:eastAsia="zh-CN"/>
        </w:rPr>
        <w:t>13.0</w:t>
      </w:r>
      <w:r>
        <w:rPr>
          <w:rFonts w:hint="eastAsia" w:ascii="仿宋_GB2312" w:hAnsi="仿宋" w:eastAsia="仿宋_GB2312"/>
          <w:color w:val="auto"/>
          <w:kern w:val="0"/>
          <w:sz w:val="24"/>
        </w:rPr>
        <w:t>%。</w:t>
      </w:r>
      <w:r>
        <w:rPr>
          <w:rFonts w:hint="eastAsia" w:ascii="仿宋_GB2312" w:hAnsi="仿宋" w:eastAsia="仿宋_GB2312"/>
          <w:color w:val="auto"/>
          <w:sz w:val="24"/>
          <w:highlight w:val="none"/>
          <w:lang w:val="en-US" w:eastAsia="zh-CN"/>
        </w:rPr>
        <w:t>全年居民消费价格比上年下降0.7%，消费品价格下降1.9%，服务价格上涨1.2%。</w:t>
      </w:r>
    </w:p>
    <w:p w14:paraId="54CAC4A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黑体简体" w:eastAsia="方正黑体简体"/>
          <w:bCs/>
          <w:color w:val="auto"/>
          <w:kern w:val="0"/>
          <w:sz w:val="24"/>
        </w:rPr>
      </w:pPr>
    </w:p>
    <w:p w14:paraId="5EB7684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黑体简体" w:eastAsia="方正黑体简体"/>
          <w:bCs/>
          <w:color w:val="auto"/>
          <w:kern w:val="0"/>
          <w:sz w:val="24"/>
        </w:rPr>
      </w:pPr>
    </w:p>
    <w:p w14:paraId="29330A72">
      <w:pPr>
        <w:keepNext w:val="0"/>
        <w:keepLines w:val="0"/>
        <w:pageBreakBefore w:val="0"/>
        <w:kinsoku/>
        <w:wordWrap/>
        <w:overflowPunct/>
        <w:topLinePunct w:val="0"/>
        <w:autoSpaceDE/>
        <w:autoSpaceDN/>
        <w:bidi w:val="0"/>
        <w:adjustRightInd/>
        <w:snapToGrid/>
        <w:spacing w:line="460" w:lineRule="exact"/>
        <w:jc w:val="center"/>
        <w:textAlignment w:val="auto"/>
        <w:rPr>
          <w:rFonts w:ascii="方正黑体简体" w:eastAsia="方正黑体简体"/>
          <w:bCs/>
          <w:color w:val="auto"/>
          <w:kern w:val="0"/>
          <w:sz w:val="24"/>
        </w:rPr>
      </w:pPr>
      <w:r>
        <w:rPr>
          <w:rFonts w:hint="eastAsia" w:ascii="方正黑体简体" w:eastAsia="方正黑体简体"/>
          <w:bCs/>
          <w:color w:val="auto"/>
          <w:kern w:val="0"/>
          <w:sz w:val="24"/>
        </w:rPr>
        <w:t>表</w:t>
      </w:r>
      <w:r>
        <w:rPr>
          <w:rFonts w:hint="eastAsia" w:ascii="方正黑体简体" w:eastAsia="方正黑体简体"/>
          <w:bCs/>
          <w:color w:val="auto"/>
          <w:kern w:val="0"/>
          <w:sz w:val="24"/>
          <w:lang w:val="en-US" w:eastAsia="zh-CN"/>
        </w:rPr>
        <w:t>2</w:t>
      </w:r>
      <w:r>
        <w:rPr>
          <w:rFonts w:hint="eastAsia" w:ascii="方正黑体简体" w:eastAsia="方正黑体简体"/>
          <w:bCs/>
          <w:color w:val="auto"/>
          <w:kern w:val="0"/>
          <w:sz w:val="24"/>
        </w:rPr>
        <w:t xml:space="preserve">  202</w:t>
      </w:r>
      <w:r>
        <w:rPr>
          <w:rFonts w:hint="eastAsia" w:ascii="方正黑体简体" w:eastAsia="方正黑体简体"/>
          <w:bCs/>
          <w:color w:val="auto"/>
          <w:kern w:val="0"/>
          <w:sz w:val="24"/>
          <w:lang w:val="en-US" w:eastAsia="zh-CN"/>
        </w:rPr>
        <w:t>5</w:t>
      </w:r>
      <w:r>
        <w:rPr>
          <w:rFonts w:hint="eastAsia" w:ascii="方正黑体简体" w:eastAsia="方正黑体简体"/>
          <w:bCs/>
          <w:color w:val="auto"/>
          <w:kern w:val="0"/>
          <w:sz w:val="24"/>
        </w:rPr>
        <w:t>年居民消费价格比上年涨跌幅度</w:t>
      </w:r>
    </w:p>
    <w:p w14:paraId="3A490A05">
      <w:pPr>
        <w:keepNext w:val="0"/>
        <w:keepLines w:val="0"/>
        <w:pageBreakBefore w:val="0"/>
        <w:widowControl/>
        <w:kinsoku/>
        <w:wordWrap/>
        <w:overflowPunct/>
        <w:topLinePunct w:val="0"/>
        <w:autoSpaceDE/>
        <w:autoSpaceDN/>
        <w:bidi w:val="0"/>
        <w:adjustRightInd/>
        <w:snapToGrid/>
        <w:spacing w:line="300" w:lineRule="exact"/>
        <w:ind w:firstLine="480" w:firstLineChars="200"/>
        <w:jc w:val="center"/>
        <w:textAlignment w:val="auto"/>
        <w:rPr>
          <w:b/>
          <w:color w:val="auto"/>
          <w:kern w:val="0"/>
          <w:sz w:val="24"/>
        </w:rPr>
      </w:pPr>
      <w:r>
        <w:rPr>
          <w:b/>
          <w:color w:val="auto"/>
          <w:kern w:val="0"/>
          <w:sz w:val="24"/>
        </w:rPr>
        <w:t xml:space="preserve">                               </w:t>
      </w:r>
      <w:r>
        <w:rPr>
          <w:color w:val="auto"/>
          <w:kern w:val="0"/>
          <w:sz w:val="21"/>
          <w:szCs w:val="21"/>
        </w:rPr>
        <w:t>单位：%   </w:t>
      </w:r>
      <w:r>
        <w:rPr>
          <w:color w:val="auto"/>
          <w:kern w:val="0"/>
          <w:sz w:val="24"/>
        </w:rPr>
        <w:t> </w:t>
      </w:r>
    </w:p>
    <w:tbl>
      <w:tblPr>
        <w:tblStyle w:val="6"/>
        <w:tblW w:w="5679" w:type="dxa"/>
        <w:jc w:val="center"/>
        <w:tblBorders>
          <w:top w:val="single" w:color="auto" w:sz="18"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2"/>
        <w:gridCol w:w="1817"/>
        <w:gridCol w:w="370"/>
      </w:tblGrid>
      <w:tr w14:paraId="2C6A4D05">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9" w:hRule="exact"/>
          <w:jc w:val="center"/>
        </w:trPr>
        <w:tc>
          <w:tcPr>
            <w:tcW w:w="3492" w:type="dxa"/>
            <w:vMerge w:val="restart"/>
            <w:tcBorders>
              <w:top w:val="single" w:color="auto" w:sz="12" w:space="0"/>
              <w:left w:val="nil"/>
              <w:bottom w:val="single" w:color="auto" w:sz="4" w:space="0"/>
              <w:right w:val="single" w:color="auto" w:sz="4" w:space="0"/>
            </w:tcBorders>
            <w:vAlign w:val="center"/>
          </w:tcPr>
          <w:p w14:paraId="406D3DBB">
            <w:pPr>
              <w:adjustRightInd w:val="0"/>
              <w:spacing w:line="280" w:lineRule="exact"/>
              <w:jc w:val="center"/>
              <w:rPr>
                <w:bCs/>
                <w:color w:val="auto"/>
                <w:kern w:val="0"/>
                <w:sz w:val="24"/>
              </w:rPr>
            </w:pPr>
            <w:r>
              <w:rPr>
                <w:rFonts w:hint="eastAsia" w:ascii="方正黑体简体" w:hAnsi="宋体" w:eastAsia="方正黑体简体"/>
                <w:color w:val="auto"/>
                <w:sz w:val="24"/>
              </w:rPr>
              <w:t xml:space="preserve"> </w:t>
            </w:r>
            <w:r>
              <w:rPr>
                <w:bCs/>
                <w:color w:val="auto"/>
                <w:kern w:val="0"/>
                <w:sz w:val="24"/>
              </w:rPr>
              <w:t>指        标</w:t>
            </w:r>
          </w:p>
        </w:tc>
        <w:tc>
          <w:tcPr>
            <w:tcW w:w="2187" w:type="dxa"/>
            <w:gridSpan w:val="2"/>
            <w:vMerge w:val="restart"/>
            <w:tcBorders>
              <w:top w:val="single" w:color="auto" w:sz="12" w:space="0"/>
              <w:left w:val="single" w:color="auto" w:sz="4" w:space="0"/>
              <w:bottom w:val="single" w:color="auto" w:sz="4" w:space="0"/>
              <w:right w:val="nil"/>
            </w:tcBorders>
            <w:vAlign w:val="center"/>
          </w:tcPr>
          <w:p w14:paraId="3CB0DE9D">
            <w:pPr>
              <w:adjustRightInd w:val="0"/>
              <w:spacing w:line="280" w:lineRule="exact"/>
              <w:jc w:val="center"/>
              <w:rPr>
                <w:bCs/>
                <w:color w:val="auto"/>
                <w:kern w:val="0"/>
                <w:sz w:val="24"/>
              </w:rPr>
            </w:pPr>
            <w:r>
              <w:rPr>
                <w:bCs/>
                <w:color w:val="auto"/>
                <w:kern w:val="0"/>
                <w:sz w:val="24"/>
              </w:rPr>
              <w:t>涨   跌</w:t>
            </w:r>
          </w:p>
        </w:tc>
      </w:tr>
      <w:tr w14:paraId="39338784">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exact"/>
          <w:jc w:val="center"/>
        </w:trPr>
        <w:tc>
          <w:tcPr>
            <w:tcW w:w="3492" w:type="dxa"/>
            <w:vMerge w:val="continue"/>
            <w:tcBorders>
              <w:top w:val="single" w:color="auto" w:sz="12" w:space="0"/>
              <w:left w:val="nil"/>
              <w:bottom w:val="single" w:color="auto" w:sz="4" w:space="0"/>
              <w:right w:val="single" w:color="auto" w:sz="4" w:space="0"/>
            </w:tcBorders>
            <w:vAlign w:val="center"/>
          </w:tcPr>
          <w:p w14:paraId="268BF05E">
            <w:pPr>
              <w:widowControl/>
              <w:jc w:val="left"/>
              <w:rPr>
                <w:b/>
                <w:color w:val="auto"/>
                <w:kern w:val="0"/>
                <w:sz w:val="24"/>
              </w:rPr>
            </w:pPr>
          </w:p>
        </w:tc>
        <w:tc>
          <w:tcPr>
            <w:tcW w:w="2187" w:type="dxa"/>
            <w:gridSpan w:val="2"/>
            <w:vMerge w:val="continue"/>
            <w:tcBorders>
              <w:top w:val="single" w:color="auto" w:sz="12" w:space="0"/>
              <w:left w:val="single" w:color="auto" w:sz="4" w:space="0"/>
              <w:bottom w:val="single" w:color="auto" w:sz="4" w:space="0"/>
              <w:right w:val="nil"/>
            </w:tcBorders>
            <w:vAlign w:val="center"/>
          </w:tcPr>
          <w:p w14:paraId="4BD4366E">
            <w:pPr>
              <w:widowControl/>
              <w:jc w:val="left"/>
              <w:rPr>
                <w:b/>
                <w:color w:val="auto"/>
                <w:kern w:val="0"/>
                <w:sz w:val="24"/>
              </w:rPr>
            </w:pPr>
          </w:p>
        </w:tc>
      </w:tr>
      <w:tr w14:paraId="0894C452">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exact"/>
          <w:jc w:val="center"/>
        </w:trPr>
        <w:tc>
          <w:tcPr>
            <w:tcW w:w="3492" w:type="dxa"/>
            <w:tcBorders>
              <w:top w:val="single" w:color="auto" w:sz="4" w:space="0"/>
              <w:left w:val="nil"/>
              <w:bottom w:val="nil"/>
              <w:right w:val="single" w:color="auto" w:sz="4" w:space="0"/>
            </w:tcBorders>
            <w:vAlign w:val="center"/>
          </w:tcPr>
          <w:p w14:paraId="2BABC559">
            <w:pPr>
              <w:spacing w:line="280" w:lineRule="exact"/>
              <w:rPr>
                <w:color w:val="auto"/>
                <w:sz w:val="24"/>
              </w:rPr>
            </w:pPr>
            <w:r>
              <w:rPr>
                <w:rFonts w:hint="eastAsia"/>
                <w:color w:val="auto"/>
                <w:sz w:val="24"/>
              </w:rPr>
              <w:t>居</w:t>
            </w:r>
            <w:r>
              <w:rPr>
                <w:color w:val="auto"/>
                <w:sz w:val="24"/>
              </w:rPr>
              <w:t>民消费价格</w:t>
            </w:r>
          </w:p>
        </w:tc>
        <w:tc>
          <w:tcPr>
            <w:tcW w:w="1817" w:type="dxa"/>
            <w:tcBorders>
              <w:top w:val="single" w:color="auto" w:sz="4" w:space="0"/>
              <w:left w:val="single" w:color="auto" w:sz="4" w:space="0"/>
              <w:bottom w:val="nil"/>
              <w:right w:val="nil"/>
            </w:tcBorders>
            <w:vAlign w:val="center"/>
          </w:tcPr>
          <w:p w14:paraId="206087F7">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-0.7</w:t>
            </w:r>
          </w:p>
        </w:tc>
        <w:tc>
          <w:tcPr>
            <w:tcW w:w="370" w:type="dxa"/>
            <w:tcBorders>
              <w:top w:val="single" w:color="auto" w:sz="4" w:space="0"/>
              <w:left w:val="nil"/>
              <w:bottom w:val="nil"/>
              <w:right w:val="nil"/>
            </w:tcBorders>
          </w:tcPr>
          <w:p w14:paraId="1FBF59D0">
            <w:pPr>
              <w:widowControl/>
              <w:spacing w:line="360" w:lineRule="exact"/>
              <w:jc w:val="right"/>
              <w:rPr>
                <w:rFonts w:hint="eastAsia" w:eastAsia="宋体"/>
                <w:color w:val="auto"/>
                <w:kern w:val="0"/>
                <w:sz w:val="24"/>
                <w:szCs w:val="24"/>
                <w:lang w:val="en-US" w:eastAsia="zh-CN"/>
              </w:rPr>
            </w:pPr>
          </w:p>
        </w:tc>
      </w:tr>
      <w:tr w14:paraId="5C610046">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exact"/>
          <w:jc w:val="center"/>
        </w:trPr>
        <w:tc>
          <w:tcPr>
            <w:tcW w:w="3492" w:type="dxa"/>
            <w:tcBorders>
              <w:top w:val="nil"/>
              <w:left w:val="nil"/>
              <w:bottom w:val="nil"/>
              <w:right w:val="single" w:color="auto" w:sz="4" w:space="0"/>
            </w:tcBorders>
            <w:vAlign w:val="center"/>
          </w:tcPr>
          <w:p w14:paraId="58A8778A">
            <w:pPr>
              <w:widowControl/>
              <w:spacing w:line="280" w:lineRule="exact"/>
              <w:ind w:firstLine="240" w:firstLineChars="100"/>
              <w:rPr>
                <w:color w:val="auto"/>
                <w:kern w:val="0"/>
                <w:sz w:val="24"/>
              </w:rPr>
            </w:pPr>
            <w:r>
              <w:rPr>
                <w:color w:val="auto"/>
                <w:kern w:val="0"/>
                <w:sz w:val="24"/>
              </w:rPr>
              <w:t>食品</w:t>
            </w:r>
            <w:r>
              <w:rPr>
                <w:rFonts w:hint="eastAsia"/>
                <w:color w:val="auto"/>
                <w:kern w:val="0"/>
                <w:sz w:val="24"/>
              </w:rPr>
              <w:t>烟</w:t>
            </w:r>
            <w:r>
              <w:rPr>
                <w:color w:val="auto"/>
                <w:kern w:val="0"/>
                <w:sz w:val="24"/>
              </w:rPr>
              <w:t>酒</w:t>
            </w:r>
          </w:p>
        </w:tc>
        <w:tc>
          <w:tcPr>
            <w:tcW w:w="1817" w:type="dxa"/>
            <w:tcBorders>
              <w:top w:val="nil"/>
              <w:left w:val="single" w:color="auto" w:sz="4" w:space="0"/>
              <w:bottom w:val="nil"/>
              <w:right w:val="nil"/>
            </w:tcBorders>
            <w:vAlign w:val="center"/>
          </w:tcPr>
          <w:p w14:paraId="4C617568">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-2.0</w:t>
            </w:r>
          </w:p>
        </w:tc>
        <w:tc>
          <w:tcPr>
            <w:tcW w:w="370" w:type="dxa"/>
            <w:tcBorders>
              <w:top w:val="nil"/>
              <w:left w:val="nil"/>
              <w:bottom w:val="nil"/>
              <w:right w:val="nil"/>
            </w:tcBorders>
            <w:vAlign w:val="center"/>
          </w:tcPr>
          <w:p w14:paraId="492B8C8A">
            <w:pPr>
              <w:widowControl/>
              <w:spacing w:line="360" w:lineRule="exact"/>
              <w:jc w:val="right"/>
              <w:rPr>
                <w:rFonts w:hint="eastAsia" w:eastAsia="宋体"/>
                <w:color w:val="auto"/>
                <w:kern w:val="0"/>
                <w:sz w:val="24"/>
                <w:szCs w:val="24"/>
                <w:lang w:val="en-US" w:eastAsia="zh-CN"/>
              </w:rPr>
            </w:pPr>
          </w:p>
        </w:tc>
      </w:tr>
      <w:tr w14:paraId="09DDD81C">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exact"/>
          <w:jc w:val="center"/>
        </w:trPr>
        <w:tc>
          <w:tcPr>
            <w:tcW w:w="3492" w:type="dxa"/>
            <w:tcBorders>
              <w:top w:val="nil"/>
              <w:left w:val="nil"/>
              <w:bottom w:val="nil"/>
              <w:right w:val="single" w:color="auto" w:sz="4" w:space="0"/>
            </w:tcBorders>
            <w:vAlign w:val="center"/>
          </w:tcPr>
          <w:p w14:paraId="48AD7260">
            <w:pPr>
              <w:widowControl/>
              <w:spacing w:line="280" w:lineRule="exact"/>
              <w:rPr>
                <w:color w:val="auto"/>
                <w:kern w:val="0"/>
                <w:sz w:val="24"/>
              </w:rPr>
            </w:pPr>
            <w:r>
              <w:rPr>
                <w:rFonts w:hint="eastAsia"/>
                <w:color w:val="auto"/>
                <w:kern w:val="0"/>
                <w:sz w:val="24"/>
              </w:rPr>
              <w:t xml:space="preserve">  衣  着</w:t>
            </w:r>
          </w:p>
        </w:tc>
        <w:tc>
          <w:tcPr>
            <w:tcW w:w="1817" w:type="dxa"/>
            <w:tcBorders>
              <w:top w:val="nil"/>
              <w:left w:val="single" w:color="auto" w:sz="4" w:space="0"/>
              <w:bottom w:val="nil"/>
              <w:right w:val="nil"/>
            </w:tcBorders>
            <w:vAlign w:val="center"/>
          </w:tcPr>
          <w:p w14:paraId="68D3E316">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-3.9</w:t>
            </w:r>
          </w:p>
        </w:tc>
        <w:tc>
          <w:tcPr>
            <w:tcW w:w="370" w:type="dxa"/>
            <w:tcBorders>
              <w:top w:val="nil"/>
              <w:left w:val="nil"/>
              <w:bottom w:val="nil"/>
              <w:right w:val="nil"/>
            </w:tcBorders>
            <w:vAlign w:val="center"/>
          </w:tcPr>
          <w:p w14:paraId="3228204A">
            <w:pPr>
              <w:widowControl/>
              <w:spacing w:line="360" w:lineRule="exact"/>
              <w:jc w:val="right"/>
              <w:rPr>
                <w:rFonts w:hint="eastAsia" w:eastAsia="宋体"/>
                <w:color w:val="auto"/>
                <w:kern w:val="0"/>
                <w:sz w:val="24"/>
                <w:szCs w:val="24"/>
                <w:lang w:val="en-US" w:eastAsia="zh-CN"/>
              </w:rPr>
            </w:pPr>
          </w:p>
        </w:tc>
      </w:tr>
      <w:tr w14:paraId="35269CFF">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exact"/>
          <w:jc w:val="center"/>
        </w:trPr>
        <w:tc>
          <w:tcPr>
            <w:tcW w:w="3492" w:type="dxa"/>
            <w:tcBorders>
              <w:top w:val="nil"/>
              <w:left w:val="nil"/>
              <w:bottom w:val="nil"/>
              <w:right w:val="single" w:color="auto" w:sz="4" w:space="0"/>
            </w:tcBorders>
            <w:vAlign w:val="center"/>
          </w:tcPr>
          <w:p w14:paraId="2AE4C84A">
            <w:pPr>
              <w:widowControl/>
              <w:spacing w:line="280" w:lineRule="exact"/>
              <w:rPr>
                <w:color w:val="auto"/>
                <w:kern w:val="0"/>
                <w:sz w:val="24"/>
              </w:rPr>
            </w:pPr>
            <w:r>
              <w:rPr>
                <w:rFonts w:hint="eastAsia"/>
                <w:color w:val="auto"/>
                <w:kern w:val="0"/>
                <w:sz w:val="24"/>
              </w:rPr>
              <w:t xml:space="preserve">  居  住</w:t>
            </w:r>
          </w:p>
        </w:tc>
        <w:tc>
          <w:tcPr>
            <w:tcW w:w="1817" w:type="dxa"/>
            <w:tcBorders>
              <w:top w:val="nil"/>
              <w:left w:val="single" w:color="auto" w:sz="4" w:space="0"/>
              <w:bottom w:val="nil"/>
              <w:right w:val="nil"/>
            </w:tcBorders>
            <w:vAlign w:val="center"/>
          </w:tcPr>
          <w:p w14:paraId="7457AB2A">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-0.1</w:t>
            </w:r>
          </w:p>
        </w:tc>
        <w:tc>
          <w:tcPr>
            <w:tcW w:w="370" w:type="dxa"/>
            <w:tcBorders>
              <w:top w:val="nil"/>
              <w:left w:val="nil"/>
              <w:bottom w:val="nil"/>
              <w:right w:val="nil"/>
            </w:tcBorders>
            <w:vAlign w:val="center"/>
          </w:tcPr>
          <w:p w14:paraId="7EBEB902">
            <w:pPr>
              <w:widowControl/>
              <w:spacing w:line="360" w:lineRule="exact"/>
              <w:jc w:val="right"/>
              <w:rPr>
                <w:rFonts w:hint="eastAsia" w:eastAsia="宋体"/>
                <w:color w:val="auto"/>
                <w:kern w:val="0"/>
                <w:sz w:val="24"/>
                <w:szCs w:val="24"/>
                <w:lang w:val="en-US" w:eastAsia="zh-CN"/>
              </w:rPr>
            </w:pPr>
          </w:p>
        </w:tc>
      </w:tr>
      <w:tr w14:paraId="18FE55C8">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3492" w:type="dxa"/>
            <w:tcBorders>
              <w:top w:val="nil"/>
              <w:left w:val="nil"/>
              <w:bottom w:val="nil"/>
              <w:right w:val="single" w:color="auto" w:sz="4" w:space="0"/>
            </w:tcBorders>
            <w:vAlign w:val="center"/>
          </w:tcPr>
          <w:p w14:paraId="08CB26D4">
            <w:pPr>
              <w:widowControl/>
              <w:spacing w:line="280" w:lineRule="exact"/>
              <w:ind w:firstLine="240" w:firstLineChars="100"/>
              <w:rPr>
                <w:color w:val="auto"/>
                <w:kern w:val="0"/>
                <w:sz w:val="24"/>
              </w:rPr>
            </w:pPr>
            <w:r>
              <w:rPr>
                <w:rFonts w:hint="eastAsia"/>
                <w:color w:val="auto"/>
                <w:kern w:val="0"/>
                <w:sz w:val="24"/>
              </w:rPr>
              <w:t>生</w:t>
            </w:r>
            <w:r>
              <w:rPr>
                <w:color w:val="auto"/>
                <w:kern w:val="0"/>
                <w:sz w:val="24"/>
              </w:rPr>
              <w:t>活用</w:t>
            </w:r>
            <w:r>
              <w:rPr>
                <w:rFonts w:hint="eastAsia"/>
                <w:color w:val="auto"/>
                <w:kern w:val="0"/>
                <w:sz w:val="24"/>
              </w:rPr>
              <w:t>品</w:t>
            </w:r>
            <w:r>
              <w:rPr>
                <w:color w:val="auto"/>
                <w:kern w:val="0"/>
                <w:sz w:val="24"/>
              </w:rPr>
              <w:t>及服务</w:t>
            </w:r>
          </w:p>
        </w:tc>
        <w:tc>
          <w:tcPr>
            <w:tcW w:w="1817" w:type="dxa"/>
            <w:tcBorders>
              <w:top w:val="nil"/>
              <w:left w:val="single" w:color="auto" w:sz="4" w:space="0"/>
              <w:bottom w:val="nil"/>
              <w:right w:val="nil"/>
            </w:tcBorders>
            <w:vAlign w:val="center"/>
          </w:tcPr>
          <w:p w14:paraId="5CD2307B">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0.2</w:t>
            </w:r>
          </w:p>
        </w:tc>
        <w:tc>
          <w:tcPr>
            <w:tcW w:w="370" w:type="dxa"/>
            <w:tcBorders>
              <w:top w:val="nil"/>
              <w:left w:val="nil"/>
              <w:bottom w:val="nil"/>
              <w:right w:val="nil"/>
            </w:tcBorders>
            <w:vAlign w:val="center"/>
          </w:tcPr>
          <w:p w14:paraId="7C1B39E0">
            <w:pPr>
              <w:widowControl/>
              <w:spacing w:line="360" w:lineRule="exact"/>
              <w:jc w:val="right"/>
              <w:rPr>
                <w:rFonts w:hint="eastAsia" w:eastAsia="宋体"/>
                <w:color w:val="auto"/>
                <w:kern w:val="0"/>
                <w:sz w:val="24"/>
                <w:szCs w:val="24"/>
                <w:lang w:val="en-US" w:eastAsia="zh-CN"/>
              </w:rPr>
            </w:pPr>
          </w:p>
        </w:tc>
      </w:tr>
      <w:tr w14:paraId="465C0337">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exact"/>
          <w:jc w:val="center"/>
        </w:trPr>
        <w:tc>
          <w:tcPr>
            <w:tcW w:w="3492" w:type="dxa"/>
            <w:tcBorders>
              <w:top w:val="nil"/>
              <w:left w:val="nil"/>
              <w:bottom w:val="nil"/>
              <w:right w:val="single" w:color="auto" w:sz="4" w:space="0"/>
            </w:tcBorders>
            <w:vAlign w:val="center"/>
          </w:tcPr>
          <w:p w14:paraId="0C9CFE8D">
            <w:pPr>
              <w:widowControl/>
              <w:spacing w:line="280" w:lineRule="exact"/>
              <w:ind w:firstLine="240" w:firstLineChars="100"/>
              <w:rPr>
                <w:color w:val="auto"/>
                <w:kern w:val="0"/>
                <w:sz w:val="24"/>
              </w:rPr>
            </w:pPr>
            <w:r>
              <w:rPr>
                <w:rFonts w:hint="eastAsia"/>
                <w:color w:val="auto"/>
                <w:kern w:val="0"/>
                <w:sz w:val="24"/>
              </w:rPr>
              <w:t>交</w:t>
            </w:r>
            <w:r>
              <w:rPr>
                <w:color w:val="auto"/>
                <w:kern w:val="0"/>
                <w:sz w:val="24"/>
              </w:rPr>
              <w:t>通和通信</w:t>
            </w:r>
          </w:p>
        </w:tc>
        <w:tc>
          <w:tcPr>
            <w:tcW w:w="1817" w:type="dxa"/>
            <w:tcBorders>
              <w:top w:val="nil"/>
              <w:left w:val="single" w:color="auto" w:sz="4" w:space="0"/>
              <w:bottom w:val="nil"/>
              <w:right w:val="nil"/>
            </w:tcBorders>
            <w:vAlign w:val="center"/>
          </w:tcPr>
          <w:p w14:paraId="6158761B">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-3.5</w:t>
            </w:r>
          </w:p>
        </w:tc>
        <w:tc>
          <w:tcPr>
            <w:tcW w:w="370" w:type="dxa"/>
            <w:tcBorders>
              <w:top w:val="nil"/>
              <w:left w:val="nil"/>
              <w:bottom w:val="nil"/>
              <w:right w:val="nil"/>
            </w:tcBorders>
            <w:vAlign w:val="center"/>
          </w:tcPr>
          <w:p w14:paraId="658F7BA5">
            <w:pPr>
              <w:widowControl/>
              <w:spacing w:line="360" w:lineRule="exact"/>
              <w:jc w:val="right"/>
              <w:rPr>
                <w:rFonts w:hint="eastAsia" w:eastAsia="宋体"/>
                <w:color w:val="auto"/>
                <w:kern w:val="0"/>
                <w:sz w:val="24"/>
                <w:szCs w:val="24"/>
                <w:lang w:val="en-US" w:eastAsia="zh-CN"/>
              </w:rPr>
            </w:pPr>
          </w:p>
        </w:tc>
      </w:tr>
      <w:tr w14:paraId="75958F88">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exact"/>
          <w:jc w:val="center"/>
        </w:trPr>
        <w:tc>
          <w:tcPr>
            <w:tcW w:w="3492" w:type="dxa"/>
            <w:tcBorders>
              <w:top w:val="nil"/>
              <w:left w:val="nil"/>
              <w:bottom w:val="nil"/>
              <w:right w:val="single" w:color="auto" w:sz="4" w:space="0"/>
            </w:tcBorders>
            <w:vAlign w:val="center"/>
          </w:tcPr>
          <w:p w14:paraId="19C89CBC">
            <w:pPr>
              <w:widowControl/>
              <w:spacing w:line="280" w:lineRule="exact"/>
              <w:ind w:firstLine="240" w:firstLineChars="100"/>
              <w:rPr>
                <w:color w:val="auto"/>
                <w:kern w:val="0"/>
                <w:sz w:val="24"/>
              </w:rPr>
            </w:pPr>
            <w:r>
              <w:rPr>
                <w:rFonts w:hint="eastAsia"/>
                <w:color w:val="auto"/>
                <w:kern w:val="0"/>
                <w:sz w:val="24"/>
              </w:rPr>
              <w:t>教</w:t>
            </w:r>
            <w:r>
              <w:rPr>
                <w:color w:val="auto"/>
                <w:kern w:val="0"/>
                <w:sz w:val="24"/>
              </w:rPr>
              <w:t>育文化和</w:t>
            </w:r>
            <w:r>
              <w:rPr>
                <w:rFonts w:hint="eastAsia"/>
                <w:color w:val="auto"/>
                <w:kern w:val="0"/>
                <w:sz w:val="24"/>
              </w:rPr>
              <w:t>娱</w:t>
            </w:r>
            <w:r>
              <w:rPr>
                <w:color w:val="auto"/>
                <w:kern w:val="0"/>
                <w:sz w:val="24"/>
              </w:rPr>
              <w:t>乐</w:t>
            </w:r>
          </w:p>
        </w:tc>
        <w:tc>
          <w:tcPr>
            <w:tcW w:w="1817" w:type="dxa"/>
            <w:tcBorders>
              <w:top w:val="nil"/>
              <w:left w:val="single" w:color="auto" w:sz="4" w:space="0"/>
              <w:bottom w:val="nil"/>
              <w:right w:val="nil"/>
            </w:tcBorders>
            <w:vAlign w:val="center"/>
          </w:tcPr>
          <w:p w14:paraId="770931F4">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2.2</w:t>
            </w:r>
          </w:p>
        </w:tc>
        <w:tc>
          <w:tcPr>
            <w:tcW w:w="370" w:type="dxa"/>
            <w:tcBorders>
              <w:top w:val="nil"/>
              <w:left w:val="nil"/>
              <w:bottom w:val="nil"/>
              <w:right w:val="nil"/>
            </w:tcBorders>
            <w:vAlign w:val="center"/>
          </w:tcPr>
          <w:p w14:paraId="5F1BB42B">
            <w:pPr>
              <w:widowControl/>
              <w:spacing w:line="360" w:lineRule="exact"/>
              <w:jc w:val="right"/>
              <w:rPr>
                <w:rFonts w:hint="eastAsia" w:eastAsia="宋体"/>
                <w:color w:val="auto"/>
                <w:kern w:val="0"/>
                <w:sz w:val="24"/>
                <w:szCs w:val="24"/>
                <w:lang w:val="en-US" w:eastAsia="zh-CN"/>
              </w:rPr>
            </w:pPr>
          </w:p>
        </w:tc>
      </w:tr>
      <w:tr w14:paraId="54ECBF19">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exact"/>
          <w:jc w:val="center"/>
        </w:trPr>
        <w:tc>
          <w:tcPr>
            <w:tcW w:w="3492" w:type="dxa"/>
            <w:tcBorders>
              <w:top w:val="nil"/>
              <w:left w:val="nil"/>
              <w:bottom w:val="nil"/>
              <w:right w:val="single" w:color="auto" w:sz="4" w:space="0"/>
            </w:tcBorders>
            <w:vAlign w:val="center"/>
          </w:tcPr>
          <w:p w14:paraId="2648017D">
            <w:pPr>
              <w:widowControl/>
              <w:spacing w:line="280" w:lineRule="exact"/>
              <w:ind w:right="-436" w:rightChars="-208" w:firstLine="240" w:firstLineChars="100"/>
              <w:rPr>
                <w:color w:val="auto"/>
                <w:kern w:val="0"/>
                <w:sz w:val="24"/>
              </w:rPr>
            </w:pPr>
            <w:r>
              <w:rPr>
                <w:rFonts w:hint="eastAsia"/>
                <w:color w:val="auto"/>
                <w:kern w:val="0"/>
                <w:sz w:val="24"/>
              </w:rPr>
              <w:t>医</w:t>
            </w:r>
            <w:r>
              <w:rPr>
                <w:color w:val="auto"/>
                <w:kern w:val="0"/>
                <w:sz w:val="24"/>
              </w:rPr>
              <w:t>疗保健</w:t>
            </w:r>
          </w:p>
        </w:tc>
        <w:tc>
          <w:tcPr>
            <w:tcW w:w="1817" w:type="dxa"/>
            <w:tcBorders>
              <w:top w:val="nil"/>
              <w:left w:val="single" w:color="auto" w:sz="4" w:space="0"/>
              <w:bottom w:val="nil"/>
              <w:right w:val="nil"/>
            </w:tcBorders>
            <w:vAlign w:val="center"/>
          </w:tcPr>
          <w:p w14:paraId="0DCBEC28">
            <w:pPr>
              <w:widowControl/>
              <w:spacing w:line="360" w:lineRule="exact"/>
              <w:jc w:val="right"/>
              <w:rPr>
                <w:rFonts w:hint="default" w:eastAsia="宋体"/>
                <w:color w:val="auto"/>
                <w:kern w:val="0"/>
                <w:sz w:val="24"/>
                <w:szCs w:val="24"/>
                <w:lang w:val="en-US" w:eastAsia="zh-CN"/>
              </w:rPr>
            </w:pPr>
            <w:r>
              <w:rPr>
                <w:rFonts w:hint="eastAsia" w:eastAsia="宋体"/>
                <w:color w:val="auto"/>
                <w:kern w:val="0"/>
                <w:sz w:val="24"/>
                <w:szCs w:val="24"/>
                <w:lang w:val="en-US" w:eastAsia="zh-CN"/>
              </w:rPr>
              <w:t>1.4</w:t>
            </w:r>
          </w:p>
        </w:tc>
        <w:tc>
          <w:tcPr>
            <w:tcW w:w="370" w:type="dxa"/>
            <w:tcBorders>
              <w:top w:val="nil"/>
              <w:left w:val="nil"/>
              <w:bottom w:val="nil"/>
              <w:right w:val="nil"/>
            </w:tcBorders>
            <w:vAlign w:val="center"/>
          </w:tcPr>
          <w:p w14:paraId="61A169AD">
            <w:pPr>
              <w:widowControl/>
              <w:spacing w:line="360" w:lineRule="exact"/>
              <w:jc w:val="right"/>
              <w:rPr>
                <w:rFonts w:hint="eastAsia" w:eastAsia="宋体"/>
                <w:color w:val="auto"/>
                <w:kern w:val="0"/>
                <w:sz w:val="24"/>
                <w:szCs w:val="24"/>
                <w:lang w:val="en-US" w:eastAsia="zh-CN"/>
              </w:rPr>
            </w:pPr>
          </w:p>
        </w:tc>
      </w:tr>
      <w:tr w14:paraId="182ADF35">
        <w:tblPrEx>
          <w:tblBorders>
            <w:top w:val="single" w:color="auto" w:sz="18"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exact"/>
          <w:jc w:val="center"/>
        </w:trPr>
        <w:tc>
          <w:tcPr>
            <w:tcW w:w="3492" w:type="dxa"/>
            <w:tcBorders>
              <w:top w:val="nil"/>
              <w:left w:val="nil"/>
              <w:bottom w:val="single" w:color="auto" w:sz="12" w:space="0"/>
              <w:right w:val="single" w:color="auto" w:sz="4" w:space="0"/>
            </w:tcBorders>
            <w:vAlign w:val="center"/>
          </w:tcPr>
          <w:p w14:paraId="63CBDF8D">
            <w:pPr>
              <w:widowControl/>
              <w:spacing w:line="280" w:lineRule="exact"/>
              <w:ind w:firstLine="240" w:firstLineChars="100"/>
              <w:rPr>
                <w:color w:val="auto"/>
                <w:kern w:val="0"/>
                <w:sz w:val="24"/>
              </w:rPr>
            </w:pPr>
            <w:r>
              <w:rPr>
                <w:rFonts w:hint="eastAsia"/>
                <w:color w:val="auto"/>
                <w:kern w:val="0"/>
                <w:sz w:val="24"/>
              </w:rPr>
              <w:t>其</w:t>
            </w:r>
            <w:r>
              <w:rPr>
                <w:color w:val="auto"/>
                <w:kern w:val="0"/>
                <w:sz w:val="24"/>
              </w:rPr>
              <w:t>他用品和服务</w:t>
            </w:r>
          </w:p>
        </w:tc>
        <w:tc>
          <w:tcPr>
            <w:tcW w:w="1817" w:type="dxa"/>
            <w:tcBorders>
              <w:top w:val="nil"/>
              <w:left w:val="single" w:color="auto" w:sz="4" w:space="0"/>
              <w:bottom w:val="single" w:color="auto" w:sz="12" w:space="0"/>
              <w:right w:val="nil"/>
            </w:tcBorders>
            <w:vAlign w:val="top"/>
          </w:tcPr>
          <w:p w14:paraId="237208DC">
            <w:pPr>
              <w:widowControl/>
              <w:spacing w:line="360" w:lineRule="exact"/>
              <w:jc w:val="right"/>
              <w:rPr>
                <w:rFonts w:hint="default" w:eastAsia="宋体"/>
                <w:color w:val="auto"/>
                <w:kern w:val="0"/>
                <w:sz w:val="24"/>
                <w:szCs w:val="24"/>
                <w:lang w:val="en-US" w:eastAsia="zh-CN"/>
              </w:rPr>
            </w:pPr>
            <w:r>
              <w:rPr>
                <w:rFonts w:hint="eastAsia"/>
                <w:color w:val="auto"/>
                <w:kern w:val="0"/>
                <w:sz w:val="24"/>
                <w:szCs w:val="24"/>
                <w:lang w:val="en-US" w:eastAsia="zh-CN"/>
              </w:rPr>
              <w:t>6.1</w:t>
            </w:r>
          </w:p>
        </w:tc>
        <w:tc>
          <w:tcPr>
            <w:tcW w:w="370" w:type="dxa"/>
            <w:tcBorders>
              <w:top w:val="nil"/>
              <w:left w:val="nil"/>
              <w:bottom w:val="single" w:color="auto" w:sz="12" w:space="0"/>
              <w:right w:val="nil"/>
            </w:tcBorders>
            <w:vAlign w:val="center"/>
          </w:tcPr>
          <w:p w14:paraId="16967263">
            <w:pPr>
              <w:widowControl/>
              <w:spacing w:line="300" w:lineRule="exact"/>
              <w:jc w:val="right"/>
              <w:rPr>
                <w:color w:val="auto"/>
                <w:kern w:val="0"/>
                <w:sz w:val="24"/>
              </w:rPr>
            </w:pPr>
          </w:p>
        </w:tc>
      </w:tr>
    </w:tbl>
    <w:p w14:paraId="2854733A">
      <w:pPr>
        <w:spacing w:line="460" w:lineRule="exact"/>
        <w:jc w:val="center"/>
        <w:rPr>
          <w:rFonts w:ascii="黑体" w:hAnsi="仿宋" w:eastAsia="黑体"/>
          <w:color w:val="auto"/>
          <w:kern w:val="0"/>
          <w:sz w:val="24"/>
        </w:rPr>
      </w:pPr>
      <w:r>
        <w:rPr>
          <w:rFonts w:hint="eastAsia" w:ascii="黑体" w:hAnsi="仿宋" w:eastAsia="黑体"/>
          <w:color w:val="auto"/>
          <w:kern w:val="0"/>
          <w:sz w:val="24"/>
        </w:rPr>
        <w:t>图</w:t>
      </w:r>
      <w:r>
        <w:rPr>
          <w:rFonts w:hint="eastAsia" w:ascii="黑体" w:hAnsi="仿宋" w:eastAsia="黑体"/>
          <w:color w:val="auto"/>
          <w:kern w:val="0"/>
          <w:sz w:val="24"/>
          <w:lang w:val="en-US" w:eastAsia="zh-CN"/>
        </w:rPr>
        <w:t>3</w:t>
      </w:r>
      <w:r>
        <w:rPr>
          <w:rFonts w:hint="eastAsia" w:ascii="黑体" w:hAnsi="仿宋" w:eastAsia="黑体"/>
          <w:color w:val="auto"/>
          <w:kern w:val="0"/>
          <w:sz w:val="24"/>
        </w:rPr>
        <w:t xml:space="preserve"> </w:t>
      </w:r>
      <w:r>
        <w:rPr>
          <w:rFonts w:hint="eastAsia" w:ascii="黑体" w:hAnsi="仿宋" w:eastAsia="黑体"/>
          <w:bCs/>
          <w:color w:val="auto"/>
          <w:kern w:val="0"/>
          <w:sz w:val="24"/>
        </w:rPr>
        <w:t xml:space="preserve"> </w:t>
      </w:r>
      <w:r>
        <w:rPr>
          <w:rFonts w:hint="eastAsia" w:ascii="黑体" w:hAnsi="仿宋" w:eastAsia="黑体"/>
          <w:color w:val="auto"/>
          <w:kern w:val="0"/>
          <w:sz w:val="24"/>
        </w:rPr>
        <w:t>20</w:t>
      </w:r>
      <w:r>
        <w:rPr>
          <w:rFonts w:hint="eastAsia" w:ascii="黑体" w:hAnsi="仿宋" w:eastAsia="黑体"/>
          <w:color w:val="auto"/>
          <w:kern w:val="0"/>
          <w:sz w:val="24"/>
          <w:lang w:val="en-US" w:eastAsia="zh-CN"/>
        </w:rPr>
        <w:t>21—</w:t>
      </w:r>
      <w:r>
        <w:rPr>
          <w:rFonts w:hint="eastAsia" w:ascii="黑体" w:hAnsi="仿宋" w:eastAsia="黑体"/>
          <w:color w:val="auto"/>
          <w:kern w:val="0"/>
          <w:sz w:val="24"/>
        </w:rPr>
        <w:t>202</w:t>
      </w:r>
      <w:r>
        <w:rPr>
          <w:rFonts w:hint="eastAsia" w:ascii="黑体" w:hAnsi="仿宋" w:eastAsia="黑体"/>
          <w:color w:val="auto"/>
          <w:kern w:val="0"/>
          <w:sz w:val="24"/>
          <w:lang w:val="en-US" w:eastAsia="zh-CN"/>
        </w:rPr>
        <w:t>5</w:t>
      </w:r>
      <w:r>
        <w:rPr>
          <w:rFonts w:hint="eastAsia" w:ascii="黑体" w:hAnsi="仿宋" w:eastAsia="黑体"/>
          <w:color w:val="auto"/>
          <w:kern w:val="0"/>
          <w:sz w:val="24"/>
        </w:rPr>
        <w:t>年乐山市居民消费价格涨跌幅度</w:t>
      </w:r>
    </w:p>
    <w:p w14:paraId="48E702BB">
      <w:pPr>
        <w:jc w:val="center"/>
        <w:rPr>
          <w:rFonts w:hint="eastAsia" w:ascii="方正黑体简体" w:eastAsia="宋体"/>
          <w:bCs/>
          <w:color w:val="auto"/>
          <w:kern w:val="0"/>
          <w:lang w:val="en-US" w:eastAsia="zh-CN"/>
        </w:rPr>
      </w:pPr>
      <w:r>
        <w:rPr>
          <w:color w:val="auto"/>
          <w:sz w:val="24"/>
        </w:rPr>
        <w:drawing>
          <wp:anchor distT="0" distB="0" distL="0" distR="0" simplePos="0" relativeHeight="251663360" behindDoc="1" locked="0" layoutInCell="1" allowOverlap="1">
            <wp:simplePos x="0" y="0"/>
            <wp:positionH relativeFrom="column">
              <wp:posOffset>118745</wp:posOffset>
            </wp:positionH>
            <wp:positionV relativeFrom="paragraph">
              <wp:posOffset>15875</wp:posOffset>
            </wp:positionV>
            <wp:extent cx="3331845" cy="2510155"/>
            <wp:effectExtent l="4445" t="4445" r="35560" b="38100"/>
            <wp:wrapTight wrapText="bothSides">
              <wp:wrapPolygon>
                <wp:start x="-29" y="-38"/>
                <wp:lineTo x="-29" y="21764"/>
                <wp:lineTo x="21707" y="21764"/>
                <wp:lineTo x="21707" y="-38"/>
                <wp:lineTo x="-29" y="-38"/>
              </wp:wrapPolygon>
            </wp:wrapTight>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AE7BF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方正黑体简体" w:eastAsia="方正黑体简体"/>
          <w:bCs/>
          <w:color w:val="auto"/>
          <w:kern w:val="0"/>
        </w:rPr>
      </w:pPr>
    </w:p>
    <w:p w14:paraId="76A0A21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olor w:val="auto"/>
          <w:sz w:val="24"/>
        </w:rPr>
      </w:pPr>
    </w:p>
    <w:p w14:paraId="204ABB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olor w:val="auto"/>
          <w:sz w:val="24"/>
        </w:rPr>
      </w:pPr>
    </w:p>
    <w:p w14:paraId="29A3678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olor w:val="auto"/>
          <w:sz w:val="24"/>
        </w:rPr>
      </w:pPr>
    </w:p>
    <w:p w14:paraId="6582F5F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olor w:val="auto"/>
          <w:sz w:val="24"/>
        </w:rPr>
      </w:pPr>
    </w:p>
    <w:p w14:paraId="17FC04C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olor w:val="auto"/>
          <w:sz w:val="24"/>
        </w:rPr>
      </w:pPr>
    </w:p>
    <w:p w14:paraId="269AED0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黑体" w:hAnsi="宋体" w:eastAsia="黑体"/>
          <w:color w:val="auto"/>
          <w:sz w:val="24"/>
          <w:highlight w:val="none"/>
        </w:rPr>
      </w:pPr>
      <w:r>
        <w:rPr>
          <w:rFonts w:hint="eastAsia" w:ascii="黑体" w:hAnsi="宋体" w:eastAsia="黑体"/>
          <w:color w:val="auto"/>
          <w:sz w:val="24"/>
        </w:rPr>
        <w:t>二、农  业</w:t>
      </w:r>
    </w:p>
    <w:p w14:paraId="6E75D8C2">
      <w:pPr>
        <w:keepNext w:val="0"/>
        <w:keepLines w:val="0"/>
        <w:pageBreakBefore w:val="0"/>
        <w:tabs>
          <w:tab w:val="left" w:pos="7110"/>
        </w:tabs>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宋体" w:eastAsia="仿宋_GB2312"/>
          <w:color w:val="auto"/>
          <w:kern w:val="0"/>
          <w:sz w:val="24"/>
          <w:highlight w:val="yellow"/>
        </w:rPr>
      </w:pPr>
      <w:r>
        <w:rPr>
          <w:rFonts w:hint="eastAsia" w:ascii="仿宋_GB2312" w:hAnsi="宋体" w:eastAsia="仿宋_GB2312"/>
          <w:color w:val="auto"/>
          <w:kern w:val="0"/>
          <w:sz w:val="24"/>
          <w:highlight w:val="none"/>
        </w:rPr>
        <w:t>全年农作物播种面积</w:t>
      </w:r>
      <w:r>
        <w:rPr>
          <w:rFonts w:hint="eastAsia" w:ascii="仿宋_GB2312" w:hAnsi="宋体" w:eastAsia="仿宋_GB2312"/>
          <w:color w:val="auto"/>
          <w:kern w:val="0"/>
          <w:sz w:val="24"/>
          <w:highlight w:val="none"/>
          <w:lang w:val="en-US" w:eastAsia="zh-CN"/>
        </w:rPr>
        <w:t>19182</w:t>
      </w:r>
      <w:r>
        <w:rPr>
          <w:rFonts w:hint="eastAsia" w:ascii="仿宋_GB2312" w:hAnsi="宋体" w:eastAsia="仿宋_GB2312"/>
          <w:color w:val="auto"/>
          <w:kern w:val="0"/>
          <w:sz w:val="24"/>
          <w:highlight w:val="none"/>
        </w:rPr>
        <w:t>公顷，比上年</w:t>
      </w:r>
      <w:r>
        <w:rPr>
          <w:rFonts w:hint="eastAsia" w:ascii="仿宋_GB2312" w:hAnsi="宋体" w:eastAsia="仿宋_GB2312"/>
          <w:color w:val="auto"/>
          <w:kern w:val="0"/>
          <w:sz w:val="24"/>
          <w:highlight w:val="none"/>
          <w:lang w:eastAsia="zh-CN"/>
        </w:rPr>
        <w:t>增长</w:t>
      </w:r>
      <w:r>
        <w:rPr>
          <w:rFonts w:hint="eastAsia" w:ascii="仿宋_GB2312" w:hAnsi="宋体" w:eastAsia="仿宋_GB2312"/>
          <w:color w:val="auto"/>
          <w:kern w:val="0"/>
          <w:sz w:val="24"/>
          <w:highlight w:val="none"/>
          <w:lang w:val="en-US" w:eastAsia="zh-CN"/>
        </w:rPr>
        <w:t>4.4</w:t>
      </w:r>
      <w:r>
        <w:rPr>
          <w:rFonts w:hint="eastAsia" w:ascii="仿宋_GB2312" w:hAnsi="宋体" w:eastAsia="仿宋_GB2312"/>
          <w:color w:val="auto"/>
          <w:kern w:val="0"/>
          <w:sz w:val="24"/>
          <w:highlight w:val="none"/>
        </w:rPr>
        <w:t>公顷。全年粮食种植面积12848.5公顷，比上年</w:t>
      </w:r>
      <w:r>
        <w:rPr>
          <w:rFonts w:hint="eastAsia" w:ascii="仿宋_GB2312" w:hAnsi="宋体" w:eastAsia="仿宋_GB2312"/>
          <w:color w:val="auto"/>
          <w:kern w:val="0"/>
          <w:sz w:val="24"/>
          <w:highlight w:val="none"/>
          <w:lang w:eastAsia="zh-CN"/>
        </w:rPr>
        <w:t>增加</w:t>
      </w:r>
      <w:r>
        <w:rPr>
          <w:rFonts w:hint="eastAsia" w:ascii="仿宋_GB2312" w:hAnsi="宋体" w:eastAsia="仿宋_GB2312"/>
          <w:color w:val="auto"/>
          <w:kern w:val="0"/>
          <w:sz w:val="24"/>
          <w:highlight w:val="none"/>
        </w:rPr>
        <w:t>11.5公顷；油料种植面积2946.8 公顷，比上年增加11.1公顷；糖料种植面积1.6公顷，比上年增加0公顷；蔬菜种植面积2742.10 公顷，比上年增加2.4公顷。</w:t>
      </w:r>
    </w:p>
    <w:p w14:paraId="01F262C0">
      <w:pPr>
        <w:widowControl/>
        <w:tabs>
          <w:tab w:val="left" w:pos="7110"/>
        </w:tabs>
        <w:spacing w:line="460" w:lineRule="exact"/>
        <w:ind w:firstLine="480"/>
        <w:jc w:val="both"/>
        <w:rPr>
          <w:rFonts w:hint="eastAsia" w:ascii="仿宋_GB2312" w:hAnsi="宋体" w:eastAsia="仿宋_GB2312"/>
          <w:color w:val="auto"/>
          <w:kern w:val="0"/>
          <w:sz w:val="24"/>
          <w:highlight w:val="none"/>
        </w:rPr>
      </w:pPr>
      <w:r>
        <w:rPr>
          <w:rFonts w:hint="eastAsia" w:ascii="仿宋_GB2312" w:hAnsi="宋体" w:eastAsia="仿宋_GB2312"/>
          <w:color w:val="auto"/>
          <w:kern w:val="0"/>
          <w:sz w:val="24"/>
          <w:highlight w:val="none"/>
        </w:rPr>
        <w:t>全年粮食产量51950吨，比上年增产0.5%；油料产量3925.2吨，增产3.7%；糖料产量71.9吨，增产1.3%；蔬菜产量38581.2吨，增产4.</w:t>
      </w:r>
      <w:r>
        <w:rPr>
          <w:rFonts w:hint="eastAsia" w:ascii="仿宋_GB2312" w:hAnsi="宋体" w:eastAsia="仿宋_GB2312"/>
          <w:color w:val="auto"/>
          <w:kern w:val="0"/>
          <w:sz w:val="24"/>
          <w:highlight w:val="none"/>
          <w:lang w:val="en-US" w:eastAsia="zh-CN"/>
        </w:rPr>
        <w:t>4</w:t>
      </w:r>
      <w:r>
        <w:rPr>
          <w:rFonts w:hint="eastAsia" w:ascii="仿宋_GB2312" w:hAnsi="宋体" w:eastAsia="仿宋_GB2312"/>
          <w:color w:val="auto"/>
          <w:kern w:val="0"/>
          <w:sz w:val="24"/>
          <w:highlight w:val="none"/>
        </w:rPr>
        <w:t>%；茶叶产量345.2吨，增产2.4%；水果产量1371.</w:t>
      </w:r>
      <w:r>
        <w:rPr>
          <w:rFonts w:hint="eastAsia" w:ascii="仿宋_GB2312" w:hAnsi="宋体" w:eastAsia="仿宋_GB2312"/>
          <w:color w:val="auto"/>
          <w:kern w:val="0"/>
          <w:sz w:val="24"/>
          <w:highlight w:val="none"/>
          <w:lang w:val="en-US" w:eastAsia="zh-CN"/>
        </w:rPr>
        <w:t>2</w:t>
      </w:r>
      <w:r>
        <w:rPr>
          <w:rFonts w:hint="eastAsia" w:ascii="仿宋_GB2312" w:hAnsi="宋体" w:eastAsia="仿宋_GB2312"/>
          <w:color w:val="auto"/>
          <w:kern w:val="0"/>
          <w:sz w:val="24"/>
          <w:highlight w:val="none"/>
        </w:rPr>
        <w:t>吨，增产22.2%。</w:t>
      </w:r>
    </w:p>
    <w:p w14:paraId="00C70D6A">
      <w:pPr>
        <w:widowControl/>
        <w:tabs>
          <w:tab w:val="left" w:pos="7110"/>
        </w:tabs>
        <w:spacing w:line="460" w:lineRule="exact"/>
        <w:ind w:firstLine="480"/>
        <w:jc w:val="center"/>
        <w:rPr>
          <w:rFonts w:ascii="方正黑体简体" w:eastAsia="方正黑体简体"/>
          <w:color w:val="auto"/>
          <w:spacing w:val="8"/>
          <w:kern w:val="0"/>
          <w:sz w:val="24"/>
          <w:highlight w:val="none"/>
        </w:rPr>
      </w:pPr>
      <w:r>
        <w:rPr>
          <w:rFonts w:hint="eastAsia" w:ascii="方正黑体简体" w:eastAsia="方正黑体简体"/>
          <w:color w:val="auto"/>
          <w:spacing w:val="8"/>
          <w:kern w:val="0"/>
          <w:sz w:val="24"/>
          <w:highlight w:val="none"/>
        </w:rPr>
        <w:t>表</w:t>
      </w:r>
      <w:r>
        <w:rPr>
          <w:rFonts w:hint="eastAsia" w:ascii="方正黑体简体" w:eastAsia="方正黑体简体"/>
          <w:color w:val="auto"/>
          <w:spacing w:val="8"/>
          <w:kern w:val="0"/>
          <w:sz w:val="24"/>
          <w:highlight w:val="none"/>
          <w:lang w:val="en-US" w:eastAsia="zh-CN"/>
        </w:rPr>
        <w:t>4</w:t>
      </w:r>
      <w:r>
        <w:rPr>
          <w:rFonts w:hint="eastAsia" w:ascii="方正黑体简体" w:eastAsia="方正黑体简体"/>
          <w:color w:val="auto"/>
          <w:spacing w:val="8"/>
          <w:kern w:val="0"/>
          <w:sz w:val="24"/>
          <w:highlight w:val="none"/>
        </w:rPr>
        <w:t xml:space="preserve"> </w:t>
      </w:r>
      <w:r>
        <w:rPr>
          <w:rFonts w:hint="eastAsia" w:ascii="方正黑体简体" w:eastAsia="方正黑体简体"/>
          <w:color w:val="auto"/>
          <w:spacing w:val="8"/>
          <w:kern w:val="0"/>
          <w:sz w:val="24"/>
          <w:highlight w:val="none"/>
          <w:lang w:val="en-US" w:eastAsia="zh-CN"/>
        </w:rPr>
        <w:t xml:space="preserve"> </w:t>
      </w:r>
      <w:r>
        <w:rPr>
          <w:rFonts w:hint="eastAsia" w:ascii="方正黑体简体" w:eastAsia="方正黑体简体"/>
          <w:color w:val="auto"/>
          <w:spacing w:val="8"/>
          <w:kern w:val="0"/>
          <w:sz w:val="24"/>
          <w:highlight w:val="none"/>
        </w:rPr>
        <w:t>202</w:t>
      </w:r>
      <w:r>
        <w:rPr>
          <w:rFonts w:hint="eastAsia" w:ascii="方正黑体简体" w:eastAsia="方正黑体简体"/>
          <w:color w:val="auto"/>
          <w:spacing w:val="8"/>
          <w:kern w:val="0"/>
          <w:sz w:val="24"/>
          <w:highlight w:val="none"/>
          <w:lang w:val="en-US" w:eastAsia="zh-CN"/>
        </w:rPr>
        <w:t>5</w:t>
      </w:r>
      <w:r>
        <w:rPr>
          <w:rFonts w:hint="eastAsia" w:ascii="方正黑体简体" w:eastAsia="方正黑体简体"/>
          <w:color w:val="auto"/>
          <w:spacing w:val="8"/>
          <w:kern w:val="0"/>
          <w:sz w:val="24"/>
          <w:highlight w:val="none"/>
        </w:rPr>
        <w:t>年主要农产品产量及其增长速度</w:t>
      </w:r>
    </w:p>
    <w:p w14:paraId="36E04354">
      <w:pPr>
        <w:widowControl/>
        <w:tabs>
          <w:tab w:val="left" w:pos="7110"/>
        </w:tabs>
        <w:spacing w:line="400" w:lineRule="exact"/>
        <w:jc w:val="center"/>
        <w:rPr>
          <w:rFonts w:ascii="仿宋_GB2312" w:eastAsia="仿宋_GB2312"/>
          <w:color w:val="auto"/>
          <w:spacing w:val="8"/>
          <w:kern w:val="0"/>
          <w:sz w:val="24"/>
          <w:highlight w:val="yellow"/>
        </w:rPr>
      </w:pPr>
      <w:r>
        <w:rPr>
          <w:rFonts w:eastAsia="黑体"/>
          <w:color w:val="auto"/>
          <w:spacing w:val="8"/>
          <w:kern w:val="0"/>
          <w:sz w:val="24"/>
          <w:highlight w:val="none"/>
        </w:rPr>
        <w:t xml:space="preserve">                          </w:t>
      </w:r>
      <w:r>
        <w:rPr>
          <w:rFonts w:hint="eastAsia" w:eastAsia="黑体"/>
          <w:color w:val="auto"/>
          <w:spacing w:val="8"/>
          <w:kern w:val="0"/>
          <w:sz w:val="24"/>
          <w:highlight w:val="none"/>
        </w:rPr>
        <w:t xml:space="preserve">   </w:t>
      </w:r>
      <w:r>
        <w:rPr>
          <w:rFonts w:hint="eastAsia" w:ascii="仿宋_GB2312" w:eastAsia="仿宋_GB2312"/>
          <w:color w:val="auto"/>
          <w:spacing w:val="8"/>
          <w:kern w:val="0"/>
          <w:sz w:val="22"/>
          <w:szCs w:val="22"/>
          <w:highlight w:val="none"/>
        </w:rPr>
        <w:t xml:space="preserve"> </w:t>
      </w:r>
      <w:r>
        <w:rPr>
          <w:rFonts w:hint="eastAsia" w:ascii="仿宋_GB2312" w:eastAsia="仿宋_GB2312"/>
          <w:color w:val="auto"/>
          <w:spacing w:val="8"/>
          <w:kern w:val="0"/>
          <w:sz w:val="21"/>
          <w:szCs w:val="21"/>
          <w:highlight w:val="none"/>
        </w:rPr>
        <w:t>单位：吨</w:t>
      </w:r>
      <w:r>
        <w:rPr>
          <w:rFonts w:hint="eastAsia" w:ascii="仿宋_GB2312" w:eastAsia="仿宋_GB2312"/>
          <w:color w:val="auto"/>
          <w:spacing w:val="8"/>
          <w:kern w:val="0"/>
          <w:sz w:val="24"/>
          <w:highlight w:val="none"/>
        </w:rPr>
        <w:t>　</w:t>
      </w:r>
    </w:p>
    <w:tbl>
      <w:tblPr>
        <w:tblStyle w:val="6"/>
        <w:tblW w:w="5418" w:type="dxa"/>
        <w:jc w:val="center"/>
        <w:tblLayout w:type="fixed"/>
        <w:tblCellMar>
          <w:top w:w="0" w:type="dxa"/>
          <w:left w:w="0" w:type="dxa"/>
          <w:bottom w:w="0" w:type="dxa"/>
          <w:right w:w="0" w:type="dxa"/>
        </w:tblCellMar>
      </w:tblPr>
      <w:tblGrid>
        <w:gridCol w:w="2026"/>
        <w:gridCol w:w="1220"/>
        <w:gridCol w:w="381"/>
        <w:gridCol w:w="1370"/>
        <w:gridCol w:w="421"/>
      </w:tblGrid>
      <w:tr w14:paraId="14F918FF">
        <w:tblPrEx>
          <w:tblCellMar>
            <w:top w:w="0" w:type="dxa"/>
            <w:left w:w="0" w:type="dxa"/>
            <w:bottom w:w="0" w:type="dxa"/>
            <w:right w:w="0" w:type="dxa"/>
          </w:tblCellMar>
        </w:tblPrEx>
        <w:trPr>
          <w:trHeight w:val="431" w:hRule="exact"/>
          <w:tblHeader/>
          <w:jc w:val="center"/>
        </w:trPr>
        <w:tc>
          <w:tcPr>
            <w:tcW w:w="2026" w:type="dxa"/>
            <w:tcBorders>
              <w:top w:val="single" w:color="auto" w:sz="12" w:space="0"/>
              <w:left w:val="nil"/>
              <w:bottom w:val="single" w:color="auto" w:sz="4" w:space="0"/>
              <w:right w:val="single" w:color="auto" w:sz="6" w:space="0"/>
            </w:tcBorders>
            <w:vAlign w:val="center"/>
          </w:tcPr>
          <w:p w14:paraId="2A20584E">
            <w:pPr>
              <w:widowControl/>
              <w:spacing w:line="320" w:lineRule="exact"/>
              <w:ind w:firstLine="512" w:firstLineChars="200"/>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产品名称</w:t>
            </w:r>
          </w:p>
        </w:tc>
        <w:tc>
          <w:tcPr>
            <w:tcW w:w="1601" w:type="dxa"/>
            <w:gridSpan w:val="2"/>
            <w:tcBorders>
              <w:top w:val="single" w:color="auto" w:sz="12" w:space="0"/>
              <w:left w:val="single" w:color="auto" w:sz="6" w:space="0"/>
              <w:bottom w:val="single" w:color="auto" w:sz="4" w:space="0"/>
              <w:right w:val="single" w:color="auto" w:sz="6" w:space="0"/>
            </w:tcBorders>
            <w:vAlign w:val="center"/>
          </w:tcPr>
          <w:p w14:paraId="7A9E8EB9">
            <w:pPr>
              <w:widowControl/>
              <w:spacing w:line="320" w:lineRule="exact"/>
              <w:jc w:val="center"/>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产  量</w:t>
            </w:r>
          </w:p>
        </w:tc>
        <w:tc>
          <w:tcPr>
            <w:tcW w:w="1791" w:type="dxa"/>
            <w:gridSpan w:val="2"/>
            <w:tcBorders>
              <w:top w:val="single" w:color="auto" w:sz="12" w:space="0"/>
              <w:left w:val="single" w:color="auto" w:sz="6" w:space="0"/>
              <w:bottom w:val="single" w:color="auto" w:sz="4" w:space="0"/>
              <w:right w:val="nil"/>
            </w:tcBorders>
            <w:vAlign w:val="center"/>
          </w:tcPr>
          <w:p w14:paraId="75E3C2D8">
            <w:pPr>
              <w:widowControl/>
              <w:spacing w:line="320" w:lineRule="exact"/>
              <w:jc w:val="center"/>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比上年增长（%）</w:t>
            </w:r>
          </w:p>
        </w:tc>
      </w:tr>
      <w:tr w14:paraId="7CEA4AAA">
        <w:tblPrEx>
          <w:tblCellMar>
            <w:top w:w="0" w:type="dxa"/>
            <w:left w:w="0" w:type="dxa"/>
            <w:bottom w:w="0" w:type="dxa"/>
            <w:right w:w="0" w:type="dxa"/>
          </w:tblCellMar>
        </w:tblPrEx>
        <w:trPr>
          <w:trHeight w:val="310" w:hRule="exact"/>
          <w:jc w:val="center"/>
        </w:trPr>
        <w:tc>
          <w:tcPr>
            <w:tcW w:w="2026" w:type="dxa"/>
            <w:tcBorders>
              <w:top w:val="nil"/>
              <w:left w:val="nil"/>
              <w:bottom w:val="nil"/>
              <w:right w:val="single" w:color="auto" w:sz="6" w:space="0"/>
            </w:tcBorders>
            <w:vAlign w:val="center"/>
          </w:tcPr>
          <w:p w14:paraId="049A205E">
            <w:pPr>
              <w:widowControl/>
              <w:spacing w:line="320" w:lineRule="exact"/>
              <w:ind w:firstLine="512" w:firstLineChars="2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粮   食</w:t>
            </w:r>
          </w:p>
        </w:tc>
        <w:tc>
          <w:tcPr>
            <w:tcW w:w="1220" w:type="dxa"/>
            <w:tcBorders>
              <w:top w:val="nil"/>
              <w:left w:val="single" w:color="auto" w:sz="6" w:space="0"/>
              <w:bottom w:val="nil"/>
              <w:right w:val="nil"/>
            </w:tcBorders>
            <w:vAlign w:val="center"/>
          </w:tcPr>
          <w:p w14:paraId="394A0C39">
            <w:pPr>
              <w:spacing w:line="380" w:lineRule="exact"/>
              <w:jc w:val="right"/>
              <w:rPr>
                <w:rFonts w:hint="default"/>
                <w:color w:val="auto"/>
                <w:sz w:val="24"/>
                <w:szCs w:val="24"/>
                <w:highlight w:val="none"/>
                <w:lang w:val="en-US" w:eastAsia="zh-CN"/>
              </w:rPr>
            </w:pPr>
            <w:r>
              <w:rPr>
                <w:rFonts w:hint="eastAsia"/>
                <w:color w:val="auto"/>
                <w:sz w:val="24"/>
                <w:highlight w:val="none"/>
                <w:lang w:val="en-US" w:eastAsia="zh-CN"/>
              </w:rPr>
              <w:t>51950</w:t>
            </w:r>
          </w:p>
        </w:tc>
        <w:tc>
          <w:tcPr>
            <w:tcW w:w="381" w:type="dxa"/>
            <w:tcBorders>
              <w:right w:val="single" w:color="auto" w:sz="6" w:space="0"/>
            </w:tcBorders>
            <w:vAlign w:val="center"/>
          </w:tcPr>
          <w:p w14:paraId="6F03A499">
            <w:pPr>
              <w:spacing w:line="380" w:lineRule="exact"/>
              <w:ind w:right="480" w:rightChars="0"/>
              <w:rPr>
                <w:color w:val="auto"/>
                <w:sz w:val="24"/>
                <w:szCs w:val="24"/>
                <w:highlight w:val="none"/>
              </w:rPr>
            </w:pPr>
          </w:p>
        </w:tc>
        <w:tc>
          <w:tcPr>
            <w:tcW w:w="1370" w:type="dxa"/>
            <w:tcBorders>
              <w:top w:val="nil"/>
              <w:left w:val="single" w:color="auto" w:sz="6" w:space="0"/>
              <w:bottom w:val="nil"/>
              <w:right w:val="nil"/>
            </w:tcBorders>
            <w:vAlign w:val="center"/>
          </w:tcPr>
          <w:p w14:paraId="73F70DE3">
            <w:pPr>
              <w:spacing w:line="380" w:lineRule="exact"/>
              <w:jc w:val="right"/>
              <w:rPr>
                <w:rFonts w:hint="default" w:eastAsia="宋体"/>
                <w:color w:val="auto"/>
                <w:sz w:val="24"/>
                <w:szCs w:val="24"/>
                <w:highlight w:val="none"/>
                <w:lang w:val="en-US" w:eastAsia="zh-CN"/>
              </w:rPr>
            </w:pPr>
            <w:r>
              <w:rPr>
                <w:rFonts w:hint="eastAsia"/>
                <w:color w:val="auto"/>
                <w:sz w:val="24"/>
                <w:highlight w:val="none"/>
                <w:lang w:val="en-US" w:eastAsia="zh-CN"/>
              </w:rPr>
              <w:t>0.5</w:t>
            </w:r>
          </w:p>
        </w:tc>
        <w:tc>
          <w:tcPr>
            <w:tcW w:w="421" w:type="dxa"/>
            <w:vAlign w:val="bottom"/>
          </w:tcPr>
          <w:p w14:paraId="3BA99366">
            <w:pPr>
              <w:spacing w:line="380" w:lineRule="exact"/>
              <w:jc w:val="right"/>
              <w:rPr>
                <w:color w:val="auto"/>
                <w:sz w:val="24"/>
                <w:szCs w:val="24"/>
                <w:highlight w:val="yellow"/>
              </w:rPr>
            </w:pPr>
          </w:p>
        </w:tc>
      </w:tr>
      <w:tr w14:paraId="201C74B0">
        <w:tblPrEx>
          <w:tblCellMar>
            <w:top w:w="0" w:type="dxa"/>
            <w:left w:w="0" w:type="dxa"/>
            <w:bottom w:w="0" w:type="dxa"/>
            <w:right w:w="0" w:type="dxa"/>
          </w:tblCellMar>
        </w:tblPrEx>
        <w:trPr>
          <w:trHeight w:val="310" w:hRule="exact"/>
          <w:jc w:val="center"/>
        </w:trPr>
        <w:tc>
          <w:tcPr>
            <w:tcW w:w="2026" w:type="dxa"/>
            <w:tcBorders>
              <w:top w:val="nil"/>
              <w:left w:val="nil"/>
              <w:bottom w:val="nil"/>
              <w:right w:val="single" w:color="auto" w:sz="6" w:space="0"/>
            </w:tcBorders>
            <w:vAlign w:val="center"/>
          </w:tcPr>
          <w:p w14:paraId="28CE6E1F">
            <w:pPr>
              <w:widowControl/>
              <w:spacing w:line="320" w:lineRule="exact"/>
              <w:ind w:firstLine="512" w:firstLineChars="2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其中：稻谷</w:t>
            </w:r>
          </w:p>
        </w:tc>
        <w:tc>
          <w:tcPr>
            <w:tcW w:w="1220" w:type="dxa"/>
            <w:tcBorders>
              <w:top w:val="nil"/>
              <w:left w:val="single" w:color="auto" w:sz="6" w:space="0"/>
              <w:bottom w:val="nil"/>
              <w:right w:val="nil"/>
            </w:tcBorders>
            <w:vAlign w:val="center"/>
          </w:tcPr>
          <w:p w14:paraId="006E1D16">
            <w:pPr>
              <w:spacing w:line="380" w:lineRule="exact"/>
              <w:jc w:val="right"/>
              <w:rPr>
                <w:rFonts w:hint="default"/>
                <w:color w:val="auto"/>
                <w:sz w:val="24"/>
                <w:szCs w:val="24"/>
                <w:highlight w:val="none"/>
                <w:lang w:val="en-US" w:eastAsia="zh-CN"/>
              </w:rPr>
            </w:pPr>
            <w:r>
              <w:rPr>
                <w:color w:val="auto"/>
                <w:sz w:val="24"/>
                <w:highlight w:val="none"/>
              </w:rPr>
              <w:t>45</w:t>
            </w:r>
            <w:r>
              <w:rPr>
                <w:rFonts w:hint="eastAsia"/>
                <w:color w:val="auto"/>
                <w:sz w:val="24"/>
                <w:highlight w:val="none"/>
                <w:lang w:val="en-US" w:eastAsia="zh-CN"/>
              </w:rPr>
              <w:t>65</w:t>
            </w:r>
          </w:p>
        </w:tc>
        <w:tc>
          <w:tcPr>
            <w:tcW w:w="381" w:type="dxa"/>
            <w:tcBorders>
              <w:right w:val="single" w:color="auto" w:sz="6" w:space="0"/>
            </w:tcBorders>
            <w:vAlign w:val="center"/>
          </w:tcPr>
          <w:p w14:paraId="342A7330">
            <w:pPr>
              <w:spacing w:line="380" w:lineRule="exact"/>
              <w:jc w:val="right"/>
              <w:rPr>
                <w:color w:val="auto"/>
                <w:sz w:val="24"/>
                <w:szCs w:val="24"/>
                <w:highlight w:val="none"/>
              </w:rPr>
            </w:pPr>
          </w:p>
        </w:tc>
        <w:tc>
          <w:tcPr>
            <w:tcW w:w="1370" w:type="dxa"/>
            <w:tcBorders>
              <w:top w:val="nil"/>
              <w:left w:val="single" w:color="auto" w:sz="6" w:space="0"/>
              <w:bottom w:val="nil"/>
              <w:right w:val="nil"/>
            </w:tcBorders>
            <w:vAlign w:val="center"/>
          </w:tcPr>
          <w:p w14:paraId="449A37F7">
            <w:pPr>
              <w:spacing w:line="380" w:lineRule="exact"/>
              <w:jc w:val="right"/>
              <w:rPr>
                <w:rFonts w:hint="default"/>
                <w:color w:val="auto"/>
                <w:sz w:val="24"/>
                <w:szCs w:val="24"/>
                <w:highlight w:val="none"/>
                <w:lang w:val="en-US" w:eastAsia="zh-CN"/>
              </w:rPr>
            </w:pPr>
            <w:r>
              <w:rPr>
                <w:rFonts w:hint="eastAsia"/>
                <w:color w:val="auto"/>
                <w:sz w:val="24"/>
                <w:highlight w:val="none"/>
                <w:lang w:val="en-US" w:eastAsia="zh-CN"/>
              </w:rPr>
              <w:t>0.8</w:t>
            </w:r>
          </w:p>
        </w:tc>
        <w:tc>
          <w:tcPr>
            <w:tcW w:w="421" w:type="dxa"/>
            <w:vAlign w:val="bottom"/>
          </w:tcPr>
          <w:p w14:paraId="262CC3F5">
            <w:pPr>
              <w:spacing w:line="380" w:lineRule="exact"/>
              <w:jc w:val="right"/>
              <w:rPr>
                <w:color w:val="auto"/>
                <w:sz w:val="24"/>
                <w:szCs w:val="24"/>
                <w:highlight w:val="yellow"/>
              </w:rPr>
            </w:pPr>
          </w:p>
        </w:tc>
      </w:tr>
      <w:tr w14:paraId="697210E8">
        <w:tblPrEx>
          <w:tblCellMar>
            <w:top w:w="0" w:type="dxa"/>
            <w:left w:w="0" w:type="dxa"/>
            <w:bottom w:w="0" w:type="dxa"/>
            <w:right w:w="0" w:type="dxa"/>
          </w:tblCellMar>
        </w:tblPrEx>
        <w:trPr>
          <w:trHeight w:val="310" w:hRule="exact"/>
          <w:jc w:val="center"/>
        </w:trPr>
        <w:tc>
          <w:tcPr>
            <w:tcW w:w="2026" w:type="dxa"/>
            <w:tcBorders>
              <w:top w:val="nil"/>
              <w:left w:val="nil"/>
              <w:bottom w:val="nil"/>
              <w:right w:val="single" w:color="auto" w:sz="6" w:space="0"/>
            </w:tcBorders>
            <w:vAlign w:val="center"/>
          </w:tcPr>
          <w:p w14:paraId="1DC160A4">
            <w:pPr>
              <w:widowControl/>
              <w:spacing w:line="320" w:lineRule="exact"/>
              <w:ind w:firstLine="1280" w:firstLineChars="5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玉米</w:t>
            </w:r>
          </w:p>
        </w:tc>
        <w:tc>
          <w:tcPr>
            <w:tcW w:w="1220" w:type="dxa"/>
            <w:tcBorders>
              <w:top w:val="nil"/>
              <w:left w:val="single" w:color="auto" w:sz="6" w:space="0"/>
              <w:bottom w:val="nil"/>
              <w:right w:val="nil"/>
            </w:tcBorders>
            <w:vAlign w:val="center"/>
          </w:tcPr>
          <w:p w14:paraId="0E6CCAB4">
            <w:pPr>
              <w:spacing w:line="380" w:lineRule="exact"/>
              <w:jc w:val="right"/>
              <w:rPr>
                <w:rFonts w:hint="default"/>
                <w:color w:val="auto"/>
                <w:sz w:val="24"/>
                <w:szCs w:val="24"/>
                <w:highlight w:val="none"/>
                <w:lang w:val="en-US" w:eastAsia="zh-CN"/>
              </w:rPr>
            </w:pPr>
            <w:r>
              <w:rPr>
                <w:rFonts w:hint="eastAsia"/>
                <w:color w:val="auto"/>
                <w:sz w:val="24"/>
                <w:highlight w:val="none"/>
                <w:lang w:val="en-US" w:eastAsia="zh-CN"/>
              </w:rPr>
              <w:t>27253</w:t>
            </w:r>
          </w:p>
        </w:tc>
        <w:tc>
          <w:tcPr>
            <w:tcW w:w="381" w:type="dxa"/>
            <w:tcBorders>
              <w:bottom w:val="nil"/>
              <w:right w:val="single" w:color="auto" w:sz="6" w:space="0"/>
            </w:tcBorders>
            <w:vAlign w:val="center"/>
          </w:tcPr>
          <w:p w14:paraId="16DCBA4A">
            <w:pPr>
              <w:spacing w:line="380" w:lineRule="exact"/>
              <w:jc w:val="right"/>
              <w:rPr>
                <w:color w:val="auto"/>
                <w:sz w:val="24"/>
                <w:szCs w:val="24"/>
                <w:highlight w:val="none"/>
              </w:rPr>
            </w:pPr>
          </w:p>
        </w:tc>
        <w:tc>
          <w:tcPr>
            <w:tcW w:w="1370" w:type="dxa"/>
            <w:tcBorders>
              <w:top w:val="nil"/>
              <w:left w:val="single" w:color="auto" w:sz="6" w:space="0"/>
              <w:bottom w:val="nil"/>
              <w:right w:val="nil"/>
            </w:tcBorders>
            <w:vAlign w:val="center"/>
          </w:tcPr>
          <w:p w14:paraId="277B75FA">
            <w:pPr>
              <w:spacing w:line="380" w:lineRule="exact"/>
              <w:jc w:val="right"/>
              <w:rPr>
                <w:rFonts w:hint="default"/>
                <w:color w:val="auto"/>
                <w:sz w:val="24"/>
                <w:szCs w:val="24"/>
                <w:highlight w:val="none"/>
                <w:lang w:val="en-US" w:eastAsia="zh-CN"/>
              </w:rPr>
            </w:pPr>
            <w:r>
              <w:rPr>
                <w:rFonts w:hint="eastAsia"/>
                <w:color w:val="auto"/>
                <w:sz w:val="24"/>
                <w:highlight w:val="none"/>
                <w:lang w:val="en-US" w:eastAsia="zh-CN"/>
              </w:rPr>
              <w:t>0.2</w:t>
            </w:r>
          </w:p>
        </w:tc>
        <w:tc>
          <w:tcPr>
            <w:tcW w:w="421" w:type="dxa"/>
            <w:vAlign w:val="bottom"/>
          </w:tcPr>
          <w:p w14:paraId="29A5E35B">
            <w:pPr>
              <w:spacing w:line="380" w:lineRule="exact"/>
              <w:jc w:val="right"/>
              <w:rPr>
                <w:color w:val="auto"/>
                <w:sz w:val="24"/>
                <w:szCs w:val="24"/>
                <w:highlight w:val="yellow"/>
              </w:rPr>
            </w:pPr>
          </w:p>
        </w:tc>
      </w:tr>
      <w:tr w14:paraId="56DA9395">
        <w:tblPrEx>
          <w:tblCellMar>
            <w:top w:w="0" w:type="dxa"/>
            <w:left w:w="0" w:type="dxa"/>
            <w:bottom w:w="0" w:type="dxa"/>
            <w:right w:w="0" w:type="dxa"/>
          </w:tblCellMar>
        </w:tblPrEx>
        <w:trPr>
          <w:trHeight w:val="310" w:hRule="exact"/>
          <w:jc w:val="center"/>
        </w:trPr>
        <w:tc>
          <w:tcPr>
            <w:tcW w:w="2026" w:type="dxa"/>
            <w:tcBorders>
              <w:top w:val="nil"/>
              <w:left w:val="nil"/>
              <w:bottom w:val="nil"/>
              <w:right w:val="single" w:color="auto" w:sz="4" w:space="0"/>
            </w:tcBorders>
            <w:vAlign w:val="center"/>
          </w:tcPr>
          <w:p w14:paraId="5F0FDFFC">
            <w:pPr>
              <w:widowControl/>
              <w:spacing w:line="320" w:lineRule="exact"/>
              <w:ind w:firstLine="512" w:firstLineChars="2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油   料</w:t>
            </w:r>
          </w:p>
        </w:tc>
        <w:tc>
          <w:tcPr>
            <w:tcW w:w="1220" w:type="dxa"/>
            <w:tcBorders>
              <w:top w:val="nil"/>
              <w:left w:val="single" w:color="auto" w:sz="4" w:space="0"/>
              <w:bottom w:val="nil"/>
              <w:right w:val="nil"/>
            </w:tcBorders>
            <w:vAlign w:val="center"/>
          </w:tcPr>
          <w:p w14:paraId="2893007E">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3925</w:t>
            </w:r>
          </w:p>
        </w:tc>
        <w:tc>
          <w:tcPr>
            <w:tcW w:w="381" w:type="dxa"/>
            <w:tcBorders>
              <w:top w:val="nil"/>
              <w:left w:val="nil"/>
              <w:bottom w:val="nil"/>
              <w:right w:val="single" w:color="auto" w:sz="4" w:space="0"/>
            </w:tcBorders>
            <w:vAlign w:val="center"/>
          </w:tcPr>
          <w:p w14:paraId="5A1C5E14">
            <w:pPr>
              <w:spacing w:line="380" w:lineRule="exact"/>
              <w:jc w:val="right"/>
              <w:rPr>
                <w:color w:val="auto"/>
                <w:sz w:val="24"/>
                <w:szCs w:val="24"/>
                <w:highlight w:val="none"/>
              </w:rPr>
            </w:pPr>
          </w:p>
        </w:tc>
        <w:tc>
          <w:tcPr>
            <w:tcW w:w="1370" w:type="dxa"/>
            <w:tcBorders>
              <w:top w:val="nil"/>
              <w:left w:val="single" w:color="auto" w:sz="4" w:space="0"/>
              <w:bottom w:val="nil"/>
              <w:right w:val="nil"/>
            </w:tcBorders>
            <w:vAlign w:val="center"/>
          </w:tcPr>
          <w:p w14:paraId="74764803">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3.7</w:t>
            </w:r>
          </w:p>
        </w:tc>
        <w:tc>
          <w:tcPr>
            <w:tcW w:w="421" w:type="dxa"/>
            <w:vAlign w:val="bottom"/>
          </w:tcPr>
          <w:p w14:paraId="6FCF2E8E">
            <w:pPr>
              <w:spacing w:line="380" w:lineRule="exact"/>
              <w:jc w:val="right"/>
              <w:rPr>
                <w:color w:val="auto"/>
                <w:sz w:val="24"/>
                <w:szCs w:val="24"/>
                <w:highlight w:val="yellow"/>
              </w:rPr>
            </w:pPr>
          </w:p>
        </w:tc>
      </w:tr>
      <w:tr w14:paraId="253E0772">
        <w:tblPrEx>
          <w:tblCellMar>
            <w:top w:w="0" w:type="dxa"/>
            <w:left w:w="0" w:type="dxa"/>
            <w:bottom w:w="0" w:type="dxa"/>
            <w:right w:w="0" w:type="dxa"/>
          </w:tblCellMar>
        </w:tblPrEx>
        <w:trPr>
          <w:trHeight w:val="310" w:hRule="exact"/>
          <w:jc w:val="center"/>
        </w:trPr>
        <w:tc>
          <w:tcPr>
            <w:tcW w:w="2026" w:type="dxa"/>
            <w:tcBorders>
              <w:top w:val="nil"/>
              <w:left w:val="nil"/>
              <w:bottom w:val="nil"/>
              <w:right w:val="single" w:color="auto" w:sz="4" w:space="0"/>
            </w:tcBorders>
            <w:vAlign w:val="center"/>
          </w:tcPr>
          <w:p w14:paraId="2B7CCE22">
            <w:pPr>
              <w:widowControl/>
              <w:spacing w:line="320" w:lineRule="exact"/>
              <w:ind w:firstLine="512" w:firstLineChars="2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糖   料</w:t>
            </w:r>
          </w:p>
        </w:tc>
        <w:tc>
          <w:tcPr>
            <w:tcW w:w="1220" w:type="dxa"/>
            <w:tcBorders>
              <w:top w:val="nil"/>
              <w:left w:val="single" w:color="auto" w:sz="4" w:space="0"/>
              <w:bottom w:val="nil"/>
              <w:right w:val="nil"/>
            </w:tcBorders>
            <w:vAlign w:val="center"/>
          </w:tcPr>
          <w:p w14:paraId="6D259824">
            <w:pPr>
              <w:spacing w:line="380" w:lineRule="exact"/>
              <w:jc w:val="right"/>
              <w:rPr>
                <w:color w:val="auto"/>
                <w:sz w:val="24"/>
                <w:szCs w:val="24"/>
                <w:highlight w:val="none"/>
              </w:rPr>
            </w:pPr>
            <w:r>
              <w:rPr>
                <w:rFonts w:hint="eastAsia"/>
                <w:color w:val="auto"/>
                <w:sz w:val="24"/>
                <w:szCs w:val="24"/>
                <w:highlight w:val="none"/>
                <w:lang w:val="en-US" w:eastAsia="zh-CN"/>
              </w:rPr>
              <w:t>72</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87</w:t>
            </w:r>
          </w:p>
          <w:p w14:paraId="71D84E37">
            <w:pPr>
              <w:spacing w:line="380" w:lineRule="exact"/>
              <w:jc w:val="right"/>
              <w:rPr>
                <w:color w:val="auto"/>
                <w:sz w:val="24"/>
                <w:szCs w:val="24"/>
                <w:highlight w:val="none"/>
              </w:rPr>
            </w:pPr>
          </w:p>
        </w:tc>
        <w:tc>
          <w:tcPr>
            <w:tcW w:w="381" w:type="dxa"/>
            <w:tcBorders>
              <w:top w:val="nil"/>
              <w:left w:val="nil"/>
              <w:bottom w:val="nil"/>
              <w:right w:val="single" w:color="auto" w:sz="4" w:space="0"/>
            </w:tcBorders>
            <w:vAlign w:val="center"/>
          </w:tcPr>
          <w:p w14:paraId="6B93BAB8">
            <w:pPr>
              <w:spacing w:line="380" w:lineRule="exact"/>
              <w:jc w:val="right"/>
              <w:rPr>
                <w:color w:val="auto"/>
                <w:sz w:val="24"/>
                <w:szCs w:val="24"/>
                <w:highlight w:val="none"/>
              </w:rPr>
            </w:pPr>
          </w:p>
          <w:p w14:paraId="3267406E">
            <w:pPr>
              <w:spacing w:line="380" w:lineRule="exact"/>
              <w:jc w:val="right"/>
              <w:rPr>
                <w:color w:val="auto"/>
                <w:sz w:val="24"/>
                <w:szCs w:val="24"/>
                <w:highlight w:val="none"/>
              </w:rPr>
            </w:pPr>
          </w:p>
        </w:tc>
        <w:tc>
          <w:tcPr>
            <w:tcW w:w="1370" w:type="dxa"/>
            <w:tcBorders>
              <w:top w:val="nil"/>
              <w:left w:val="single" w:color="auto" w:sz="4" w:space="0"/>
              <w:bottom w:val="nil"/>
              <w:right w:val="nil"/>
            </w:tcBorders>
            <w:vAlign w:val="center"/>
          </w:tcPr>
          <w:p w14:paraId="73C25A71">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1.3</w:t>
            </w:r>
          </w:p>
        </w:tc>
        <w:tc>
          <w:tcPr>
            <w:tcW w:w="421" w:type="dxa"/>
            <w:vAlign w:val="bottom"/>
          </w:tcPr>
          <w:p w14:paraId="05A46097">
            <w:pPr>
              <w:spacing w:line="380" w:lineRule="exact"/>
              <w:jc w:val="right"/>
              <w:rPr>
                <w:color w:val="auto"/>
                <w:sz w:val="24"/>
                <w:szCs w:val="24"/>
                <w:highlight w:val="yellow"/>
              </w:rPr>
            </w:pPr>
          </w:p>
        </w:tc>
      </w:tr>
      <w:tr w14:paraId="65D768A3">
        <w:tblPrEx>
          <w:tblCellMar>
            <w:top w:w="0" w:type="dxa"/>
            <w:left w:w="0" w:type="dxa"/>
            <w:bottom w:w="0" w:type="dxa"/>
            <w:right w:w="0" w:type="dxa"/>
          </w:tblCellMar>
        </w:tblPrEx>
        <w:trPr>
          <w:trHeight w:val="310" w:hRule="exact"/>
          <w:jc w:val="center"/>
        </w:trPr>
        <w:tc>
          <w:tcPr>
            <w:tcW w:w="2026" w:type="dxa"/>
            <w:tcBorders>
              <w:top w:val="nil"/>
              <w:left w:val="nil"/>
              <w:bottom w:val="nil"/>
              <w:right w:val="single" w:color="auto" w:sz="4" w:space="0"/>
            </w:tcBorders>
            <w:vAlign w:val="center"/>
          </w:tcPr>
          <w:p w14:paraId="6EB01642">
            <w:pPr>
              <w:widowControl/>
              <w:spacing w:line="320" w:lineRule="exact"/>
              <w:ind w:firstLine="512" w:firstLineChars="2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茶   叶</w:t>
            </w:r>
          </w:p>
        </w:tc>
        <w:tc>
          <w:tcPr>
            <w:tcW w:w="1220" w:type="dxa"/>
            <w:tcBorders>
              <w:top w:val="nil"/>
              <w:left w:val="single" w:color="auto" w:sz="4" w:space="0"/>
              <w:bottom w:val="nil"/>
              <w:right w:val="nil"/>
            </w:tcBorders>
            <w:vAlign w:val="center"/>
          </w:tcPr>
          <w:p w14:paraId="51F6868A">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345</w:t>
            </w:r>
          </w:p>
        </w:tc>
        <w:tc>
          <w:tcPr>
            <w:tcW w:w="381" w:type="dxa"/>
            <w:tcBorders>
              <w:top w:val="nil"/>
              <w:left w:val="nil"/>
              <w:bottom w:val="nil"/>
              <w:right w:val="single" w:color="auto" w:sz="4" w:space="0"/>
            </w:tcBorders>
            <w:vAlign w:val="center"/>
          </w:tcPr>
          <w:p w14:paraId="2B768245">
            <w:pPr>
              <w:spacing w:line="380" w:lineRule="exact"/>
              <w:jc w:val="right"/>
              <w:rPr>
                <w:color w:val="auto"/>
                <w:sz w:val="24"/>
                <w:szCs w:val="24"/>
                <w:highlight w:val="none"/>
              </w:rPr>
            </w:pPr>
          </w:p>
        </w:tc>
        <w:tc>
          <w:tcPr>
            <w:tcW w:w="1370" w:type="dxa"/>
            <w:tcBorders>
              <w:top w:val="nil"/>
              <w:left w:val="single" w:color="auto" w:sz="4" w:space="0"/>
              <w:bottom w:val="nil"/>
              <w:right w:val="nil"/>
            </w:tcBorders>
            <w:vAlign w:val="center"/>
          </w:tcPr>
          <w:p w14:paraId="6ACB6A2C">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2.4</w:t>
            </w:r>
          </w:p>
        </w:tc>
        <w:tc>
          <w:tcPr>
            <w:tcW w:w="421" w:type="dxa"/>
            <w:vAlign w:val="bottom"/>
          </w:tcPr>
          <w:p w14:paraId="1B50B1E5">
            <w:pPr>
              <w:spacing w:line="380" w:lineRule="exact"/>
              <w:jc w:val="right"/>
              <w:rPr>
                <w:color w:val="auto"/>
                <w:sz w:val="24"/>
                <w:szCs w:val="24"/>
                <w:highlight w:val="yellow"/>
              </w:rPr>
            </w:pPr>
          </w:p>
        </w:tc>
      </w:tr>
      <w:tr w14:paraId="7E1E88AF">
        <w:tblPrEx>
          <w:tblCellMar>
            <w:top w:w="0" w:type="dxa"/>
            <w:left w:w="0" w:type="dxa"/>
            <w:bottom w:w="0" w:type="dxa"/>
            <w:right w:w="0" w:type="dxa"/>
          </w:tblCellMar>
        </w:tblPrEx>
        <w:trPr>
          <w:trHeight w:val="310" w:hRule="exact"/>
          <w:jc w:val="center"/>
        </w:trPr>
        <w:tc>
          <w:tcPr>
            <w:tcW w:w="2026" w:type="dxa"/>
            <w:tcBorders>
              <w:top w:val="nil"/>
              <w:left w:val="nil"/>
              <w:right w:val="single" w:color="auto" w:sz="6" w:space="0"/>
            </w:tcBorders>
            <w:vAlign w:val="center"/>
          </w:tcPr>
          <w:p w14:paraId="58E22F17">
            <w:pPr>
              <w:widowControl/>
              <w:spacing w:line="320" w:lineRule="exact"/>
              <w:ind w:firstLine="512" w:firstLineChars="2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水   果</w:t>
            </w:r>
          </w:p>
        </w:tc>
        <w:tc>
          <w:tcPr>
            <w:tcW w:w="1220" w:type="dxa"/>
            <w:tcBorders>
              <w:top w:val="nil"/>
              <w:left w:val="single" w:color="auto" w:sz="6" w:space="0"/>
              <w:right w:val="nil"/>
            </w:tcBorders>
            <w:vAlign w:val="center"/>
          </w:tcPr>
          <w:p w14:paraId="68CF4A26">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1371</w:t>
            </w:r>
          </w:p>
        </w:tc>
        <w:tc>
          <w:tcPr>
            <w:tcW w:w="381" w:type="dxa"/>
            <w:tcBorders>
              <w:top w:val="nil"/>
              <w:right w:val="single" w:color="auto" w:sz="6" w:space="0"/>
            </w:tcBorders>
            <w:vAlign w:val="center"/>
          </w:tcPr>
          <w:p w14:paraId="62F86B12">
            <w:pPr>
              <w:spacing w:line="380" w:lineRule="exact"/>
              <w:jc w:val="right"/>
              <w:rPr>
                <w:color w:val="auto"/>
                <w:sz w:val="24"/>
                <w:szCs w:val="24"/>
                <w:highlight w:val="none"/>
              </w:rPr>
            </w:pPr>
          </w:p>
        </w:tc>
        <w:tc>
          <w:tcPr>
            <w:tcW w:w="1370" w:type="dxa"/>
            <w:tcBorders>
              <w:top w:val="nil"/>
              <w:left w:val="single" w:color="auto" w:sz="6" w:space="0"/>
              <w:right w:val="nil"/>
            </w:tcBorders>
            <w:vAlign w:val="center"/>
          </w:tcPr>
          <w:p w14:paraId="457344AA">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22.2</w:t>
            </w:r>
          </w:p>
        </w:tc>
        <w:tc>
          <w:tcPr>
            <w:tcW w:w="421" w:type="dxa"/>
            <w:vAlign w:val="bottom"/>
          </w:tcPr>
          <w:p w14:paraId="0BE15539">
            <w:pPr>
              <w:spacing w:line="380" w:lineRule="exact"/>
              <w:jc w:val="right"/>
              <w:rPr>
                <w:color w:val="auto"/>
                <w:sz w:val="24"/>
                <w:szCs w:val="24"/>
                <w:highlight w:val="yellow"/>
              </w:rPr>
            </w:pPr>
          </w:p>
        </w:tc>
      </w:tr>
      <w:tr w14:paraId="22B62B61">
        <w:tblPrEx>
          <w:tblCellMar>
            <w:top w:w="0" w:type="dxa"/>
            <w:left w:w="0" w:type="dxa"/>
            <w:bottom w:w="0" w:type="dxa"/>
            <w:right w:w="0" w:type="dxa"/>
          </w:tblCellMar>
        </w:tblPrEx>
        <w:trPr>
          <w:trHeight w:val="374" w:hRule="exact"/>
          <w:jc w:val="center"/>
        </w:trPr>
        <w:tc>
          <w:tcPr>
            <w:tcW w:w="2026" w:type="dxa"/>
            <w:tcBorders>
              <w:top w:val="nil"/>
              <w:left w:val="nil"/>
              <w:bottom w:val="single" w:color="auto" w:sz="12" w:space="0"/>
              <w:right w:val="single" w:color="auto" w:sz="6" w:space="0"/>
            </w:tcBorders>
            <w:vAlign w:val="center"/>
          </w:tcPr>
          <w:p w14:paraId="05B2E48A">
            <w:pPr>
              <w:widowControl/>
              <w:spacing w:line="320" w:lineRule="exact"/>
              <w:ind w:firstLine="512" w:firstLineChars="200"/>
              <w:jc w:val="left"/>
              <w:rPr>
                <w:rFonts w:ascii="仿宋_GB2312" w:hAnsi="宋体" w:eastAsia="仿宋_GB2312"/>
                <w:color w:val="auto"/>
                <w:spacing w:val="8"/>
                <w:kern w:val="0"/>
                <w:sz w:val="24"/>
                <w:highlight w:val="none"/>
              </w:rPr>
            </w:pPr>
            <w:r>
              <w:rPr>
                <w:rFonts w:hint="eastAsia" w:ascii="仿宋_GB2312" w:hAnsi="宋体" w:eastAsia="仿宋_GB2312"/>
                <w:color w:val="auto"/>
                <w:spacing w:val="8"/>
                <w:kern w:val="0"/>
                <w:sz w:val="24"/>
                <w:highlight w:val="none"/>
              </w:rPr>
              <w:t>蔬   菜</w:t>
            </w:r>
          </w:p>
        </w:tc>
        <w:tc>
          <w:tcPr>
            <w:tcW w:w="1220" w:type="dxa"/>
            <w:tcBorders>
              <w:top w:val="nil"/>
              <w:left w:val="single" w:color="auto" w:sz="6" w:space="0"/>
              <w:bottom w:val="single" w:color="auto" w:sz="12" w:space="0"/>
            </w:tcBorders>
            <w:vAlign w:val="center"/>
          </w:tcPr>
          <w:p w14:paraId="4DA17AC5">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38581</w:t>
            </w:r>
          </w:p>
        </w:tc>
        <w:tc>
          <w:tcPr>
            <w:tcW w:w="381" w:type="dxa"/>
            <w:tcBorders>
              <w:bottom w:val="single" w:color="auto" w:sz="12" w:space="0"/>
              <w:right w:val="single" w:color="auto" w:sz="6" w:space="0"/>
            </w:tcBorders>
            <w:vAlign w:val="center"/>
          </w:tcPr>
          <w:p w14:paraId="2D108A6C">
            <w:pPr>
              <w:spacing w:line="380" w:lineRule="exact"/>
              <w:jc w:val="right"/>
              <w:rPr>
                <w:color w:val="auto"/>
                <w:sz w:val="24"/>
                <w:szCs w:val="24"/>
                <w:highlight w:val="none"/>
              </w:rPr>
            </w:pPr>
          </w:p>
        </w:tc>
        <w:tc>
          <w:tcPr>
            <w:tcW w:w="1370" w:type="dxa"/>
            <w:tcBorders>
              <w:top w:val="nil"/>
              <w:left w:val="single" w:color="auto" w:sz="6" w:space="0"/>
              <w:bottom w:val="single" w:color="auto" w:sz="12" w:space="0"/>
            </w:tcBorders>
            <w:vAlign w:val="center"/>
          </w:tcPr>
          <w:p w14:paraId="2A2AF35D">
            <w:pPr>
              <w:spacing w:line="380" w:lineRule="exact"/>
              <w:jc w:val="right"/>
              <w:rPr>
                <w:rFonts w:hint="default"/>
                <w:color w:val="auto"/>
                <w:sz w:val="24"/>
                <w:szCs w:val="24"/>
                <w:highlight w:val="none"/>
                <w:lang w:val="en-US" w:eastAsia="zh-CN"/>
              </w:rPr>
            </w:pPr>
            <w:r>
              <w:rPr>
                <w:rFonts w:hint="eastAsia"/>
                <w:color w:val="auto"/>
                <w:sz w:val="24"/>
                <w:szCs w:val="24"/>
                <w:highlight w:val="none"/>
                <w:lang w:val="en-US" w:eastAsia="zh-CN"/>
              </w:rPr>
              <w:t>4.4</w:t>
            </w:r>
          </w:p>
        </w:tc>
        <w:tc>
          <w:tcPr>
            <w:tcW w:w="421" w:type="dxa"/>
            <w:tcBorders>
              <w:bottom w:val="single" w:color="auto" w:sz="12" w:space="0"/>
            </w:tcBorders>
            <w:vAlign w:val="bottom"/>
          </w:tcPr>
          <w:p w14:paraId="293227BD">
            <w:pPr>
              <w:spacing w:line="380" w:lineRule="exact"/>
              <w:jc w:val="right"/>
              <w:rPr>
                <w:color w:val="auto"/>
                <w:sz w:val="24"/>
                <w:szCs w:val="24"/>
                <w:highlight w:val="yellow"/>
              </w:rPr>
            </w:pPr>
          </w:p>
        </w:tc>
      </w:tr>
    </w:tbl>
    <w:p w14:paraId="5C04476E">
      <w:pPr>
        <w:keepNext w:val="0"/>
        <w:keepLines w:val="0"/>
        <w:pageBreakBefore w:val="0"/>
        <w:tabs>
          <w:tab w:val="left" w:pos="7110"/>
        </w:tabs>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kern w:val="0"/>
          <w:sz w:val="24"/>
          <w:highlight w:val="none"/>
          <w:lang w:eastAsia="zh-CN"/>
        </w:rPr>
      </w:pPr>
      <w:r>
        <w:rPr>
          <w:rFonts w:hint="eastAsia" w:ascii="仿宋_GB2312" w:hAnsi="宋体" w:eastAsia="仿宋_GB2312"/>
          <w:color w:val="auto"/>
          <w:kern w:val="0"/>
          <w:sz w:val="24"/>
          <w:highlight w:val="none"/>
          <w:lang w:eastAsia="zh-CN"/>
        </w:rPr>
        <w:t>全年出栏肉猪156600头，比上年增长1.6%；生猪存栏96828头，下降0.6%；出栏牛7250头，增长0.3%，牛存栏9757头，增长2.3%；出栏羊18743只，下降15.9%，羊存栏25384只，下降11.6%；出栏家禽925239只，下降5.7%，出栏兔244591只，下降51.5%。全年肉类总产量16195.8吨，比上年下降18.2%。其中，猪肉产量12602吨，增长6.0%，占肉类总产量的77.8%；牛肉产量995吨，增长3.4%；羊肉产量341吨，增长0.8%；禽肉产量1498吨，下降0.5%。禽蛋产量3117吨，增长4.0%。</w:t>
      </w:r>
    </w:p>
    <w:p w14:paraId="3021C9D6">
      <w:pPr>
        <w:keepNext w:val="0"/>
        <w:keepLines w:val="0"/>
        <w:pageBreakBefore w:val="0"/>
        <w:widowControl w:val="0"/>
        <w:kinsoku/>
        <w:wordWrap/>
        <w:overflowPunct/>
        <w:topLinePunct w:val="0"/>
        <w:autoSpaceDE/>
        <w:autoSpaceDN/>
        <w:bidi w:val="0"/>
        <w:adjustRightInd/>
        <w:snapToGrid/>
        <w:spacing w:line="460" w:lineRule="exact"/>
        <w:ind w:left="478" w:leftChars="228" w:firstLine="0" w:firstLineChars="0"/>
        <w:textAlignment w:val="auto"/>
        <w:rPr>
          <w:rFonts w:hint="eastAsia" w:ascii="仿宋_GB2312" w:hAnsi="宋体" w:eastAsia="仿宋_GB2312"/>
          <w:color w:val="auto"/>
          <w:kern w:val="0"/>
          <w:sz w:val="24"/>
          <w:highlight w:val="none"/>
          <w:lang w:eastAsia="zh-CN"/>
        </w:rPr>
      </w:pPr>
      <w:r>
        <w:rPr>
          <w:rFonts w:hint="eastAsia" w:ascii="仿宋_GB2312" w:hAnsi="宋体" w:eastAsia="仿宋_GB2312"/>
          <w:color w:val="auto"/>
          <w:kern w:val="0"/>
          <w:sz w:val="24"/>
          <w:highlight w:val="none"/>
        </w:rPr>
        <w:t>全年水产品产量1</w:t>
      </w:r>
      <w:r>
        <w:rPr>
          <w:rFonts w:hint="eastAsia" w:ascii="仿宋_GB2312" w:hAnsi="宋体" w:eastAsia="仿宋_GB2312"/>
          <w:color w:val="auto"/>
          <w:kern w:val="0"/>
          <w:sz w:val="24"/>
          <w:highlight w:val="none"/>
          <w:lang w:val="en-US" w:eastAsia="zh-CN"/>
        </w:rPr>
        <w:t>66</w:t>
      </w:r>
      <w:r>
        <w:rPr>
          <w:rFonts w:hint="eastAsia" w:ascii="仿宋_GB2312" w:hAnsi="宋体" w:eastAsia="仿宋_GB2312"/>
          <w:color w:val="auto"/>
          <w:kern w:val="0"/>
          <w:sz w:val="24"/>
          <w:highlight w:val="none"/>
        </w:rPr>
        <w:t>吨，水产养殖面积</w:t>
      </w:r>
      <w:r>
        <w:rPr>
          <w:rFonts w:hint="eastAsia" w:ascii="仿宋_GB2312" w:hAnsi="宋体" w:eastAsia="仿宋_GB2312"/>
          <w:color w:val="auto"/>
          <w:kern w:val="0"/>
          <w:sz w:val="24"/>
          <w:highlight w:val="none"/>
          <w:lang w:val="en-US" w:eastAsia="zh-CN"/>
        </w:rPr>
        <w:t>23</w:t>
      </w:r>
      <w:r>
        <w:rPr>
          <w:rFonts w:hint="eastAsia" w:ascii="仿宋_GB2312" w:hAnsi="宋体" w:eastAsia="仿宋_GB2312"/>
          <w:color w:val="auto"/>
          <w:kern w:val="0"/>
          <w:sz w:val="24"/>
          <w:highlight w:val="none"/>
        </w:rPr>
        <w:t>公顷。森林面积</w:t>
      </w:r>
      <w:r>
        <w:rPr>
          <w:rFonts w:hint="eastAsia" w:ascii="仿宋_GB2312" w:hAnsi="宋体" w:eastAsia="仿宋_GB2312"/>
          <w:color w:val="auto"/>
          <w:kern w:val="0"/>
          <w:sz w:val="24"/>
          <w:highlight w:val="none"/>
          <w:lang w:val="en-US" w:eastAsia="zh-CN"/>
        </w:rPr>
        <w:t>283.3万亩</w:t>
      </w:r>
      <w:r>
        <w:rPr>
          <w:rFonts w:hint="eastAsia" w:ascii="仿宋_GB2312" w:hAnsi="宋体" w:eastAsia="仿宋_GB2312"/>
          <w:color w:val="auto"/>
          <w:kern w:val="0"/>
          <w:sz w:val="24"/>
          <w:highlight w:val="none"/>
        </w:rPr>
        <w:t>，森林覆盖率</w:t>
      </w:r>
      <w:r>
        <w:rPr>
          <w:rFonts w:hint="eastAsia" w:ascii="仿宋_GB2312" w:hAnsi="宋体" w:eastAsia="仿宋_GB2312"/>
          <w:color w:val="auto"/>
          <w:kern w:val="0"/>
          <w:sz w:val="24"/>
          <w:highlight w:val="none"/>
          <w:lang w:val="en-US" w:eastAsia="zh-CN"/>
        </w:rPr>
        <w:t>79.27</w:t>
      </w:r>
      <w:r>
        <w:rPr>
          <w:rFonts w:hint="eastAsia" w:ascii="仿宋_GB2312" w:hAnsi="宋体" w:eastAsia="仿宋_GB2312"/>
          <w:color w:val="auto"/>
          <w:kern w:val="0"/>
          <w:sz w:val="24"/>
          <w:highlight w:val="none"/>
        </w:rPr>
        <w:t>%</w:t>
      </w:r>
      <w:r>
        <w:rPr>
          <w:rFonts w:hint="eastAsia" w:ascii="仿宋_GB2312" w:hAnsi="宋体" w:eastAsia="仿宋_GB2312"/>
          <w:color w:val="auto"/>
          <w:kern w:val="0"/>
          <w:sz w:val="24"/>
          <w:highlight w:val="none"/>
          <w:lang w:eastAsia="zh-CN"/>
        </w:rPr>
        <w:t>。</w:t>
      </w:r>
    </w:p>
    <w:p w14:paraId="630682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kern w:val="0"/>
          <w:sz w:val="24"/>
          <w:highlight w:val="none"/>
        </w:rPr>
      </w:pPr>
      <w:r>
        <w:rPr>
          <w:rFonts w:hint="eastAsia" w:ascii="仿宋_GB2312" w:hAnsi="宋体" w:eastAsia="仿宋_GB2312"/>
          <w:color w:val="auto"/>
          <w:kern w:val="0"/>
          <w:sz w:val="24"/>
          <w:highlight w:val="none"/>
        </w:rPr>
        <w:t>年末农业机械总动力</w:t>
      </w:r>
      <w:r>
        <w:rPr>
          <w:rFonts w:hint="eastAsia" w:ascii="仿宋_GB2312" w:hAnsi="宋体" w:eastAsia="仿宋_GB2312"/>
          <w:color w:val="auto"/>
          <w:kern w:val="0"/>
          <w:sz w:val="24"/>
          <w:highlight w:val="none"/>
          <w:lang w:val="en-US" w:eastAsia="zh-CN"/>
        </w:rPr>
        <w:t>12.72</w:t>
      </w:r>
      <w:r>
        <w:rPr>
          <w:rFonts w:hint="eastAsia" w:ascii="仿宋_GB2312" w:hAnsi="宋体" w:eastAsia="仿宋_GB2312"/>
          <w:color w:val="auto"/>
          <w:kern w:val="0"/>
          <w:sz w:val="24"/>
          <w:highlight w:val="none"/>
        </w:rPr>
        <w:t>万千瓦。年末实际耕地灌溉面积</w:t>
      </w:r>
      <w:r>
        <w:rPr>
          <w:rFonts w:hint="eastAsia" w:ascii="仿宋_GB2312" w:hAnsi="宋体" w:eastAsia="仿宋_GB2312"/>
          <w:color w:val="auto"/>
          <w:kern w:val="0"/>
          <w:sz w:val="24"/>
          <w:highlight w:val="none"/>
          <w:lang w:val="en-US" w:eastAsia="zh-CN"/>
        </w:rPr>
        <w:t>1522</w:t>
      </w:r>
      <w:r>
        <w:rPr>
          <w:rFonts w:hint="eastAsia" w:ascii="仿宋_GB2312" w:hAnsi="宋体" w:eastAsia="仿宋_GB2312"/>
          <w:color w:val="auto"/>
          <w:kern w:val="0"/>
          <w:sz w:val="24"/>
          <w:highlight w:val="none"/>
        </w:rPr>
        <w:t>公顷。</w:t>
      </w:r>
    </w:p>
    <w:p w14:paraId="3BEEB0C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宋体" w:eastAsia="黑体"/>
          <w:color w:val="auto"/>
          <w:sz w:val="24"/>
        </w:rPr>
      </w:pPr>
    </w:p>
    <w:p w14:paraId="325260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olor w:val="auto"/>
          <w:sz w:val="24"/>
        </w:rPr>
      </w:pPr>
      <w:r>
        <w:rPr>
          <w:rFonts w:hint="eastAsia" w:ascii="黑体" w:hAnsi="宋体" w:eastAsia="黑体"/>
          <w:color w:val="auto"/>
          <w:sz w:val="24"/>
        </w:rPr>
        <w:t>三、工业和建筑业</w:t>
      </w:r>
    </w:p>
    <w:p w14:paraId="7A9F60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olor w:val="auto"/>
          <w:sz w:val="24"/>
        </w:rPr>
      </w:pPr>
    </w:p>
    <w:p w14:paraId="4326F998">
      <w:pPr>
        <w:pStyle w:val="2"/>
        <w:spacing w:after="0" w:line="460" w:lineRule="exact"/>
        <w:ind w:firstLine="470" w:firstLineChars="196"/>
        <w:rPr>
          <w:rFonts w:hint="eastAsia" w:ascii="仿宋_GB2312" w:hAnsi="宋体" w:eastAsia="仿宋_GB2312"/>
          <w:color w:val="auto"/>
          <w:kern w:val="0"/>
          <w:sz w:val="24"/>
          <w:highlight w:val="none"/>
        </w:rPr>
      </w:pPr>
      <w:r>
        <w:rPr>
          <w:rFonts w:hint="eastAsia" w:ascii="仿宋_GB2312" w:hAnsi="宋体" w:eastAsia="仿宋_GB2312"/>
          <w:color w:val="auto"/>
          <w:kern w:val="0"/>
          <w:sz w:val="24"/>
        </w:rPr>
        <w:t>全年工业增加值</w:t>
      </w:r>
      <w:r>
        <w:rPr>
          <w:rFonts w:hint="eastAsia" w:ascii="仿宋_GB2312" w:hAnsi="宋体" w:eastAsia="仿宋_GB2312"/>
          <w:color w:val="auto"/>
          <w:kern w:val="0"/>
          <w:sz w:val="24"/>
          <w:lang w:val="en-US" w:eastAsia="zh-CN"/>
        </w:rPr>
        <w:t>336936</w:t>
      </w:r>
      <w:r>
        <w:rPr>
          <w:rFonts w:hint="eastAsia" w:ascii="仿宋_GB2312" w:hAnsi="宋体" w:eastAsia="仿宋_GB2312"/>
          <w:color w:val="auto"/>
          <w:kern w:val="0"/>
          <w:sz w:val="24"/>
        </w:rPr>
        <w:t>万元，比上年</w:t>
      </w:r>
      <w:r>
        <w:rPr>
          <w:rFonts w:hint="eastAsia" w:ascii="仿宋_GB2312" w:hAnsi="宋体" w:eastAsia="仿宋_GB2312"/>
          <w:color w:val="auto"/>
          <w:kern w:val="0"/>
          <w:sz w:val="24"/>
          <w:lang w:eastAsia="zh-CN"/>
        </w:rPr>
        <w:t>增加</w:t>
      </w:r>
      <w:r>
        <w:rPr>
          <w:rFonts w:hint="eastAsia" w:ascii="仿宋_GB2312" w:hAnsi="宋体" w:eastAsia="仿宋_GB2312"/>
          <w:color w:val="auto"/>
          <w:kern w:val="0"/>
          <w:sz w:val="24"/>
          <w:lang w:val="en-US" w:eastAsia="zh-CN"/>
        </w:rPr>
        <w:t>9.4</w:t>
      </w:r>
      <w:r>
        <w:rPr>
          <w:rFonts w:hint="eastAsia" w:ascii="仿宋_GB2312" w:hAnsi="宋体" w:eastAsia="仿宋_GB2312"/>
          <w:color w:val="auto"/>
          <w:kern w:val="0"/>
          <w:sz w:val="24"/>
        </w:rPr>
        <w:t>%，工业占经济总量</w:t>
      </w:r>
      <w:r>
        <w:rPr>
          <w:rFonts w:hint="eastAsia" w:ascii="仿宋_GB2312" w:hAnsi="宋体" w:eastAsia="仿宋_GB2312"/>
          <w:color w:val="auto"/>
          <w:kern w:val="0"/>
          <w:sz w:val="24"/>
          <w:lang w:eastAsia="zh-CN"/>
        </w:rPr>
        <w:t>的</w:t>
      </w:r>
      <w:r>
        <w:rPr>
          <w:rFonts w:hint="eastAsia" w:ascii="仿宋_GB2312" w:hAnsi="宋体" w:eastAsia="仿宋_GB2312"/>
          <w:color w:val="auto"/>
          <w:kern w:val="0"/>
          <w:sz w:val="24"/>
          <w:lang w:val="en-US" w:eastAsia="zh-CN"/>
        </w:rPr>
        <w:t>36.8</w:t>
      </w:r>
      <w:r>
        <w:rPr>
          <w:rFonts w:hint="eastAsia" w:ascii="仿宋_GB2312" w:hAnsi="宋体" w:eastAsia="仿宋_GB2312"/>
          <w:color w:val="auto"/>
          <w:kern w:val="0"/>
          <w:sz w:val="24"/>
        </w:rPr>
        <w:t>%，拉动经济增长</w:t>
      </w:r>
      <w:r>
        <w:rPr>
          <w:rFonts w:hint="eastAsia" w:ascii="仿宋_GB2312" w:hAnsi="宋体" w:eastAsia="仿宋_GB2312"/>
          <w:color w:val="auto"/>
          <w:kern w:val="0"/>
          <w:sz w:val="24"/>
          <w:lang w:val="en-US" w:eastAsia="zh-CN"/>
        </w:rPr>
        <w:t>3.45</w:t>
      </w:r>
      <w:r>
        <w:rPr>
          <w:rFonts w:hint="eastAsia" w:ascii="仿宋_GB2312" w:hAnsi="宋体" w:eastAsia="仿宋_GB2312"/>
          <w:color w:val="auto"/>
          <w:kern w:val="0"/>
          <w:sz w:val="24"/>
        </w:rPr>
        <w:t>个百分点，对经济增长的贡献率为</w:t>
      </w:r>
      <w:r>
        <w:rPr>
          <w:rFonts w:hint="eastAsia" w:ascii="仿宋_GB2312" w:hAnsi="宋体" w:eastAsia="仿宋_GB2312"/>
          <w:color w:val="auto"/>
          <w:kern w:val="0"/>
          <w:sz w:val="24"/>
          <w:lang w:val="en-US" w:eastAsia="zh-CN"/>
        </w:rPr>
        <w:t>53.64</w:t>
      </w:r>
      <w:r>
        <w:rPr>
          <w:rFonts w:hint="eastAsia" w:ascii="仿宋_GB2312" w:hAnsi="宋体" w:eastAsia="仿宋_GB2312"/>
          <w:color w:val="auto"/>
          <w:kern w:val="0"/>
          <w:sz w:val="24"/>
        </w:rPr>
        <w:t>%。年末纳入月度统计的规模以上工业企业</w:t>
      </w:r>
      <w:r>
        <w:rPr>
          <w:rFonts w:hint="eastAsia" w:ascii="仿宋_GB2312" w:hAnsi="宋体" w:eastAsia="仿宋_GB2312"/>
          <w:color w:val="auto"/>
          <w:kern w:val="0"/>
          <w:sz w:val="24"/>
          <w:lang w:val="en-US" w:eastAsia="zh-CN"/>
        </w:rPr>
        <w:t>42</w:t>
      </w:r>
      <w:r>
        <w:rPr>
          <w:rFonts w:hint="eastAsia" w:ascii="仿宋_GB2312" w:hAnsi="宋体" w:eastAsia="仿宋_GB2312"/>
          <w:color w:val="auto"/>
          <w:kern w:val="0"/>
          <w:sz w:val="24"/>
        </w:rPr>
        <w:t>户，</w:t>
      </w:r>
      <w:r>
        <w:rPr>
          <w:rFonts w:hint="eastAsia" w:ascii="仿宋_GB2312" w:hAnsi="宋体" w:eastAsia="仿宋_GB2312"/>
          <w:color w:val="auto"/>
          <w:kern w:val="0"/>
          <w:sz w:val="24"/>
          <w:lang w:val="en-US" w:eastAsia="zh-CN"/>
        </w:rPr>
        <w:t>规模以上工业企业增加值比上年增长12.5%</w:t>
      </w:r>
      <w:r>
        <w:rPr>
          <w:rFonts w:hint="eastAsia" w:ascii="仿宋_GB2312" w:hAnsi="宋体" w:eastAsia="仿宋_GB2312"/>
          <w:color w:val="auto"/>
          <w:kern w:val="0"/>
          <w:sz w:val="24"/>
          <w:lang w:eastAsia="zh-CN"/>
        </w:rPr>
        <w:t>；</w:t>
      </w:r>
      <w:r>
        <w:rPr>
          <w:rFonts w:hint="eastAsia" w:ascii="仿宋_GB2312" w:hAnsi="宋体" w:eastAsia="仿宋_GB2312"/>
          <w:color w:val="auto"/>
          <w:kern w:val="0"/>
          <w:sz w:val="24"/>
        </w:rPr>
        <w:t>实现利润</w:t>
      </w:r>
      <w:r>
        <w:rPr>
          <w:rFonts w:hint="eastAsia" w:ascii="仿宋_GB2312" w:hAnsi="宋体" w:eastAsia="仿宋_GB2312"/>
          <w:color w:val="auto"/>
          <w:kern w:val="0"/>
          <w:sz w:val="24"/>
          <w:lang w:val="en-US" w:eastAsia="zh-CN"/>
        </w:rPr>
        <w:t>11985</w:t>
      </w:r>
      <w:r>
        <w:rPr>
          <w:rFonts w:hint="eastAsia" w:ascii="仿宋_GB2312" w:hAnsi="宋体" w:eastAsia="仿宋_GB2312"/>
          <w:color w:val="auto"/>
          <w:kern w:val="0"/>
          <w:sz w:val="24"/>
        </w:rPr>
        <w:t>万元，比上年</w:t>
      </w:r>
      <w:r>
        <w:rPr>
          <w:rFonts w:hint="eastAsia" w:ascii="仿宋_GB2312" w:hAnsi="宋体" w:eastAsia="仿宋_GB2312"/>
          <w:color w:val="auto"/>
          <w:kern w:val="0"/>
          <w:sz w:val="24"/>
          <w:lang w:eastAsia="zh-CN"/>
        </w:rPr>
        <w:t>增长</w:t>
      </w:r>
      <w:r>
        <w:rPr>
          <w:rFonts w:hint="eastAsia" w:ascii="仿宋_GB2312" w:hAnsi="宋体" w:eastAsia="仿宋_GB2312"/>
          <w:color w:val="auto"/>
          <w:kern w:val="0"/>
          <w:sz w:val="24"/>
          <w:lang w:val="en-US" w:eastAsia="zh-CN"/>
        </w:rPr>
        <w:t>49.2</w:t>
      </w:r>
      <w:r>
        <w:rPr>
          <w:rFonts w:hint="eastAsia" w:ascii="仿宋_GB2312" w:hAnsi="宋体" w:eastAsia="仿宋_GB2312"/>
          <w:color w:val="auto"/>
          <w:kern w:val="0"/>
          <w:sz w:val="24"/>
        </w:rPr>
        <w:t>%；利税总额</w:t>
      </w:r>
      <w:r>
        <w:rPr>
          <w:rFonts w:hint="eastAsia" w:ascii="仿宋_GB2312" w:hAnsi="宋体" w:eastAsia="仿宋_GB2312"/>
          <w:color w:val="auto"/>
          <w:kern w:val="0"/>
          <w:sz w:val="24"/>
          <w:lang w:val="en-US" w:eastAsia="zh-CN"/>
        </w:rPr>
        <w:t>30036</w:t>
      </w:r>
      <w:r>
        <w:rPr>
          <w:rFonts w:hint="eastAsia" w:ascii="仿宋_GB2312" w:hAnsi="宋体" w:eastAsia="仿宋_GB2312"/>
          <w:color w:val="auto"/>
          <w:kern w:val="0"/>
          <w:sz w:val="24"/>
        </w:rPr>
        <w:t>万元，比上年</w:t>
      </w:r>
      <w:r>
        <w:rPr>
          <w:rFonts w:hint="eastAsia" w:ascii="仿宋_GB2312" w:hAnsi="宋体" w:eastAsia="仿宋_GB2312"/>
          <w:color w:val="auto"/>
          <w:kern w:val="0"/>
          <w:sz w:val="24"/>
          <w:lang w:eastAsia="zh-CN"/>
        </w:rPr>
        <w:t>增长</w:t>
      </w:r>
      <w:r>
        <w:rPr>
          <w:rFonts w:hint="eastAsia" w:ascii="仿宋_GB2312" w:hAnsi="宋体" w:eastAsia="仿宋_GB2312"/>
          <w:color w:val="auto"/>
          <w:kern w:val="0"/>
          <w:sz w:val="24"/>
          <w:lang w:val="en-US" w:eastAsia="zh-CN"/>
        </w:rPr>
        <w:t>18.5</w:t>
      </w:r>
      <w:r>
        <w:rPr>
          <w:rFonts w:hint="eastAsia" w:ascii="仿宋_GB2312" w:hAnsi="宋体" w:eastAsia="仿宋_GB2312"/>
          <w:color w:val="auto"/>
          <w:kern w:val="0"/>
          <w:sz w:val="24"/>
        </w:rPr>
        <w:t>%。主要工业产品中：规模工业发电量</w:t>
      </w:r>
      <w:r>
        <w:rPr>
          <w:rFonts w:hint="eastAsia" w:ascii="仿宋_GB2312" w:hAnsi="宋体" w:eastAsia="仿宋_GB2312"/>
          <w:color w:val="auto"/>
          <w:kern w:val="0"/>
          <w:sz w:val="24"/>
          <w:lang w:val="en-US" w:eastAsia="zh-CN"/>
        </w:rPr>
        <w:t>338687</w:t>
      </w:r>
      <w:r>
        <w:rPr>
          <w:rFonts w:hint="eastAsia" w:ascii="仿宋_GB2312" w:hAnsi="宋体" w:eastAsia="仿宋_GB2312"/>
          <w:color w:val="auto"/>
          <w:kern w:val="0"/>
          <w:sz w:val="24"/>
        </w:rPr>
        <w:t>万千瓦时，</w:t>
      </w:r>
      <w:r>
        <w:rPr>
          <w:rFonts w:hint="eastAsia" w:ascii="仿宋_GB2312" w:hAnsi="宋体" w:eastAsia="仿宋_GB2312"/>
          <w:color w:val="auto"/>
          <w:kern w:val="0"/>
          <w:sz w:val="24"/>
          <w:lang w:eastAsia="zh-CN"/>
        </w:rPr>
        <w:t>增长</w:t>
      </w:r>
      <w:r>
        <w:rPr>
          <w:rFonts w:hint="eastAsia" w:ascii="仿宋_GB2312" w:hAnsi="宋体" w:eastAsia="仿宋_GB2312"/>
          <w:color w:val="auto"/>
          <w:kern w:val="0"/>
          <w:sz w:val="24"/>
          <w:lang w:val="en-US" w:eastAsia="zh-CN"/>
        </w:rPr>
        <w:t>3.4</w:t>
      </w:r>
      <w:r>
        <w:rPr>
          <w:rFonts w:hint="eastAsia" w:ascii="仿宋_GB2312" w:hAnsi="宋体" w:eastAsia="仿宋_GB2312"/>
          <w:color w:val="auto"/>
          <w:kern w:val="0"/>
          <w:sz w:val="24"/>
        </w:rPr>
        <w:t>%；工业硅</w:t>
      </w:r>
      <w:r>
        <w:rPr>
          <w:rFonts w:hint="eastAsia" w:ascii="仿宋_GB2312" w:hAnsi="宋体" w:eastAsia="仿宋_GB2312"/>
          <w:color w:val="auto"/>
          <w:kern w:val="0"/>
          <w:sz w:val="24"/>
          <w:lang w:val="en-US" w:eastAsia="zh-CN"/>
        </w:rPr>
        <w:t>3.43万</w:t>
      </w:r>
      <w:r>
        <w:rPr>
          <w:rFonts w:hint="eastAsia" w:ascii="仿宋_GB2312" w:hAnsi="宋体" w:eastAsia="仿宋_GB2312"/>
          <w:color w:val="auto"/>
          <w:kern w:val="0"/>
          <w:sz w:val="24"/>
        </w:rPr>
        <w:t>吨，</w:t>
      </w:r>
      <w:r>
        <w:rPr>
          <w:rFonts w:hint="eastAsia" w:ascii="仿宋_GB2312" w:hAnsi="宋体" w:eastAsia="仿宋_GB2312"/>
          <w:color w:val="auto"/>
          <w:kern w:val="0"/>
          <w:sz w:val="24"/>
          <w:lang w:eastAsia="zh-CN"/>
        </w:rPr>
        <w:t>下降</w:t>
      </w:r>
      <w:r>
        <w:rPr>
          <w:rFonts w:hint="eastAsia" w:ascii="仿宋_GB2312" w:hAnsi="宋体" w:eastAsia="仿宋_GB2312"/>
          <w:color w:val="auto"/>
          <w:kern w:val="0"/>
          <w:sz w:val="24"/>
          <w:lang w:val="en-US" w:eastAsia="zh-CN"/>
        </w:rPr>
        <w:t>48.2</w:t>
      </w:r>
      <w:r>
        <w:rPr>
          <w:rFonts w:hint="eastAsia" w:ascii="仿宋_GB2312" w:hAnsi="宋体" w:eastAsia="仿宋_GB2312"/>
          <w:color w:val="auto"/>
          <w:kern w:val="0"/>
          <w:sz w:val="24"/>
        </w:rPr>
        <w:t>%；铁合金</w:t>
      </w:r>
      <w:r>
        <w:rPr>
          <w:rFonts w:hint="eastAsia" w:ascii="仿宋_GB2312" w:hAnsi="宋体" w:eastAsia="仿宋_GB2312"/>
          <w:color w:val="auto"/>
          <w:kern w:val="0"/>
          <w:sz w:val="24"/>
          <w:lang w:val="en-US" w:eastAsia="zh-CN"/>
        </w:rPr>
        <w:t>11.5万</w:t>
      </w:r>
      <w:r>
        <w:rPr>
          <w:rFonts w:hint="eastAsia" w:ascii="仿宋_GB2312" w:hAnsi="宋体" w:eastAsia="仿宋_GB2312"/>
          <w:color w:val="auto"/>
          <w:kern w:val="0"/>
          <w:sz w:val="24"/>
        </w:rPr>
        <w:t>吨，</w:t>
      </w:r>
      <w:r>
        <w:rPr>
          <w:rFonts w:hint="eastAsia" w:ascii="仿宋_GB2312" w:hAnsi="宋体" w:eastAsia="仿宋_GB2312"/>
          <w:color w:val="auto"/>
          <w:kern w:val="0"/>
          <w:sz w:val="24"/>
          <w:lang w:eastAsia="zh-CN"/>
        </w:rPr>
        <w:t>下降</w:t>
      </w:r>
      <w:r>
        <w:rPr>
          <w:rFonts w:hint="eastAsia" w:ascii="仿宋_GB2312" w:hAnsi="宋体" w:eastAsia="仿宋_GB2312"/>
          <w:color w:val="auto"/>
          <w:kern w:val="0"/>
          <w:sz w:val="24"/>
          <w:lang w:val="en-US" w:eastAsia="zh-CN"/>
        </w:rPr>
        <w:t>17.4</w:t>
      </w:r>
      <w:r>
        <w:rPr>
          <w:rFonts w:hint="eastAsia" w:ascii="仿宋_GB2312" w:hAnsi="宋体" w:eastAsia="仿宋_GB2312"/>
          <w:color w:val="auto"/>
          <w:kern w:val="0"/>
          <w:sz w:val="24"/>
        </w:rPr>
        <w:t>%；稀土金属</w:t>
      </w:r>
      <w:r>
        <w:rPr>
          <w:rFonts w:hint="eastAsia" w:ascii="仿宋_GB2312" w:hAnsi="宋体" w:eastAsia="仿宋_GB2312"/>
          <w:color w:val="auto"/>
          <w:kern w:val="0"/>
          <w:sz w:val="24"/>
          <w:lang w:val="en-US" w:eastAsia="zh-CN"/>
        </w:rPr>
        <w:t>0.88万</w:t>
      </w:r>
      <w:r>
        <w:rPr>
          <w:rFonts w:hint="eastAsia" w:ascii="仿宋_GB2312" w:hAnsi="宋体" w:eastAsia="仿宋_GB2312"/>
          <w:color w:val="auto"/>
          <w:kern w:val="0"/>
          <w:sz w:val="24"/>
        </w:rPr>
        <w:t>吨，增长</w:t>
      </w:r>
      <w:r>
        <w:rPr>
          <w:rFonts w:hint="eastAsia" w:ascii="仿宋_GB2312" w:hAnsi="宋体" w:eastAsia="仿宋_GB2312"/>
          <w:color w:val="auto"/>
          <w:kern w:val="0"/>
          <w:sz w:val="24"/>
          <w:lang w:val="en-US" w:eastAsia="zh-CN"/>
        </w:rPr>
        <w:t>14.1</w:t>
      </w:r>
      <w:r>
        <w:rPr>
          <w:rFonts w:hint="eastAsia" w:ascii="仿宋_GB2312" w:hAnsi="宋体" w:eastAsia="仿宋_GB2312"/>
          <w:color w:val="auto"/>
          <w:kern w:val="0"/>
          <w:sz w:val="24"/>
        </w:rPr>
        <w:t>%。</w:t>
      </w:r>
      <w:r>
        <w:rPr>
          <w:rFonts w:hint="eastAsia" w:ascii="仿宋_GB2312" w:hAnsi="宋体" w:eastAsia="仿宋_GB2312"/>
          <w:color w:val="auto"/>
          <w:kern w:val="0"/>
          <w:sz w:val="24"/>
          <w:lang w:eastAsia="zh-CN"/>
        </w:rPr>
        <w:t>规模以上工业产销率</w:t>
      </w:r>
      <w:r>
        <w:rPr>
          <w:rFonts w:hint="eastAsia" w:ascii="仿宋_GB2312" w:hAnsi="宋体" w:eastAsia="仿宋_GB2312"/>
          <w:color w:val="auto"/>
          <w:kern w:val="0"/>
          <w:sz w:val="24"/>
          <w:lang w:val="en-US" w:eastAsia="zh-CN"/>
        </w:rPr>
        <w:t>82.2%，比上年增长8.8个百分点。</w:t>
      </w:r>
      <w:r>
        <w:rPr>
          <w:rFonts w:hint="eastAsia" w:ascii="仿宋_GB2312" w:hAnsi="宋体" w:eastAsia="仿宋_GB2312"/>
          <w:color w:val="auto"/>
          <w:kern w:val="0"/>
          <w:sz w:val="24"/>
          <w:highlight w:val="none"/>
        </w:rPr>
        <w:t>“</w:t>
      </w:r>
      <w:r>
        <w:rPr>
          <w:rFonts w:hint="eastAsia" w:ascii="仿宋_GB2312" w:hAnsi="仿宋" w:eastAsia="仿宋_GB2312"/>
          <w:color w:val="auto"/>
          <w:sz w:val="24"/>
          <w:highlight w:val="none"/>
          <w:lang w:eastAsia="zh-CN"/>
        </w:rPr>
        <w:t>十四五</w:t>
      </w:r>
      <w:r>
        <w:rPr>
          <w:rFonts w:hint="eastAsia" w:ascii="仿宋_GB2312" w:hAnsi="宋体" w:eastAsia="仿宋_GB2312"/>
          <w:color w:val="auto"/>
          <w:kern w:val="0"/>
          <w:sz w:val="24"/>
          <w:highlight w:val="none"/>
        </w:rPr>
        <w:t>”期间，工业增加值年均增长</w:t>
      </w:r>
      <w:r>
        <w:rPr>
          <w:rFonts w:hint="eastAsia" w:ascii="仿宋_GB2312" w:hAnsi="宋体" w:eastAsia="仿宋_GB2312"/>
          <w:color w:val="auto"/>
          <w:kern w:val="0"/>
          <w:sz w:val="24"/>
          <w:highlight w:val="none"/>
          <w:lang w:val="en-US" w:eastAsia="zh-CN"/>
        </w:rPr>
        <w:t>7.1</w:t>
      </w:r>
      <w:r>
        <w:rPr>
          <w:rFonts w:hint="eastAsia" w:ascii="仿宋_GB2312" w:hAnsi="宋体" w:eastAsia="仿宋_GB2312"/>
          <w:color w:val="auto"/>
          <w:kern w:val="0"/>
          <w:sz w:val="24"/>
          <w:highlight w:val="none"/>
        </w:rPr>
        <w:t>%。</w:t>
      </w:r>
    </w:p>
    <w:p w14:paraId="1FCBC309">
      <w:pPr>
        <w:pStyle w:val="2"/>
        <w:spacing w:after="0" w:line="460" w:lineRule="exact"/>
        <w:jc w:val="center"/>
        <w:rPr>
          <w:rFonts w:hint="eastAsia" w:ascii="黑体" w:hAnsi="宋体" w:eastAsia="黑体" w:cs="宋体"/>
          <w:bCs/>
          <w:color w:val="auto"/>
          <w:kern w:val="0"/>
          <w:sz w:val="24"/>
        </w:rPr>
      </w:pPr>
    </w:p>
    <w:p w14:paraId="3DE0A202">
      <w:pPr>
        <w:pStyle w:val="2"/>
        <w:spacing w:after="0" w:line="460" w:lineRule="exact"/>
        <w:jc w:val="center"/>
        <w:rPr>
          <w:rFonts w:ascii="黑体" w:hAnsi="宋体" w:eastAsia="黑体" w:cs="宋体"/>
          <w:bCs/>
          <w:color w:val="auto"/>
          <w:kern w:val="0"/>
          <w:sz w:val="24"/>
        </w:rPr>
      </w:pPr>
      <w:r>
        <w:rPr>
          <w:rFonts w:hint="eastAsia" w:ascii="黑体" w:hAnsi="宋体" w:eastAsia="黑体" w:cs="宋体"/>
          <w:bCs/>
          <w:color w:val="auto"/>
          <w:kern w:val="0"/>
          <w:sz w:val="24"/>
        </w:rPr>
        <w:t>图</w:t>
      </w:r>
      <w:r>
        <w:rPr>
          <w:rFonts w:hint="eastAsia" w:ascii="黑体" w:hAnsi="宋体" w:eastAsia="黑体" w:cs="宋体"/>
          <w:bCs/>
          <w:color w:val="auto"/>
          <w:kern w:val="0"/>
          <w:sz w:val="24"/>
          <w:lang w:val="en-US" w:eastAsia="zh-CN"/>
        </w:rPr>
        <w:t>5</w:t>
      </w:r>
      <w:r>
        <w:rPr>
          <w:rFonts w:hint="eastAsia" w:ascii="黑体" w:hAnsi="宋体" w:eastAsia="黑体" w:cs="宋体"/>
          <w:bCs/>
          <w:color w:val="auto"/>
          <w:kern w:val="0"/>
          <w:sz w:val="24"/>
        </w:rPr>
        <w:t xml:space="preserve">  20</w:t>
      </w:r>
      <w:r>
        <w:rPr>
          <w:rFonts w:hint="eastAsia" w:ascii="黑体" w:hAnsi="宋体" w:eastAsia="黑体" w:cs="宋体"/>
          <w:bCs/>
          <w:color w:val="auto"/>
          <w:kern w:val="0"/>
          <w:sz w:val="24"/>
          <w:lang w:val="en-US" w:eastAsia="zh-CN"/>
        </w:rPr>
        <w:t>21—</w:t>
      </w:r>
      <w:r>
        <w:rPr>
          <w:rFonts w:hint="eastAsia" w:ascii="黑体" w:hAnsi="宋体" w:eastAsia="黑体" w:cs="宋体"/>
          <w:bCs/>
          <w:color w:val="auto"/>
          <w:kern w:val="0"/>
          <w:sz w:val="24"/>
        </w:rPr>
        <w:t>202</w:t>
      </w:r>
      <w:r>
        <w:rPr>
          <w:rFonts w:hint="eastAsia" w:ascii="黑体" w:hAnsi="宋体" w:eastAsia="黑体" w:cs="宋体"/>
          <w:bCs/>
          <w:color w:val="auto"/>
          <w:kern w:val="0"/>
          <w:sz w:val="24"/>
          <w:lang w:val="en-US" w:eastAsia="zh-CN"/>
        </w:rPr>
        <w:t>5</w:t>
      </w:r>
      <w:r>
        <w:rPr>
          <w:rFonts w:hint="eastAsia" w:ascii="黑体" w:hAnsi="宋体" w:eastAsia="黑体" w:cs="宋体"/>
          <w:bCs/>
          <w:color w:val="auto"/>
          <w:kern w:val="0"/>
          <w:sz w:val="24"/>
        </w:rPr>
        <w:t>年</w:t>
      </w:r>
      <w:r>
        <w:rPr>
          <w:rFonts w:hint="eastAsia" w:ascii="黑体" w:hAnsi="宋体" w:eastAsia="黑体" w:cs="宋体"/>
          <w:bCs/>
          <w:color w:val="auto"/>
          <w:kern w:val="0"/>
          <w:sz w:val="24"/>
          <w:lang w:eastAsia="zh-CN"/>
        </w:rPr>
        <w:t>规上</w:t>
      </w:r>
      <w:r>
        <w:rPr>
          <w:rFonts w:hint="eastAsia" w:ascii="黑体" w:hAnsi="宋体" w:eastAsia="黑体" w:cs="宋体"/>
          <w:bCs/>
          <w:color w:val="auto"/>
          <w:kern w:val="0"/>
          <w:sz w:val="24"/>
        </w:rPr>
        <w:t>工业增加值增长速度</w:t>
      </w:r>
    </w:p>
    <w:p w14:paraId="2A4A88EB">
      <w:pPr>
        <w:pStyle w:val="2"/>
        <w:spacing w:after="0" w:line="460" w:lineRule="exact"/>
        <w:jc w:val="center"/>
        <w:rPr>
          <w:rFonts w:ascii="黑体" w:hAnsi="宋体" w:eastAsia="黑体" w:cs="宋体"/>
          <w:bCs/>
          <w:color w:val="auto"/>
          <w:kern w:val="0"/>
          <w:sz w:val="24"/>
        </w:rPr>
      </w:pPr>
      <w:r>
        <w:rPr>
          <w:color w:val="auto"/>
        </w:rPr>
        <w:drawing>
          <wp:anchor distT="0" distB="0" distL="114300" distR="114300" simplePos="0" relativeHeight="251659264" behindDoc="1" locked="0" layoutInCell="1" allowOverlap="1">
            <wp:simplePos x="0" y="0"/>
            <wp:positionH relativeFrom="column">
              <wp:posOffset>58420</wp:posOffset>
            </wp:positionH>
            <wp:positionV relativeFrom="paragraph">
              <wp:posOffset>109855</wp:posOffset>
            </wp:positionV>
            <wp:extent cx="3462020" cy="1873885"/>
            <wp:effectExtent l="4445" t="4445" r="38735" b="45720"/>
            <wp:wrapTight wrapText="bothSides">
              <wp:wrapPolygon>
                <wp:start x="-28" y="-51"/>
                <wp:lineTo x="-28" y="21688"/>
                <wp:lineTo x="21723" y="21688"/>
                <wp:lineTo x="21723" y="-51"/>
                <wp:lineTo x="-28" y="-51"/>
              </wp:wrapPolygon>
            </wp:wrapTight>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395A6382">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default" w:ascii="仿宋_GB2312" w:eastAsia="仿宋_GB2312"/>
          <w:color w:val="auto"/>
          <w:kern w:val="0"/>
          <w:sz w:val="24"/>
          <w:lang w:val="en-US" w:eastAsia="zh-CN"/>
        </w:rPr>
      </w:pPr>
      <w:r>
        <w:rPr>
          <w:rFonts w:hint="eastAsia" w:ascii="仿宋_GB2312" w:eastAsia="仿宋_GB2312"/>
          <w:color w:val="auto"/>
          <w:kern w:val="0"/>
          <w:sz w:val="24"/>
        </w:rPr>
        <w:t>全县建筑业增加值</w:t>
      </w:r>
      <w:r>
        <w:rPr>
          <w:rFonts w:hint="eastAsia" w:ascii="仿宋_GB2312" w:eastAsia="仿宋_GB2312"/>
          <w:color w:val="auto"/>
          <w:kern w:val="0"/>
          <w:sz w:val="24"/>
          <w:lang w:val="en-US" w:eastAsia="zh-CN"/>
        </w:rPr>
        <w:t>53858</w:t>
      </w:r>
      <w:r>
        <w:rPr>
          <w:rFonts w:hint="eastAsia" w:ascii="仿宋_GB2312" w:eastAsia="仿宋_GB2312"/>
          <w:color w:val="auto"/>
          <w:kern w:val="0"/>
          <w:sz w:val="24"/>
        </w:rPr>
        <w:t>万元，比上年</w:t>
      </w:r>
      <w:r>
        <w:rPr>
          <w:rFonts w:hint="eastAsia" w:ascii="仿宋_GB2312" w:eastAsia="仿宋_GB2312"/>
          <w:color w:val="auto"/>
          <w:kern w:val="0"/>
          <w:sz w:val="24"/>
          <w:lang w:eastAsia="zh-CN"/>
        </w:rPr>
        <w:t>下降</w:t>
      </w:r>
      <w:r>
        <w:rPr>
          <w:rFonts w:hint="eastAsia" w:ascii="仿宋_GB2312" w:eastAsia="仿宋_GB2312"/>
          <w:color w:val="auto"/>
          <w:kern w:val="0"/>
          <w:sz w:val="24"/>
          <w:lang w:val="en-US" w:eastAsia="zh-CN"/>
        </w:rPr>
        <w:t>8.3</w:t>
      </w:r>
      <w:r>
        <w:rPr>
          <w:rFonts w:hint="eastAsia" w:ascii="仿宋_GB2312" w:eastAsia="仿宋_GB2312"/>
          <w:color w:val="auto"/>
          <w:kern w:val="0"/>
          <w:sz w:val="24"/>
        </w:rPr>
        <w:t>%，拉动经济</w:t>
      </w:r>
      <w:r>
        <w:rPr>
          <w:rFonts w:hint="eastAsia" w:ascii="仿宋_GB2312" w:eastAsia="仿宋_GB2312"/>
          <w:color w:val="auto"/>
          <w:kern w:val="0"/>
          <w:sz w:val="24"/>
          <w:lang w:val="en-US" w:eastAsia="zh-CN"/>
        </w:rPr>
        <w:t>-0.58</w:t>
      </w:r>
      <w:r>
        <w:rPr>
          <w:rFonts w:hint="eastAsia" w:ascii="仿宋_GB2312" w:eastAsia="仿宋_GB2312"/>
          <w:color w:val="auto"/>
          <w:kern w:val="0"/>
          <w:sz w:val="24"/>
        </w:rPr>
        <w:t>个百分点，对经济增长的贡献率为</w:t>
      </w:r>
      <w:r>
        <w:rPr>
          <w:rFonts w:hint="eastAsia" w:ascii="仿宋_GB2312" w:eastAsia="仿宋_GB2312"/>
          <w:color w:val="auto"/>
          <w:kern w:val="0"/>
          <w:sz w:val="24"/>
          <w:lang w:val="en-US" w:eastAsia="zh-CN"/>
        </w:rPr>
        <w:t>-9.0</w:t>
      </w:r>
      <w:r>
        <w:rPr>
          <w:rFonts w:hint="eastAsia" w:ascii="仿宋_GB2312" w:eastAsia="仿宋_GB2312"/>
          <w:color w:val="auto"/>
          <w:kern w:val="0"/>
          <w:sz w:val="24"/>
        </w:rPr>
        <w:t>%。全县</w:t>
      </w:r>
      <w:r>
        <w:rPr>
          <w:rFonts w:hint="eastAsia" w:ascii="仿宋_GB2312" w:eastAsia="仿宋_GB2312"/>
          <w:color w:val="auto"/>
          <w:kern w:val="0"/>
          <w:sz w:val="24"/>
          <w:lang w:val="en-US" w:eastAsia="zh-CN"/>
        </w:rPr>
        <w:t>11</w:t>
      </w:r>
      <w:r>
        <w:rPr>
          <w:rFonts w:hint="eastAsia" w:ascii="仿宋_GB2312" w:eastAsia="仿宋_GB2312"/>
          <w:color w:val="auto"/>
          <w:kern w:val="0"/>
          <w:sz w:val="24"/>
        </w:rPr>
        <w:t>户营业的资质建筑企业，实现建筑业产值</w:t>
      </w:r>
      <w:r>
        <w:rPr>
          <w:rFonts w:hint="eastAsia" w:ascii="仿宋_GB2312" w:eastAsia="仿宋_GB2312"/>
          <w:color w:val="auto"/>
          <w:kern w:val="0"/>
          <w:sz w:val="24"/>
          <w:lang w:val="en-US" w:eastAsia="zh-CN"/>
        </w:rPr>
        <w:t>57899</w:t>
      </w:r>
      <w:r>
        <w:rPr>
          <w:rFonts w:hint="eastAsia" w:ascii="仿宋_GB2312" w:eastAsia="仿宋_GB2312"/>
          <w:color w:val="auto"/>
          <w:kern w:val="0"/>
          <w:sz w:val="24"/>
        </w:rPr>
        <w:t>万元，增长</w:t>
      </w:r>
      <w:r>
        <w:rPr>
          <w:rFonts w:hint="eastAsia" w:ascii="仿宋_GB2312" w:eastAsia="仿宋_GB2312"/>
          <w:color w:val="auto"/>
          <w:kern w:val="0"/>
          <w:sz w:val="24"/>
          <w:lang w:val="en-US" w:eastAsia="zh-CN"/>
        </w:rPr>
        <w:t>10.0</w:t>
      </w:r>
      <w:r>
        <w:rPr>
          <w:rFonts w:hint="eastAsia" w:ascii="仿宋_GB2312" w:eastAsia="仿宋_GB2312"/>
          <w:color w:val="auto"/>
          <w:kern w:val="0"/>
          <w:sz w:val="24"/>
        </w:rPr>
        <w:t>%。</w:t>
      </w:r>
      <w:r>
        <w:rPr>
          <w:rFonts w:hint="eastAsia" w:ascii="仿宋_GB2312" w:eastAsia="仿宋_GB2312"/>
          <w:color w:val="auto"/>
          <w:kern w:val="0"/>
          <w:sz w:val="24"/>
          <w:lang w:val="en-US" w:eastAsia="zh-CN"/>
        </w:rPr>
        <w:t xml:space="preserve">  </w:t>
      </w:r>
    </w:p>
    <w:p w14:paraId="36149B70">
      <w:pPr>
        <w:pStyle w:val="2"/>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黑体" w:hAnsi="宋体" w:eastAsia="黑体"/>
          <w:color w:val="auto"/>
          <w:kern w:val="0"/>
          <w:sz w:val="24"/>
        </w:rPr>
      </w:pPr>
    </w:p>
    <w:p w14:paraId="3031EC26">
      <w:pPr>
        <w:pStyle w:val="2"/>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黑体" w:hAnsi="宋体" w:eastAsia="黑体"/>
          <w:color w:val="auto"/>
          <w:kern w:val="0"/>
          <w:sz w:val="24"/>
        </w:rPr>
      </w:pPr>
      <w:r>
        <w:rPr>
          <w:rFonts w:hint="eastAsia" w:ascii="黑体" w:hAnsi="宋体" w:eastAsia="黑体"/>
          <w:color w:val="auto"/>
          <w:kern w:val="0"/>
          <w:sz w:val="24"/>
        </w:rPr>
        <w:t>四、固定资产投资</w:t>
      </w:r>
    </w:p>
    <w:p w14:paraId="5F778C2E">
      <w:pPr>
        <w:pStyle w:val="2"/>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黑体" w:hAnsi="宋体" w:eastAsia="黑体"/>
          <w:color w:val="auto"/>
          <w:kern w:val="0"/>
          <w:sz w:val="24"/>
        </w:rPr>
      </w:pPr>
    </w:p>
    <w:p w14:paraId="400B46FF">
      <w:pPr>
        <w:pStyle w:val="2"/>
        <w:keepNext w:val="0"/>
        <w:keepLines w:val="0"/>
        <w:pageBreakBefore w:val="0"/>
        <w:widowControl w:val="0"/>
        <w:kinsoku/>
        <w:wordWrap/>
        <w:overflowPunct/>
        <w:topLinePunct w:val="0"/>
        <w:autoSpaceDE/>
        <w:autoSpaceDN/>
        <w:bidi w:val="0"/>
        <w:adjustRightInd/>
        <w:snapToGrid/>
        <w:spacing w:after="0" w:line="460" w:lineRule="exact"/>
        <w:ind w:firstLine="470" w:firstLineChars="196"/>
        <w:textAlignment w:val="auto"/>
        <w:rPr>
          <w:rFonts w:hint="eastAsia" w:ascii="黑体" w:hAnsi="宋体" w:eastAsia="黑体" w:cs="宋体"/>
          <w:color w:val="auto"/>
          <w:kern w:val="0"/>
          <w:sz w:val="24"/>
        </w:rPr>
      </w:pPr>
      <w:r>
        <w:rPr>
          <w:rFonts w:hint="eastAsia" w:ascii="仿宋_GB2312" w:hAnsi="宋体" w:eastAsia="仿宋_GB2312"/>
          <w:color w:val="auto"/>
          <w:kern w:val="0"/>
          <w:sz w:val="24"/>
        </w:rPr>
        <w:t>全社会固定资产投资比上年增长</w:t>
      </w:r>
      <w:r>
        <w:rPr>
          <w:rFonts w:hint="eastAsia" w:ascii="仿宋_GB2312" w:hAnsi="宋体" w:eastAsia="仿宋_GB2312"/>
          <w:color w:val="auto"/>
          <w:kern w:val="0"/>
          <w:sz w:val="24"/>
          <w:lang w:val="en-US" w:eastAsia="zh-CN"/>
        </w:rPr>
        <w:t>18.3</w:t>
      </w:r>
      <w:r>
        <w:rPr>
          <w:rFonts w:hint="eastAsia" w:ascii="仿宋_GB2312" w:hAnsi="宋体" w:eastAsia="仿宋_GB2312"/>
          <w:color w:val="auto"/>
          <w:kern w:val="0"/>
          <w:sz w:val="24"/>
        </w:rPr>
        <w:t>%。</w:t>
      </w:r>
      <w:r>
        <w:rPr>
          <w:rFonts w:hint="eastAsia" w:ascii="仿宋_GB2312" w:hAnsi="宋体" w:eastAsia="仿宋_GB2312"/>
          <w:color w:val="auto"/>
          <w:kern w:val="0"/>
          <w:sz w:val="24"/>
          <w:highlight w:val="none"/>
        </w:rPr>
        <w:t>“</w:t>
      </w:r>
      <w:r>
        <w:rPr>
          <w:rFonts w:hint="eastAsia" w:ascii="仿宋_GB2312" w:hAnsi="仿宋" w:eastAsia="仿宋_GB2312"/>
          <w:color w:val="auto"/>
          <w:sz w:val="24"/>
          <w:highlight w:val="none"/>
          <w:lang w:eastAsia="zh-CN"/>
        </w:rPr>
        <w:t>十四五</w:t>
      </w:r>
      <w:r>
        <w:rPr>
          <w:rFonts w:hint="eastAsia" w:ascii="仿宋_GB2312" w:hAnsi="宋体" w:eastAsia="仿宋_GB2312"/>
          <w:color w:val="auto"/>
          <w:kern w:val="0"/>
          <w:sz w:val="24"/>
          <w:highlight w:val="none"/>
        </w:rPr>
        <w:t>”期间，全社会固定资产投资年均增长</w:t>
      </w:r>
      <w:r>
        <w:rPr>
          <w:rFonts w:hint="eastAsia" w:ascii="仿宋_GB2312" w:hAnsi="宋体" w:eastAsia="仿宋_GB2312"/>
          <w:color w:val="auto"/>
          <w:kern w:val="0"/>
          <w:sz w:val="24"/>
          <w:highlight w:val="none"/>
          <w:lang w:val="en-US" w:eastAsia="zh-CN"/>
        </w:rPr>
        <w:t>15.0</w:t>
      </w:r>
      <w:r>
        <w:rPr>
          <w:rFonts w:hint="eastAsia" w:ascii="仿宋_GB2312" w:hAnsi="宋体" w:eastAsia="仿宋_GB2312"/>
          <w:color w:val="auto"/>
          <w:kern w:val="0"/>
          <w:sz w:val="24"/>
          <w:highlight w:val="none"/>
        </w:rPr>
        <w:t>%。</w:t>
      </w:r>
    </w:p>
    <w:p w14:paraId="51618B91">
      <w:pPr>
        <w:widowControl/>
        <w:spacing w:line="400" w:lineRule="exact"/>
        <w:jc w:val="center"/>
        <w:rPr>
          <w:rFonts w:hint="eastAsia" w:ascii="黑体" w:eastAsia="黑体"/>
          <w:color w:val="auto"/>
          <w:sz w:val="24"/>
        </w:rPr>
      </w:pPr>
      <w:r>
        <w:rPr>
          <w:color w:val="auto"/>
          <w:sz w:val="24"/>
        </w:rPr>
        <w:drawing>
          <wp:anchor distT="0" distB="0" distL="0" distR="0" simplePos="0" relativeHeight="251665408" behindDoc="0" locked="0" layoutInCell="1" allowOverlap="1">
            <wp:simplePos x="0" y="0"/>
            <wp:positionH relativeFrom="column">
              <wp:posOffset>290195</wp:posOffset>
            </wp:positionH>
            <wp:positionV relativeFrom="paragraph">
              <wp:posOffset>429260</wp:posOffset>
            </wp:positionV>
            <wp:extent cx="2951480" cy="1687195"/>
            <wp:effectExtent l="4445" t="4445" r="34925" b="41910"/>
            <wp:wrapTopAndBottom/>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宋体" w:eastAsia="黑体" w:cs="宋体"/>
          <w:color w:val="auto"/>
          <w:kern w:val="0"/>
          <w:sz w:val="24"/>
        </w:rPr>
        <w:t>图</w:t>
      </w:r>
      <w:r>
        <w:rPr>
          <w:rFonts w:hint="eastAsia" w:ascii="黑体" w:hAnsi="宋体" w:eastAsia="黑体" w:cs="宋体"/>
          <w:color w:val="auto"/>
          <w:kern w:val="0"/>
          <w:sz w:val="24"/>
          <w:lang w:val="en-US" w:eastAsia="zh-CN"/>
        </w:rPr>
        <w:t>6</w:t>
      </w:r>
      <w:r>
        <w:rPr>
          <w:rFonts w:hint="eastAsia" w:ascii="黑体" w:hAnsi="宋体" w:eastAsia="黑体" w:cs="宋体"/>
          <w:color w:val="auto"/>
          <w:kern w:val="0"/>
          <w:sz w:val="24"/>
        </w:rPr>
        <w:t xml:space="preserve">  20</w:t>
      </w:r>
      <w:r>
        <w:rPr>
          <w:rFonts w:hint="eastAsia" w:ascii="黑体" w:hAnsi="宋体" w:eastAsia="黑体" w:cs="宋体"/>
          <w:color w:val="auto"/>
          <w:kern w:val="0"/>
          <w:sz w:val="24"/>
          <w:lang w:val="en-US" w:eastAsia="zh-CN"/>
        </w:rPr>
        <w:t>21—</w:t>
      </w:r>
      <w:r>
        <w:rPr>
          <w:rFonts w:hint="eastAsia" w:ascii="黑体" w:hAnsi="宋体" w:eastAsia="黑体" w:cs="宋体"/>
          <w:color w:val="auto"/>
          <w:kern w:val="0"/>
          <w:sz w:val="24"/>
        </w:rPr>
        <w:t>202</w:t>
      </w:r>
      <w:r>
        <w:rPr>
          <w:rFonts w:hint="eastAsia" w:ascii="黑体" w:hAnsi="宋体" w:eastAsia="黑体" w:cs="宋体"/>
          <w:color w:val="auto"/>
          <w:kern w:val="0"/>
          <w:sz w:val="24"/>
          <w:lang w:val="en-US" w:eastAsia="zh-CN"/>
        </w:rPr>
        <w:t>5</w:t>
      </w:r>
      <w:r>
        <w:rPr>
          <w:rFonts w:hint="eastAsia" w:ascii="黑体" w:hAnsi="宋体" w:eastAsia="黑体" w:cs="宋体"/>
          <w:color w:val="auto"/>
          <w:kern w:val="0"/>
          <w:sz w:val="24"/>
        </w:rPr>
        <w:t>年全社会固定资产投资增长速度</w:t>
      </w:r>
    </w:p>
    <w:p w14:paraId="65790403">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黑体" w:eastAsia="黑体"/>
          <w:color w:val="auto"/>
          <w:sz w:val="24"/>
        </w:rPr>
      </w:pPr>
      <w:r>
        <w:rPr>
          <w:rFonts w:hint="eastAsia" w:ascii="黑体" w:eastAsia="黑体"/>
          <w:color w:val="auto"/>
          <w:sz w:val="24"/>
        </w:rPr>
        <w:t>五、国内贸易</w:t>
      </w:r>
    </w:p>
    <w:p w14:paraId="29D9B148">
      <w:pPr>
        <w:pStyle w:val="2"/>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仿宋_GB2312" w:eastAsia="仿宋_GB2312"/>
          <w:color w:val="auto"/>
          <w:sz w:val="24"/>
        </w:rPr>
      </w:pPr>
      <w:r>
        <w:rPr>
          <w:rFonts w:hint="eastAsia" w:ascii="仿宋_GB2312" w:eastAsia="仿宋_GB2312"/>
          <w:color w:val="auto"/>
          <w:sz w:val="24"/>
        </w:rPr>
        <w:t>全年社会消费品零售总额291954万元，比上年</w:t>
      </w:r>
      <w:r>
        <w:rPr>
          <w:rFonts w:hint="eastAsia" w:ascii="仿宋_GB2312" w:eastAsia="仿宋_GB2312"/>
          <w:color w:val="auto"/>
          <w:sz w:val="24"/>
          <w:lang w:eastAsia="zh-CN"/>
        </w:rPr>
        <w:t>增长</w:t>
      </w:r>
      <w:r>
        <w:rPr>
          <w:rFonts w:hint="eastAsia" w:ascii="仿宋_GB2312" w:eastAsia="仿宋_GB2312"/>
          <w:color w:val="auto"/>
          <w:sz w:val="24"/>
          <w:lang w:val="en-US" w:eastAsia="zh-CN"/>
        </w:rPr>
        <w:t>7.2</w:t>
      </w:r>
      <w:r>
        <w:rPr>
          <w:rFonts w:hint="eastAsia" w:ascii="仿宋_GB2312" w:eastAsia="仿宋_GB2312"/>
          <w:color w:val="auto"/>
          <w:sz w:val="24"/>
        </w:rPr>
        <w:t>%。</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十四五</w:t>
      </w:r>
      <w:r>
        <w:rPr>
          <w:rFonts w:hint="eastAsia" w:ascii="仿宋_GB2312" w:eastAsia="仿宋_GB2312"/>
          <w:color w:val="auto"/>
          <w:sz w:val="24"/>
          <w:highlight w:val="none"/>
        </w:rPr>
        <w:t>”期间，社会消费品零售总额年均增长</w:t>
      </w:r>
      <w:r>
        <w:rPr>
          <w:rFonts w:hint="eastAsia" w:ascii="仿宋_GB2312" w:eastAsia="仿宋_GB2312"/>
          <w:color w:val="auto"/>
          <w:sz w:val="24"/>
          <w:highlight w:val="none"/>
          <w:lang w:val="en-US" w:eastAsia="zh-CN"/>
        </w:rPr>
        <w:t>8.7</w:t>
      </w:r>
      <w:r>
        <w:rPr>
          <w:rFonts w:hint="eastAsia" w:ascii="仿宋_GB2312" w:eastAsia="仿宋_GB2312"/>
          <w:color w:val="auto"/>
          <w:sz w:val="24"/>
          <w:highlight w:val="none"/>
        </w:rPr>
        <w:t>%。</w:t>
      </w:r>
    </w:p>
    <w:p w14:paraId="2EB3CB1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s="宋体"/>
          <w:color w:val="auto"/>
          <w:w w:val="95"/>
          <w:kern w:val="0"/>
          <w:sz w:val="24"/>
        </w:rPr>
      </w:pPr>
      <w:r>
        <w:rPr>
          <w:rFonts w:hint="eastAsia" w:ascii="黑体" w:hAnsi="宋体" w:eastAsia="黑体" w:cs="宋体"/>
          <w:color w:val="auto"/>
          <w:kern w:val="0"/>
          <w:sz w:val="24"/>
        </w:rPr>
        <w:t>图</w:t>
      </w:r>
      <w:r>
        <w:rPr>
          <w:rFonts w:hint="eastAsia" w:ascii="黑体" w:hAnsi="宋体" w:eastAsia="黑体" w:cs="宋体"/>
          <w:color w:val="auto"/>
          <w:kern w:val="0"/>
          <w:sz w:val="24"/>
          <w:lang w:val="en-US" w:eastAsia="zh-CN"/>
        </w:rPr>
        <w:t>7</w:t>
      </w:r>
      <w:r>
        <w:rPr>
          <w:rFonts w:hint="eastAsia" w:ascii="黑体" w:hAnsi="宋体" w:eastAsia="黑体" w:cs="宋体"/>
          <w:color w:val="auto"/>
          <w:kern w:val="0"/>
          <w:sz w:val="24"/>
        </w:rPr>
        <w:t xml:space="preserve">  </w:t>
      </w:r>
      <w:r>
        <w:rPr>
          <w:rFonts w:hint="eastAsia" w:ascii="黑体" w:hAnsi="宋体" w:eastAsia="黑体" w:cs="宋体"/>
          <w:color w:val="auto"/>
          <w:w w:val="95"/>
          <w:kern w:val="0"/>
          <w:sz w:val="24"/>
        </w:rPr>
        <w:t>20</w:t>
      </w:r>
      <w:r>
        <w:rPr>
          <w:rFonts w:hint="eastAsia" w:ascii="黑体" w:hAnsi="宋体" w:eastAsia="黑体" w:cs="宋体"/>
          <w:color w:val="auto"/>
          <w:w w:val="95"/>
          <w:kern w:val="0"/>
          <w:sz w:val="24"/>
          <w:lang w:val="en-US" w:eastAsia="zh-CN"/>
        </w:rPr>
        <w:t>21—</w:t>
      </w:r>
      <w:r>
        <w:rPr>
          <w:rFonts w:hint="eastAsia" w:ascii="黑体" w:hAnsi="宋体" w:eastAsia="黑体" w:cs="宋体"/>
          <w:color w:val="auto"/>
          <w:w w:val="95"/>
          <w:kern w:val="0"/>
          <w:sz w:val="24"/>
        </w:rPr>
        <w:t>202</w:t>
      </w:r>
      <w:r>
        <w:rPr>
          <w:rFonts w:hint="eastAsia" w:ascii="黑体" w:hAnsi="宋体" w:eastAsia="黑体" w:cs="宋体"/>
          <w:color w:val="auto"/>
          <w:w w:val="95"/>
          <w:kern w:val="0"/>
          <w:sz w:val="24"/>
          <w:lang w:val="en-US" w:eastAsia="zh-CN"/>
        </w:rPr>
        <w:t>5</w:t>
      </w:r>
      <w:r>
        <w:rPr>
          <w:rFonts w:hint="eastAsia" w:ascii="黑体" w:hAnsi="宋体" w:eastAsia="黑体" w:cs="宋体"/>
          <w:color w:val="auto"/>
          <w:w w:val="95"/>
          <w:kern w:val="0"/>
          <w:sz w:val="24"/>
        </w:rPr>
        <w:t>年社会消费品零售总额增长速度</w:t>
      </w:r>
    </w:p>
    <w:p w14:paraId="026AC4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eastAsia="仿宋_GB2312"/>
          <w:color w:val="auto"/>
          <w:sz w:val="24"/>
        </w:rPr>
      </w:pPr>
      <w:r>
        <w:rPr>
          <w:color w:val="auto"/>
          <w:sz w:val="18"/>
          <w:szCs w:val="18"/>
        </w:rPr>
        <w:drawing>
          <wp:anchor distT="0" distB="0" distL="114300" distR="114300" simplePos="0" relativeHeight="251660288" behindDoc="0" locked="0" layoutInCell="1" allowOverlap="1">
            <wp:simplePos x="0" y="0"/>
            <wp:positionH relativeFrom="column">
              <wp:posOffset>336550</wp:posOffset>
            </wp:positionH>
            <wp:positionV relativeFrom="paragraph">
              <wp:posOffset>141605</wp:posOffset>
            </wp:positionV>
            <wp:extent cx="2927350" cy="2014855"/>
            <wp:effectExtent l="4445" t="4445" r="40005" b="38100"/>
            <wp:wrapTopAndBottom/>
            <wp:docPr id="9" name="图表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61A98934">
      <w:pPr>
        <w:pStyle w:val="2"/>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eastAsia" w:ascii="仿宋_GB2312" w:eastAsia="仿宋_GB2312"/>
          <w:color w:val="auto"/>
          <w:sz w:val="24"/>
        </w:rPr>
      </w:pPr>
      <w:r>
        <w:rPr>
          <w:rFonts w:hint="eastAsia" w:ascii="仿宋_GB2312" w:eastAsia="仿宋_GB2312"/>
          <w:color w:val="auto"/>
          <w:sz w:val="24"/>
        </w:rPr>
        <w:t>按经营地统计，城镇消费品零售额192531.</w:t>
      </w:r>
      <w:r>
        <w:rPr>
          <w:rFonts w:hint="eastAsia" w:ascii="仿宋_GB2312" w:eastAsia="仿宋_GB2312"/>
          <w:color w:val="auto"/>
          <w:sz w:val="24"/>
          <w:lang w:val="en-US" w:eastAsia="zh-CN"/>
        </w:rPr>
        <w:t>4</w:t>
      </w:r>
      <w:r>
        <w:rPr>
          <w:rFonts w:hint="eastAsia" w:ascii="仿宋_GB2312" w:eastAsia="仿宋_GB2312"/>
          <w:color w:val="auto"/>
          <w:sz w:val="24"/>
        </w:rPr>
        <w:t>万元，增长</w:t>
      </w:r>
      <w:r>
        <w:rPr>
          <w:rFonts w:hint="eastAsia" w:ascii="仿宋_GB2312" w:eastAsia="仿宋_GB2312"/>
          <w:color w:val="auto"/>
          <w:sz w:val="24"/>
          <w:lang w:val="en-US" w:eastAsia="zh-CN"/>
        </w:rPr>
        <w:t>7.6</w:t>
      </w:r>
      <w:r>
        <w:rPr>
          <w:rFonts w:hint="eastAsia" w:ascii="仿宋_GB2312" w:eastAsia="仿宋_GB2312"/>
          <w:color w:val="auto"/>
          <w:sz w:val="24"/>
        </w:rPr>
        <w:t>%；乡村消费品零售额99422.9万元，增长</w:t>
      </w:r>
      <w:r>
        <w:rPr>
          <w:rFonts w:hint="eastAsia" w:ascii="仿宋_GB2312" w:eastAsia="仿宋_GB2312"/>
          <w:color w:val="auto"/>
          <w:sz w:val="24"/>
          <w:lang w:val="en-US" w:eastAsia="zh-CN"/>
        </w:rPr>
        <w:t>6.4</w:t>
      </w:r>
      <w:r>
        <w:rPr>
          <w:rFonts w:hint="eastAsia" w:ascii="仿宋_GB2312" w:eastAsia="仿宋_GB2312"/>
          <w:color w:val="auto"/>
          <w:sz w:val="24"/>
        </w:rPr>
        <w:t>%。年末纳入月报统计的限额以上企业（单位）</w:t>
      </w:r>
      <w:r>
        <w:rPr>
          <w:rFonts w:hint="eastAsia" w:ascii="仿宋_GB2312" w:eastAsia="仿宋_GB2312"/>
          <w:color w:val="auto"/>
          <w:sz w:val="24"/>
          <w:lang w:val="en-US" w:eastAsia="zh-CN"/>
        </w:rPr>
        <w:t>46</w:t>
      </w:r>
      <w:r>
        <w:rPr>
          <w:rFonts w:hint="eastAsia" w:ascii="仿宋_GB2312" w:eastAsia="仿宋_GB2312"/>
          <w:color w:val="auto"/>
          <w:sz w:val="24"/>
        </w:rPr>
        <w:t>户，全年限额以上消费品零售额54086.5万元，比上年增长</w:t>
      </w:r>
      <w:r>
        <w:rPr>
          <w:rFonts w:hint="eastAsia" w:ascii="仿宋_GB2312" w:eastAsia="仿宋_GB2312"/>
          <w:color w:val="auto"/>
          <w:sz w:val="24"/>
          <w:lang w:val="en-US" w:eastAsia="zh-CN"/>
        </w:rPr>
        <w:t>17.1</w:t>
      </w:r>
      <w:r>
        <w:rPr>
          <w:rFonts w:hint="eastAsia" w:ascii="仿宋_GB2312" w:eastAsia="仿宋_GB2312"/>
          <w:color w:val="auto"/>
          <w:sz w:val="24"/>
        </w:rPr>
        <w:t>%。</w:t>
      </w:r>
    </w:p>
    <w:p w14:paraId="53F1618B">
      <w:pPr>
        <w:pStyle w:val="2"/>
        <w:keepNext w:val="0"/>
        <w:keepLines w:val="0"/>
        <w:pageBreakBefore w:val="0"/>
        <w:widowControl w:val="0"/>
        <w:kinsoku/>
        <w:wordWrap/>
        <w:overflowPunct/>
        <w:topLinePunct w:val="0"/>
        <w:autoSpaceDE/>
        <w:autoSpaceDN/>
        <w:bidi w:val="0"/>
        <w:adjustRightInd/>
        <w:snapToGrid/>
        <w:spacing w:after="0" w:line="420" w:lineRule="exact"/>
        <w:ind w:firstLine="480" w:firstLineChars="200"/>
        <w:textAlignment w:val="auto"/>
        <w:rPr>
          <w:rFonts w:hint="eastAsia" w:ascii="仿宋_GB2312" w:eastAsia="仿宋_GB2312"/>
          <w:color w:val="auto"/>
          <w:sz w:val="24"/>
        </w:rPr>
      </w:pPr>
      <w:r>
        <w:rPr>
          <w:rFonts w:hint="eastAsia" w:ascii="仿宋_GB2312" w:eastAsia="仿宋_GB2312"/>
          <w:color w:val="auto"/>
          <w:sz w:val="24"/>
        </w:rPr>
        <w:t>全年</w:t>
      </w:r>
      <w:r>
        <w:rPr>
          <w:rFonts w:hint="eastAsia" w:ascii="仿宋_GB2312" w:eastAsia="仿宋_GB2312"/>
          <w:color w:val="auto"/>
          <w:sz w:val="24"/>
          <w:lang w:eastAsia="zh-CN"/>
        </w:rPr>
        <w:t>实现货物贸易进出口总额1.82</w:t>
      </w:r>
      <w:r>
        <w:rPr>
          <w:rFonts w:hint="eastAsia" w:ascii="仿宋_GB2312" w:eastAsia="仿宋_GB2312"/>
          <w:color w:val="auto"/>
          <w:sz w:val="24"/>
          <w:lang w:val="en-US" w:eastAsia="zh-CN"/>
        </w:rPr>
        <w:t>亿元，比上年下降16.9%，其中，出</w:t>
      </w:r>
      <w:r>
        <w:rPr>
          <w:rFonts w:hint="eastAsia" w:ascii="仿宋_GB2312" w:eastAsia="仿宋_GB2312"/>
          <w:color w:val="auto"/>
          <w:sz w:val="24"/>
        </w:rPr>
        <w:t>口0.35</w:t>
      </w:r>
      <w:r>
        <w:rPr>
          <w:rFonts w:hint="eastAsia" w:ascii="仿宋_GB2312" w:eastAsia="仿宋_GB2312"/>
          <w:color w:val="auto"/>
          <w:sz w:val="24"/>
          <w:lang w:eastAsia="zh-CN"/>
        </w:rPr>
        <w:t>亿</w:t>
      </w:r>
      <w:r>
        <w:rPr>
          <w:rFonts w:hint="eastAsia" w:ascii="仿宋_GB2312" w:eastAsia="仿宋_GB2312"/>
          <w:color w:val="auto"/>
          <w:sz w:val="24"/>
        </w:rPr>
        <w:t>元</w:t>
      </w:r>
      <w:r>
        <w:rPr>
          <w:rFonts w:hint="eastAsia" w:ascii="仿宋_GB2312" w:eastAsia="仿宋_GB2312"/>
          <w:color w:val="auto"/>
          <w:sz w:val="24"/>
          <w:lang w:eastAsia="zh-CN"/>
        </w:rPr>
        <w:t>；</w:t>
      </w:r>
      <w:r>
        <w:rPr>
          <w:rFonts w:hint="eastAsia" w:ascii="仿宋_GB2312" w:eastAsia="仿宋_GB2312"/>
          <w:color w:val="auto"/>
          <w:sz w:val="24"/>
          <w:lang w:val="en-US" w:eastAsia="zh-CN"/>
        </w:rPr>
        <w:t>进</w:t>
      </w:r>
      <w:r>
        <w:rPr>
          <w:rFonts w:hint="eastAsia" w:ascii="仿宋_GB2312" w:eastAsia="仿宋_GB2312"/>
          <w:color w:val="auto"/>
          <w:sz w:val="24"/>
        </w:rPr>
        <w:t>口1.48</w:t>
      </w:r>
      <w:r>
        <w:rPr>
          <w:rFonts w:hint="eastAsia" w:ascii="仿宋_GB2312" w:eastAsia="仿宋_GB2312"/>
          <w:color w:val="auto"/>
          <w:sz w:val="24"/>
          <w:lang w:eastAsia="zh-CN"/>
        </w:rPr>
        <w:t>亿</w:t>
      </w:r>
      <w:r>
        <w:rPr>
          <w:rFonts w:hint="eastAsia" w:ascii="仿宋_GB2312" w:eastAsia="仿宋_GB2312"/>
          <w:color w:val="auto"/>
          <w:sz w:val="24"/>
        </w:rPr>
        <w:t>元</w:t>
      </w:r>
      <w:r>
        <w:rPr>
          <w:rFonts w:hint="eastAsia" w:ascii="仿宋_GB2312" w:eastAsia="仿宋_GB2312"/>
          <w:color w:val="auto"/>
          <w:sz w:val="24"/>
          <w:lang w:eastAsia="zh-CN"/>
        </w:rPr>
        <w:t>，比上年下降</w:t>
      </w:r>
      <w:r>
        <w:rPr>
          <w:rFonts w:hint="eastAsia" w:ascii="仿宋_GB2312" w:eastAsia="仿宋_GB2312"/>
          <w:color w:val="auto"/>
          <w:sz w:val="24"/>
          <w:lang w:val="en-US" w:eastAsia="zh-CN"/>
        </w:rPr>
        <w:t>32.42%</w:t>
      </w:r>
      <w:r>
        <w:rPr>
          <w:rFonts w:hint="eastAsia" w:ascii="仿宋_GB2312" w:eastAsia="仿宋_GB2312"/>
          <w:color w:val="auto"/>
          <w:sz w:val="24"/>
        </w:rPr>
        <w:t>。</w:t>
      </w:r>
    </w:p>
    <w:p w14:paraId="3EF1C888">
      <w:pPr>
        <w:pStyle w:val="2"/>
        <w:keepNext w:val="0"/>
        <w:keepLines w:val="0"/>
        <w:pageBreakBefore w:val="0"/>
        <w:widowControl w:val="0"/>
        <w:kinsoku/>
        <w:wordWrap/>
        <w:overflowPunct/>
        <w:topLinePunct w:val="0"/>
        <w:autoSpaceDE/>
        <w:autoSpaceDN/>
        <w:bidi w:val="0"/>
        <w:adjustRightInd/>
        <w:snapToGrid/>
        <w:spacing w:after="0" w:line="300" w:lineRule="exact"/>
        <w:ind w:firstLine="480" w:firstLineChars="200"/>
        <w:textAlignment w:val="auto"/>
        <w:rPr>
          <w:rFonts w:hint="eastAsia" w:ascii="仿宋_GB2312" w:eastAsia="仿宋_GB2312"/>
          <w:color w:val="auto"/>
          <w:sz w:val="24"/>
        </w:rPr>
      </w:pPr>
    </w:p>
    <w:p w14:paraId="15A12D86">
      <w:pPr>
        <w:pStyle w:val="2"/>
        <w:keepNext w:val="0"/>
        <w:keepLines w:val="0"/>
        <w:pageBreakBefore w:val="0"/>
        <w:widowControl w:val="0"/>
        <w:numPr>
          <w:ilvl w:val="0"/>
          <w:numId w:val="0"/>
        </w:numPr>
        <w:kinsoku/>
        <w:wordWrap/>
        <w:overflowPunct/>
        <w:topLinePunct w:val="0"/>
        <w:autoSpaceDE/>
        <w:autoSpaceDN/>
        <w:bidi w:val="0"/>
        <w:adjustRightInd/>
        <w:snapToGrid/>
        <w:spacing w:after="0" w:line="420" w:lineRule="exact"/>
        <w:jc w:val="center"/>
        <w:textAlignment w:val="auto"/>
        <w:rPr>
          <w:rFonts w:ascii="黑体" w:hAnsi="宋体" w:eastAsia="黑体"/>
          <w:color w:val="auto"/>
          <w:sz w:val="24"/>
        </w:rPr>
      </w:pPr>
      <w:r>
        <w:rPr>
          <w:rFonts w:hint="eastAsia" w:ascii="黑体" w:hAnsi="宋体" w:eastAsia="黑体"/>
          <w:color w:val="auto"/>
          <w:sz w:val="24"/>
          <w:lang w:eastAsia="zh-CN"/>
        </w:rPr>
        <w:t>六、</w:t>
      </w:r>
      <w:r>
        <w:rPr>
          <w:rFonts w:hint="eastAsia" w:ascii="黑体" w:hAnsi="宋体" w:eastAsia="黑体"/>
          <w:color w:val="auto"/>
          <w:sz w:val="24"/>
        </w:rPr>
        <w:t>交通运输、邮电通讯业和旅游</w:t>
      </w:r>
    </w:p>
    <w:p w14:paraId="2C9F97E5">
      <w:pPr>
        <w:pStyle w:val="2"/>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jc w:val="both"/>
        <w:textAlignment w:val="auto"/>
        <w:rPr>
          <w:rFonts w:ascii="黑体" w:hAnsi="宋体" w:eastAsia="黑体"/>
          <w:color w:val="auto"/>
          <w:sz w:val="24"/>
        </w:rPr>
      </w:pPr>
    </w:p>
    <w:p w14:paraId="0C4F59A5">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仿宋_GB2312" w:hAnsi="宋体" w:eastAsia="仿宋_GB2312"/>
          <w:color w:val="auto"/>
          <w:sz w:val="24"/>
          <w:lang w:val="en-US" w:eastAsia="zh-CN"/>
        </w:rPr>
      </w:pPr>
      <w:r>
        <w:rPr>
          <w:rFonts w:hint="eastAsia" w:ascii="仿宋_GB2312" w:hAnsi="宋体" w:eastAsia="仿宋_GB2312"/>
          <w:color w:val="auto"/>
          <w:kern w:val="0"/>
          <w:sz w:val="24"/>
          <w:lang w:eastAsia="zh-CN"/>
        </w:rPr>
        <w:t>年末</w:t>
      </w:r>
      <w:r>
        <w:rPr>
          <w:rFonts w:hint="eastAsia" w:ascii="仿宋_GB2312" w:hAnsi="宋体" w:eastAsia="仿宋_GB2312"/>
          <w:color w:val="auto"/>
          <w:sz w:val="24"/>
        </w:rPr>
        <w:t>全县公路</w:t>
      </w:r>
      <w:r>
        <w:rPr>
          <w:rFonts w:hint="eastAsia" w:ascii="仿宋_GB2312" w:hAnsi="宋体" w:eastAsia="仿宋_GB2312"/>
          <w:color w:val="auto"/>
          <w:sz w:val="24"/>
          <w:lang w:eastAsia="zh-CN"/>
        </w:rPr>
        <w:t>总</w:t>
      </w:r>
      <w:r>
        <w:rPr>
          <w:rFonts w:hint="eastAsia" w:ascii="仿宋_GB2312" w:hAnsi="宋体" w:eastAsia="仿宋_GB2312"/>
          <w:color w:val="auto"/>
          <w:sz w:val="24"/>
        </w:rPr>
        <w:t>里程为</w:t>
      </w:r>
      <w:r>
        <w:rPr>
          <w:rFonts w:hint="eastAsia" w:ascii="仿宋_GB2312" w:hAnsi="宋体" w:eastAsia="仿宋_GB2312"/>
          <w:color w:val="auto"/>
          <w:sz w:val="24"/>
          <w:lang w:val="en-US" w:eastAsia="zh-CN"/>
        </w:rPr>
        <w:t>1557.8</w:t>
      </w:r>
      <w:r>
        <w:rPr>
          <w:rFonts w:hint="eastAsia" w:ascii="仿宋_GB2312" w:hAnsi="宋体" w:eastAsia="仿宋_GB2312"/>
          <w:color w:val="auto"/>
          <w:sz w:val="24"/>
        </w:rPr>
        <w:t>公里，其中等级公路1</w:t>
      </w:r>
      <w:r>
        <w:rPr>
          <w:rFonts w:hint="eastAsia" w:ascii="仿宋_GB2312" w:hAnsi="宋体" w:eastAsia="仿宋_GB2312"/>
          <w:color w:val="auto"/>
          <w:sz w:val="24"/>
          <w:lang w:val="en-US" w:eastAsia="zh-CN"/>
        </w:rPr>
        <w:t>556.3</w:t>
      </w:r>
      <w:r>
        <w:rPr>
          <w:rFonts w:hint="eastAsia" w:ascii="仿宋_GB2312" w:hAnsi="宋体" w:eastAsia="仿宋_GB2312"/>
          <w:color w:val="auto"/>
          <w:sz w:val="24"/>
        </w:rPr>
        <w:t>公里</w:t>
      </w:r>
      <w:r>
        <w:rPr>
          <w:rFonts w:hint="eastAsia" w:ascii="仿宋_GB2312" w:hAnsi="宋体" w:eastAsia="仿宋_GB2312"/>
          <w:color w:val="auto"/>
          <w:sz w:val="24"/>
          <w:lang w:eastAsia="zh-CN"/>
        </w:rPr>
        <w:t>，高速公路里程</w:t>
      </w:r>
      <w:r>
        <w:rPr>
          <w:rFonts w:hint="eastAsia" w:ascii="仿宋_GB2312" w:hAnsi="宋体" w:eastAsia="仿宋_GB2312"/>
          <w:color w:val="auto"/>
          <w:sz w:val="24"/>
          <w:lang w:val="en-US" w:eastAsia="zh-CN"/>
        </w:rPr>
        <w:t>23.7公里</w:t>
      </w:r>
      <w:r>
        <w:rPr>
          <w:rFonts w:hint="eastAsia" w:ascii="仿宋_GB2312" w:hAnsi="宋体" w:eastAsia="仿宋_GB2312"/>
          <w:color w:val="auto"/>
          <w:sz w:val="24"/>
        </w:rPr>
        <w:t>。</w:t>
      </w:r>
      <w:r>
        <w:rPr>
          <w:rFonts w:hint="eastAsia" w:ascii="仿宋_GB2312" w:hAnsi="宋体" w:eastAsia="仿宋_GB2312"/>
          <w:color w:val="auto"/>
          <w:sz w:val="24"/>
          <w:lang w:eastAsia="zh-CN"/>
        </w:rPr>
        <w:t>全年公路货物运输量</w:t>
      </w:r>
      <w:r>
        <w:rPr>
          <w:rFonts w:hint="eastAsia" w:ascii="仿宋_GB2312" w:hAnsi="宋体" w:eastAsia="仿宋_GB2312"/>
          <w:color w:val="auto"/>
          <w:sz w:val="24"/>
          <w:lang w:val="en-US" w:eastAsia="zh-CN"/>
        </w:rPr>
        <w:t>53万吨，</w:t>
      </w:r>
      <w:r>
        <w:rPr>
          <w:rFonts w:hint="eastAsia" w:ascii="仿宋_GB2312" w:hAnsi="宋体" w:eastAsia="仿宋_GB2312"/>
          <w:color w:val="auto"/>
          <w:sz w:val="24"/>
          <w:lang w:eastAsia="zh-CN"/>
        </w:rPr>
        <w:t>公路货运周转量</w:t>
      </w:r>
      <w:r>
        <w:rPr>
          <w:rFonts w:hint="eastAsia" w:ascii="仿宋_GB2312" w:hAnsi="宋体" w:eastAsia="仿宋_GB2312"/>
          <w:color w:val="auto"/>
          <w:sz w:val="24"/>
          <w:lang w:val="en-US" w:eastAsia="zh-CN"/>
        </w:rPr>
        <w:t>5278万吨公里；公路旅客运输量269万人，公路客运周转量7440万人公里。</w:t>
      </w:r>
    </w:p>
    <w:p w14:paraId="57B5C214">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宋体" w:eastAsia="仿宋_GB2312" w:cs="Times New Roman"/>
          <w:color w:val="auto"/>
          <w:kern w:val="0"/>
          <w:sz w:val="24"/>
          <w:szCs w:val="24"/>
          <w:lang w:val="en-US" w:eastAsia="zh-CN" w:bidi="ar-SA"/>
        </w:rPr>
      </w:pPr>
      <w:r>
        <w:rPr>
          <w:rFonts w:hint="eastAsia" w:ascii="仿宋_GB2312" w:hAnsi="宋体" w:eastAsia="仿宋_GB2312"/>
          <w:color w:val="auto"/>
          <w:sz w:val="24"/>
        </w:rPr>
        <w:t>年末民用汽</w:t>
      </w:r>
      <w:r>
        <w:rPr>
          <w:rFonts w:hint="eastAsia" w:ascii="仿宋_GB2312" w:hAnsi="宋体" w:eastAsia="仿宋_GB2312" w:cs="Times New Roman"/>
          <w:color w:val="auto"/>
          <w:kern w:val="0"/>
          <w:sz w:val="24"/>
          <w:szCs w:val="24"/>
          <w:lang w:val="en-US" w:eastAsia="zh-CN" w:bidi="ar-SA"/>
        </w:rPr>
        <w:t>车拥有量15292辆，增长2.7%。</w:t>
      </w:r>
    </w:p>
    <w:p w14:paraId="0C1A3600">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年末全</w:t>
      </w:r>
      <w:r>
        <w:rPr>
          <w:rFonts w:hint="eastAsia" w:ascii="仿宋_GB2312" w:hAnsi="宋体" w:eastAsia="仿宋_GB2312"/>
          <w:color w:val="auto"/>
          <w:sz w:val="24"/>
          <w:lang w:eastAsia="zh-CN"/>
        </w:rPr>
        <w:t>县</w:t>
      </w:r>
      <w:r>
        <w:rPr>
          <w:rFonts w:hint="eastAsia" w:ascii="仿宋_GB2312" w:hAnsi="宋体" w:eastAsia="仿宋_GB2312"/>
          <w:color w:val="auto"/>
          <w:sz w:val="24"/>
        </w:rPr>
        <w:t>共有</w:t>
      </w:r>
      <w:r>
        <w:rPr>
          <w:rFonts w:hint="eastAsia" w:ascii="仿宋_GB2312" w:hAnsi="宋体" w:eastAsia="仿宋_GB2312"/>
          <w:color w:val="auto"/>
          <w:sz w:val="24"/>
          <w:lang w:val="en-US" w:eastAsia="zh-CN"/>
        </w:rPr>
        <w:t>20</w:t>
      </w:r>
      <w:r>
        <w:rPr>
          <w:rFonts w:hint="eastAsia" w:ascii="仿宋_GB2312" w:hAnsi="宋体" w:eastAsia="仿宋_GB2312"/>
          <w:color w:val="auto"/>
          <w:sz w:val="24"/>
        </w:rPr>
        <w:t>个邮政局（所）</w:t>
      </w:r>
      <w:r>
        <w:rPr>
          <w:rFonts w:hint="eastAsia" w:ascii="仿宋_GB2312" w:hAnsi="宋体" w:eastAsia="仿宋_GB2312"/>
          <w:color w:val="auto"/>
          <w:sz w:val="24"/>
          <w:lang w:eastAsia="zh-CN"/>
        </w:rPr>
        <w:t>，</w:t>
      </w:r>
      <w:r>
        <w:rPr>
          <w:rFonts w:hint="eastAsia" w:ascii="仿宋_GB2312" w:hAnsi="宋体" w:eastAsia="仿宋_GB2312"/>
          <w:color w:val="auto"/>
          <w:sz w:val="24"/>
        </w:rPr>
        <w:t>平均每</w:t>
      </w:r>
      <w:r>
        <w:rPr>
          <w:rFonts w:hint="eastAsia" w:ascii="仿宋_GB2312" w:hAnsi="宋体" w:eastAsia="仿宋_GB2312"/>
          <w:color w:val="auto"/>
          <w:sz w:val="24"/>
          <w:lang w:val="en-US" w:eastAsia="zh-CN"/>
        </w:rPr>
        <w:t>120</w:t>
      </w:r>
      <w:r>
        <w:rPr>
          <w:rFonts w:hint="eastAsia" w:ascii="仿宋_GB2312" w:hAnsi="宋体" w:eastAsia="仿宋_GB2312"/>
          <w:color w:val="auto"/>
          <w:sz w:val="24"/>
        </w:rPr>
        <w:t>平方公里。全</w:t>
      </w:r>
      <w:r>
        <w:rPr>
          <w:rFonts w:hint="eastAsia" w:ascii="仿宋_GB2312" w:hAnsi="宋体" w:eastAsia="仿宋_GB2312"/>
          <w:color w:val="auto"/>
          <w:sz w:val="24"/>
          <w:lang w:eastAsia="zh-CN"/>
        </w:rPr>
        <w:t>县</w:t>
      </w:r>
      <w:r>
        <w:rPr>
          <w:rFonts w:hint="eastAsia" w:ascii="仿宋_GB2312" w:hAnsi="宋体" w:eastAsia="仿宋_GB2312"/>
          <w:color w:val="auto"/>
          <w:sz w:val="24"/>
        </w:rPr>
        <w:t>有邮路</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条，邮路总长度</w:t>
      </w:r>
      <w:r>
        <w:rPr>
          <w:rFonts w:hint="eastAsia" w:ascii="仿宋_GB2312" w:hAnsi="宋体" w:eastAsia="仿宋_GB2312"/>
          <w:color w:val="auto"/>
          <w:sz w:val="24"/>
          <w:lang w:eastAsia="zh-CN"/>
        </w:rPr>
        <w:t>（单程）</w:t>
      </w:r>
      <w:r>
        <w:rPr>
          <w:rFonts w:hint="eastAsia" w:ascii="仿宋_GB2312" w:hAnsi="宋体" w:eastAsia="仿宋_GB2312"/>
          <w:color w:val="auto"/>
          <w:sz w:val="24"/>
        </w:rPr>
        <w:t>达到</w:t>
      </w:r>
      <w:r>
        <w:rPr>
          <w:rFonts w:hint="eastAsia" w:ascii="仿宋_GB2312" w:hAnsi="宋体" w:eastAsia="仿宋_GB2312"/>
          <w:color w:val="auto"/>
          <w:sz w:val="24"/>
          <w:lang w:val="en-US" w:eastAsia="zh-CN"/>
        </w:rPr>
        <w:t>241</w:t>
      </w:r>
      <w:r>
        <w:rPr>
          <w:rFonts w:hint="eastAsia" w:ascii="仿宋_GB2312" w:hAnsi="宋体" w:eastAsia="仿宋_GB2312"/>
          <w:color w:val="auto"/>
          <w:sz w:val="24"/>
        </w:rPr>
        <w:t>公里。</w:t>
      </w:r>
    </w:p>
    <w:p w14:paraId="7EACC459">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全年邮电业务总量</w:t>
      </w:r>
      <w:r>
        <w:rPr>
          <w:rFonts w:hint="eastAsia" w:ascii="仿宋_GB2312" w:hAnsi="宋体" w:eastAsia="仿宋_GB2312"/>
          <w:color w:val="auto"/>
          <w:sz w:val="24"/>
          <w:lang w:val="en-US" w:eastAsia="zh-CN"/>
        </w:rPr>
        <w:t>10675</w:t>
      </w:r>
      <w:r>
        <w:rPr>
          <w:rFonts w:hint="eastAsia" w:ascii="仿宋_GB2312" w:hAnsi="宋体" w:eastAsia="仿宋_GB2312"/>
          <w:color w:val="auto"/>
          <w:sz w:val="24"/>
        </w:rPr>
        <w:t>万元，</w:t>
      </w:r>
      <w:r>
        <w:rPr>
          <w:rFonts w:hint="eastAsia" w:ascii="仿宋_GB2312" w:hAnsi="宋体" w:eastAsia="仿宋_GB2312"/>
          <w:color w:val="auto"/>
          <w:sz w:val="24"/>
          <w:lang w:eastAsia="zh-CN"/>
        </w:rPr>
        <w:t>比上年下降</w:t>
      </w:r>
      <w:r>
        <w:rPr>
          <w:rFonts w:hint="eastAsia" w:ascii="仿宋_GB2312" w:hAnsi="宋体" w:eastAsia="仿宋_GB2312"/>
          <w:color w:val="auto"/>
          <w:sz w:val="24"/>
          <w:lang w:val="en-US" w:eastAsia="zh-CN"/>
        </w:rPr>
        <w:t>18.5</w:t>
      </w:r>
      <w:r>
        <w:rPr>
          <w:rFonts w:hint="eastAsia" w:ascii="仿宋_GB2312" w:hAnsi="宋体" w:eastAsia="仿宋_GB2312"/>
          <w:color w:val="auto"/>
          <w:sz w:val="24"/>
        </w:rPr>
        <w:t>%</w:t>
      </w:r>
      <w:r>
        <w:rPr>
          <w:rFonts w:hint="eastAsia" w:ascii="仿宋_GB2312" w:hAnsi="宋体" w:eastAsia="仿宋_GB2312"/>
          <w:color w:val="auto"/>
          <w:sz w:val="24"/>
          <w:lang w:eastAsia="zh-CN"/>
        </w:rPr>
        <w:t>，其中，邮政业务总量</w:t>
      </w:r>
      <w:r>
        <w:rPr>
          <w:rFonts w:hint="eastAsia" w:ascii="仿宋_GB2312" w:hAnsi="宋体" w:eastAsia="仿宋_GB2312"/>
          <w:color w:val="auto"/>
          <w:sz w:val="24"/>
          <w:lang w:val="en-US" w:eastAsia="zh-CN"/>
        </w:rPr>
        <w:t>2583万元，增长9.5%；电信业务总量8093万元，下降24.6%</w:t>
      </w:r>
      <w:r>
        <w:rPr>
          <w:rFonts w:hint="eastAsia" w:ascii="仿宋_GB2312" w:hAnsi="宋体" w:eastAsia="仿宋_GB2312"/>
          <w:color w:val="auto"/>
          <w:sz w:val="24"/>
        </w:rPr>
        <w:t>。</w:t>
      </w:r>
    </w:p>
    <w:p w14:paraId="765C58F3">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年末固定电话用户</w:t>
      </w:r>
      <w:r>
        <w:rPr>
          <w:rFonts w:hint="eastAsia" w:ascii="仿宋_GB2312" w:hAnsi="宋体" w:eastAsia="仿宋_GB2312"/>
          <w:color w:val="auto"/>
          <w:sz w:val="24"/>
          <w:lang w:val="en-US" w:eastAsia="zh-CN"/>
        </w:rPr>
        <w:t>1.48</w:t>
      </w:r>
      <w:r>
        <w:rPr>
          <w:rFonts w:hint="eastAsia" w:ascii="仿宋_GB2312" w:hAnsi="宋体" w:eastAsia="仿宋_GB2312"/>
          <w:color w:val="auto"/>
          <w:sz w:val="24"/>
        </w:rPr>
        <w:t>万户</w:t>
      </w:r>
      <w:r>
        <w:rPr>
          <w:rFonts w:hint="eastAsia" w:ascii="仿宋_GB2312" w:hAnsi="宋体" w:eastAsia="仿宋_GB2312"/>
          <w:color w:val="auto"/>
          <w:sz w:val="24"/>
          <w:lang w:eastAsia="zh-CN"/>
        </w:rPr>
        <w:t>，</w:t>
      </w:r>
      <w:r>
        <w:rPr>
          <w:rFonts w:hint="eastAsia" w:ascii="仿宋_GB2312" w:hAnsi="宋体" w:eastAsia="仿宋_GB2312"/>
          <w:color w:val="auto"/>
          <w:sz w:val="24"/>
        </w:rPr>
        <w:t>移动电话用户1</w:t>
      </w:r>
      <w:r>
        <w:rPr>
          <w:rFonts w:hint="eastAsia" w:ascii="仿宋_GB2312" w:hAnsi="宋体" w:eastAsia="仿宋_GB2312"/>
          <w:color w:val="auto"/>
          <w:sz w:val="24"/>
          <w:lang w:val="en-US" w:eastAsia="zh-CN"/>
        </w:rPr>
        <w:t>2.39</w:t>
      </w:r>
      <w:r>
        <w:rPr>
          <w:rFonts w:hint="eastAsia" w:ascii="仿宋_GB2312" w:hAnsi="宋体" w:eastAsia="仿宋_GB2312"/>
          <w:color w:val="auto"/>
          <w:sz w:val="24"/>
          <w:lang w:eastAsia="zh-CN"/>
        </w:rPr>
        <w:t>万</w:t>
      </w:r>
      <w:r>
        <w:rPr>
          <w:rFonts w:hint="eastAsia" w:ascii="仿宋_GB2312" w:hAnsi="宋体" w:eastAsia="仿宋_GB2312"/>
          <w:color w:val="auto"/>
          <w:sz w:val="24"/>
        </w:rPr>
        <w:t>户，互联网有线宽带用户</w:t>
      </w:r>
      <w:r>
        <w:rPr>
          <w:rFonts w:hint="eastAsia" w:ascii="仿宋_GB2312" w:hAnsi="宋体" w:eastAsia="仿宋_GB2312"/>
          <w:color w:val="auto"/>
          <w:sz w:val="24"/>
          <w:lang w:val="en-US" w:eastAsia="zh-CN"/>
        </w:rPr>
        <w:t>4.32</w:t>
      </w:r>
      <w:r>
        <w:rPr>
          <w:rFonts w:hint="eastAsia" w:ascii="仿宋_GB2312" w:hAnsi="宋体" w:eastAsia="仿宋_GB2312"/>
          <w:color w:val="auto"/>
          <w:sz w:val="24"/>
        </w:rPr>
        <w:t>万户。</w:t>
      </w:r>
    </w:p>
    <w:p w14:paraId="7556A67C">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宋体" w:eastAsia="仿宋_GB2312" w:cs="Times New Roman"/>
          <w:color w:val="auto"/>
          <w:kern w:val="0"/>
          <w:sz w:val="24"/>
          <w:szCs w:val="24"/>
          <w:lang w:val="en-US" w:eastAsia="zh-CN" w:bidi="ar-SA"/>
        </w:rPr>
      </w:pPr>
      <w:r>
        <w:rPr>
          <w:rFonts w:hint="eastAsia" w:ascii="仿宋_GB2312" w:hAnsi="宋体" w:eastAsia="仿宋_GB2312" w:cs="Times New Roman"/>
          <w:color w:val="auto"/>
          <w:kern w:val="0"/>
          <w:sz w:val="24"/>
          <w:szCs w:val="24"/>
          <w:lang w:val="en-US" w:eastAsia="zh-CN" w:bidi="ar-SA"/>
        </w:rPr>
        <w:t>全年旅游总收入52.48亿元，比上年增加31.7%，接待旅游人数665.2万人次，增长34.0%。</w:t>
      </w:r>
    </w:p>
    <w:p w14:paraId="13A66266">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eastAsia="仿宋_GB2312"/>
          <w:color w:val="auto"/>
          <w:sz w:val="24"/>
        </w:rPr>
      </w:pPr>
    </w:p>
    <w:p w14:paraId="6C6C7ACC">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eastAsia="仿宋_GB2312"/>
          <w:color w:val="auto"/>
          <w:sz w:val="24"/>
        </w:rPr>
      </w:pPr>
    </w:p>
    <w:p w14:paraId="7ECFEFA9">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eastAsia="仿宋_GB2312"/>
          <w:color w:val="auto"/>
          <w:sz w:val="24"/>
        </w:rPr>
      </w:pPr>
    </w:p>
    <w:p w14:paraId="13FECB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黑体" w:hAnsi="宋体" w:eastAsia="黑体"/>
          <w:color w:val="auto"/>
          <w:sz w:val="24"/>
          <w:highlight w:val="yellow"/>
        </w:rPr>
      </w:pPr>
      <w:r>
        <w:rPr>
          <w:rFonts w:hint="eastAsia" w:ascii="黑体" w:hAnsi="宋体" w:eastAsia="黑体"/>
          <w:color w:val="auto"/>
          <w:sz w:val="24"/>
        </w:rPr>
        <w:t>七、财政、金融和保险</w:t>
      </w:r>
    </w:p>
    <w:p w14:paraId="37FAEF72">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ascii="仿宋_GB2312" w:hAnsi="宋体" w:eastAsia="仿宋_GB2312"/>
          <w:b/>
          <w:color w:val="auto"/>
          <w:sz w:val="24"/>
        </w:rPr>
      </w:pPr>
    </w:p>
    <w:p w14:paraId="1F739C4B">
      <w:pPr>
        <w:keepNext w:val="0"/>
        <w:keepLines w:val="0"/>
        <w:pageBreakBefore w:val="0"/>
        <w:widowControl w:val="0"/>
        <w:kinsoku/>
        <w:wordWrap/>
        <w:overflowPunct/>
        <w:topLinePunct w:val="0"/>
        <w:autoSpaceDE/>
        <w:autoSpaceDN/>
        <w:bidi w:val="0"/>
        <w:adjustRightInd/>
        <w:snapToGrid/>
        <w:spacing w:line="460" w:lineRule="exact"/>
        <w:ind w:left="239" w:leftChars="114" w:firstLine="240" w:firstLineChars="100"/>
        <w:textAlignment w:val="auto"/>
        <w:rPr>
          <w:rFonts w:hint="eastAsia" w:ascii="仿宋_GB2312" w:hAnsi="宋体" w:eastAsia="仿宋_GB2312"/>
          <w:color w:val="auto"/>
          <w:sz w:val="24"/>
        </w:rPr>
      </w:pPr>
      <w:r>
        <w:rPr>
          <w:rFonts w:hint="eastAsia" w:ascii="仿宋_GB2312" w:hAnsi="宋体" w:eastAsia="仿宋_GB2312"/>
          <w:color w:val="auto"/>
          <w:sz w:val="24"/>
        </w:rPr>
        <w:t>全年</w:t>
      </w:r>
      <w:r>
        <w:rPr>
          <w:rFonts w:hint="eastAsia" w:ascii="仿宋_GB2312" w:hAnsi="宋体" w:eastAsia="仿宋_GB2312"/>
          <w:color w:val="auto"/>
          <w:sz w:val="24"/>
          <w:lang w:eastAsia="zh-CN"/>
        </w:rPr>
        <w:t>一般公共预算收入</w:t>
      </w:r>
      <w:r>
        <w:rPr>
          <w:rFonts w:hint="eastAsia" w:ascii="仿宋_GB2312" w:hAnsi="宋体" w:eastAsia="仿宋_GB2312"/>
          <w:color w:val="auto"/>
          <w:sz w:val="24"/>
          <w:lang w:val="en-US" w:eastAsia="zh-CN"/>
        </w:rPr>
        <w:t>102777</w:t>
      </w:r>
      <w:r>
        <w:rPr>
          <w:rFonts w:hint="eastAsia" w:ascii="仿宋_GB2312" w:hAnsi="宋体" w:eastAsia="仿宋_GB2312"/>
          <w:color w:val="auto"/>
          <w:sz w:val="24"/>
          <w:lang w:eastAsia="zh-CN"/>
        </w:rPr>
        <w:t>万元</w:t>
      </w:r>
      <w:r>
        <w:rPr>
          <w:rFonts w:hint="eastAsia" w:ascii="仿宋_GB2312" w:hAnsi="宋体" w:eastAsia="仿宋_GB2312"/>
          <w:color w:val="auto"/>
          <w:sz w:val="24"/>
        </w:rPr>
        <w:t>，比</w:t>
      </w:r>
      <w:r>
        <w:rPr>
          <w:rFonts w:hint="eastAsia" w:ascii="仿宋_GB2312" w:hAnsi="宋体" w:eastAsia="仿宋_GB2312"/>
          <w:color w:val="auto"/>
          <w:sz w:val="24"/>
          <w:lang w:eastAsia="zh-CN"/>
        </w:rPr>
        <w:t>上</w:t>
      </w:r>
      <w:r>
        <w:rPr>
          <w:rFonts w:hint="eastAsia" w:ascii="仿宋_GB2312" w:hAnsi="宋体" w:eastAsia="仿宋_GB2312"/>
          <w:color w:val="auto"/>
          <w:sz w:val="24"/>
        </w:rPr>
        <w:t>年</w:t>
      </w:r>
      <w:r>
        <w:rPr>
          <w:rFonts w:hint="eastAsia" w:ascii="仿宋_GB2312" w:hAnsi="宋体" w:eastAsia="仿宋_GB2312"/>
          <w:color w:val="auto"/>
          <w:sz w:val="24"/>
          <w:lang w:eastAsia="zh-CN"/>
        </w:rPr>
        <w:t>增长</w:t>
      </w:r>
      <w:r>
        <w:rPr>
          <w:rFonts w:hint="eastAsia" w:ascii="仿宋_GB2312" w:hAnsi="宋体" w:eastAsia="仿宋_GB2312"/>
          <w:color w:val="auto"/>
          <w:sz w:val="24"/>
          <w:lang w:val="en-US" w:eastAsia="zh-CN"/>
        </w:rPr>
        <w:t>4.5</w:t>
      </w:r>
      <w:r>
        <w:rPr>
          <w:rFonts w:hint="eastAsia" w:ascii="仿宋_GB2312" w:hAnsi="宋体" w:eastAsia="仿宋_GB2312"/>
          <w:color w:val="auto"/>
          <w:sz w:val="24"/>
        </w:rPr>
        <w:t>%，</w:t>
      </w:r>
      <w:r>
        <w:rPr>
          <w:rFonts w:hint="eastAsia" w:ascii="仿宋_GB2312" w:hAnsi="宋体" w:eastAsia="仿宋_GB2312"/>
          <w:color w:val="auto"/>
          <w:sz w:val="24"/>
          <w:lang w:eastAsia="zh-CN"/>
        </w:rPr>
        <w:t>占</w:t>
      </w:r>
      <w:r>
        <w:rPr>
          <w:rFonts w:hint="eastAsia" w:ascii="仿宋_GB2312" w:hAnsi="宋体" w:eastAsia="仿宋_GB2312"/>
          <w:color w:val="auto"/>
          <w:sz w:val="24"/>
          <w:lang w:val="en-US" w:eastAsia="zh-CN"/>
        </w:rPr>
        <w:t>GDP的比重为11.23%。</w:t>
      </w:r>
      <w:r>
        <w:rPr>
          <w:rFonts w:hint="eastAsia" w:ascii="仿宋_GB2312" w:hAnsi="宋体" w:eastAsia="仿宋_GB2312"/>
          <w:color w:val="auto"/>
          <w:sz w:val="24"/>
        </w:rPr>
        <w:t>其中，地方</w:t>
      </w:r>
      <w:r>
        <w:rPr>
          <w:rFonts w:hint="eastAsia" w:ascii="仿宋_GB2312" w:hAnsi="宋体" w:eastAsia="仿宋_GB2312"/>
          <w:color w:val="auto"/>
          <w:sz w:val="24"/>
          <w:lang w:eastAsia="zh-CN"/>
        </w:rPr>
        <w:t>一般</w:t>
      </w:r>
      <w:r>
        <w:rPr>
          <w:rFonts w:hint="eastAsia" w:ascii="仿宋_GB2312" w:hAnsi="宋体" w:eastAsia="仿宋_GB2312"/>
          <w:color w:val="auto"/>
          <w:sz w:val="24"/>
        </w:rPr>
        <w:t>公共</w:t>
      </w:r>
      <w:r>
        <w:rPr>
          <w:rFonts w:hint="eastAsia" w:ascii="仿宋_GB2312" w:hAnsi="宋体" w:eastAsia="仿宋_GB2312"/>
          <w:color w:val="auto"/>
          <w:sz w:val="24"/>
          <w:lang w:eastAsia="zh-CN"/>
        </w:rPr>
        <w:t>预算</w:t>
      </w:r>
      <w:r>
        <w:rPr>
          <w:rFonts w:hint="eastAsia" w:ascii="仿宋_GB2312" w:hAnsi="宋体" w:eastAsia="仿宋_GB2312"/>
          <w:color w:val="auto"/>
          <w:sz w:val="24"/>
        </w:rPr>
        <w:t>收入78029万元</w:t>
      </w:r>
      <w:r>
        <w:rPr>
          <w:rFonts w:hint="eastAsia" w:ascii="仿宋_GB2312" w:hAnsi="宋体" w:eastAsia="仿宋_GB2312"/>
          <w:color w:val="auto"/>
          <w:sz w:val="24"/>
          <w:lang w:eastAsia="zh-CN"/>
        </w:rPr>
        <w:t>，增长</w:t>
      </w:r>
      <w:r>
        <w:rPr>
          <w:rFonts w:hint="eastAsia" w:ascii="仿宋_GB2312" w:hAnsi="宋体" w:eastAsia="仿宋_GB2312"/>
          <w:color w:val="auto"/>
          <w:sz w:val="24"/>
          <w:lang w:val="en-US" w:eastAsia="zh-CN"/>
        </w:rPr>
        <w:t>8.6</w:t>
      </w:r>
      <w:r>
        <w:rPr>
          <w:rFonts w:hint="eastAsia" w:ascii="仿宋_GB2312" w:hAnsi="宋体" w:eastAsia="仿宋_GB2312"/>
          <w:color w:val="auto"/>
          <w:sz w:val="24"/>
        </w:rPr>
        <w:t>%，</w:t>
      </w:r>
      <w:r>
        <w:rPr>
          <w:rFonts w:hint="eastAsia" w:ascii="仿宋_GB2312" w:hAnsi="宋体" w:eastAsia="仿宋_GB2312"/>
          <w:color w:val="auto"/>
          <w:sz w:val="24"/>
          <w:lang w:eastAsia="zh-CN"/>
        </w:rPr>
        <w:t>占</w:t>
      </w:r>
      <w:r>
        <w:rPr>
          <w:rFonts w:hint="eastAsia" w:ascii="仿宋_GB2312" w:hAnsi="宋体" w:eastAsia="仿宋_GB2312"/>
          <w:color w:val="auto"/>
          <w:sz w:val="24"/>
          <w:lang w:val="en-US" w:eastAsia="zh-CN"/>
        </w:rPr>
        <w:t>GDP的比重为8.56%，</w:t>
      </w:r>
      <w:r>
        <w:rPr>
          <w:rFonts w:hint="eastAsia" w:ascii="仿宋_GB2312" w:hAnsi="宋体" w:eastAsia="仿宋_GB2312"/>
          <w:color w:val="auto"/>
          <w:sz w:val="24"/>
        </w:rPr>
        <w:t>在地方一般公共预算收入中税收收入</w:t>
      </w:r>
      <w:r>
        <w:rPr>
          <w:rFonts w:hint="eastAsia" w:ascii="仿宋_GB2312" w:hAnsi="宋体" w:eastAsia="仿宋_GB2312"/>
          <w:color w:val="auto"/>
          <w:sz w:val="24"/>
          <w:lang w:val="en-US" w:eastAsia="zh-CN"/>
        </w:rPr>
        <w:t>31063</w:t>
      </w:r>
      <w:r>
        <w:rPr>
          <w:rFonts w:hint="eastAsia" w:ascii="仿宋_GB2312" w:hAnsi="宋体" w:eastAsia="仿宋_GB2312"/>
          <w:color w:val="auto"/>
          <w:sz w:val="24"/>
        </w:rPr>
        <w:t>万元，</w:t>
      </w:r>
      <w:r>
        <w:rPr>
          <w:rFonts w:hint="eastAsia" w:ascii="仿宋_GB2312" w:hAnsi="宋体" w:eastAsia="仿宋_GB2312"/>
          <w:color w:val="auto"/>
          <w:sz w:val="24"/>
          <w:lang w:eastAsia="zh-CN"/>
        </w:rPr>
        <w:t>增长</w:t>
      </w:r>
      <w:r>
        <w:rPr>
          <w:rFonts w:hint="eastAsia" w:ascii="仿宋_GB2312" w:hAnsi="宋体" w:eastAsia="仿宋_GB2312"/>
          <w:color w:val="auto"/>
          <w:sz w:val="24"/>
          <w:lang w:val="en-US" w:eastAsia="zh-CN"/>
        </w:rPr>
        <w:t>10.1</w:t>
      </w:r>
      <w:r>
        <w:rPr>
          <w:rFonts w:hint="eastAsia" w:ascii="仿宋_GB2312" w:hAnsi="宋体" w:eastAsia="仿宋_GB2312"/>
          <w:color w:val="auto"/>
          <w:sz w:val="24"/>
        </w:rPr>
        <w:t>%</w:t>
      </w:r>
      <w:r>
        <w:rPr>
          <w:rFonts w:hint="eastAsia" w:ascii="仿宋_GB2312" w:hAnsi="宋体" w:eastAsia="仿宋_GB2312"/>
          <w:color w:val="auto"/>
          <w:sz w:val="24"/>
          <w:lang w:eastAsia="zh-CN"/>
        </w:rPr>
        <w:t>。地方</w:t>
      </w:r>
      <w:r>
        <w:rPr>
          <w:rFonts w:hint="eastAsia" w:ascii="仿宋_GB2312" w:hAnsi="宋体" w:eastAsia="仿宋_GB2312"/>
          <w:color w:val="auto"/>
          <w:sz w:val="24"/>
        </w:rPr>
        <w:t>一般</w:t>
      </w:r>
      <w:r>
        <w:rPr>
          <w:rFonts w:hint="eastAsia" w:ascii="仿宋_GB2312" w:hAnsi="宋体" w:eastAsia="仿宋_GB2312"/>
          <w:color w:val="auto"/>
          <w:sz w:val="24"/>
          <w:lang w:eastAsia="zh-CN"/>
        </w:rPr>
        <w:t>公共</w:t>
      </w:r>
      <w:r>
        <w:rPr>
          <w:rFonts w:hint="eastAsia" w:ascii="仿宋_GB2312" w:hAnsi="宋体" w:eastAsia="仿宋_GB2312"/>
          <w:color w:val="auto"/>
          <w:sz w:val="24"/>
        </w:rPr>
        <w:t>预算</w:t>
      </w:r>
      <w:r>
        <w:rPr>
          <w:rFonts w:hint="eastAsia" w:ascii="仿宋_GB2312" w:hAnsi="宋体" w:eastAsia="仿宋_GB2312"/>
          <w:color w:val="auto"/>
          <w:sz w:val="24"/>
          <w:lang w:eastAsia="zh-CN"/>
        </w:rPr>
        <w:t>支出229271万元，下降</w:t>
      </w:r>
      <w:r>
        <w:rPr>
          <w:rFonts w:hint="eastAsia" w:ascii="仿宋_GB2312" w:hAnsi="宋体" w:eastAsia="仿宋_GB2312"/>
          <w:color w:val="auto"/>
          <w:sz w:val="24"/>
          <w:lang w:val="en-US" w:eastAsia="zh-CN"/>
        </w:rPr>
        <w:t>1.3%。</w:t>
      </w:r>
      <w:r>
        <w:rPr>
          <w:rFonts w:hint="eastAsia" w:ascii="仿宋_GB2312" w:hAnsi="宋体" w:eastAsia="仿宋_GB2312"/>
          <w:color w:val="auto"/>
          <w:sz w:val="24"/>
          <w:highlight w:val="none"/>
          <w:lang w:val="en-US" w:eastAsia="zh-CN"/>
        </w:rPr>
        <w:t>“十四五”期间，地方一般公共预算收入</w:t>
      </w:r>
      <w:r>
        <w:rPr>
          <w:rFonts w:hint="eastAsia" w:ascii="仿宋_GB2312" w:hAnsi="宋体" w:eastAsia="仿宋_GB2312"/>
          <w:color w:val="auto"/>
          <w:sz w:val="24"/>
          <w:highlight w:val="none"/>
        </w:rPr>
        <w:t>年均增长</w:t>
      </w:r>
      <w:r>
        <w:rPr>
          <w:rFonts w:hint="eastAsia" w:ascii="仿宋_GB2312" w:hAnsi="宋体" w:eastAsia="仿宋_GB2312"/>
          <w:color w:val="auto"/>
          <w:sz w:val="24"/>
          <w:highlight w:val="none"/>
          <w:lang w:val="en-US" w:eastAsia="zh-CN"/>
        </w:rPr>
        <w:t>14.6</w:t>
      </w:r>
      <w:r>
        <w:rPr>
          <w:rFonts w:hint="eastAsia" w:ascii="仿宋_GB2312" w:hAnsi="宋体" w:eastAsia="仿宋_GB2312"/>
          <w:color w:val="auto"/>
          <w:sz w:val="24"/>
          <w:highlight w:val="none"/>
        </w:rPr>
        <w:t>%。</w:t>
      </w:r>
    </w:p>
    <w:p w14:paraId="49B07C87">
      <w:pPr>
        <w:spacing w:line="460" w:lineRule="exact"/>
        <w:jc w:val="center"/>
        <w:rPr>
          <w:rFonts w:ascii="黑体" w:hAnsi="宋体" w:eastAsia="黑体" w:cs="宋体"/>
          <w:color w:val="auto"/>
          <w:w w:val="95"/>
          <w:kern w:val="0"/>
          <w:sz w:val="24"/>
        </w:rPr>
      </w:pPr>
      <w:r>
        <w:rPr>
          <w:rFonts w:hint="eastAsia" w:ascii="黑体" w:hAnsi="宋体" w:eastAsia="黑体" w:cs="宋体"/>
          <w:color w:val="auto"/>
          <w:kern w:val="0"/>
          <w:sz w:val="24"/>
        </w:rPr>
        <w:t>图</w:t>
      </w:r>
      <w:r>
        <w:rPr>
          <w:rFonts w:hint="eastAsia" w:ascii="黑体" w:hAnsi="宋体" w:eastAsia="黑体" w:cs="宋体"/>
          <w:color w:val="auto"/>
          <w:kern w:val="0"/>
          <w:sz w:val="24"/>
          <w:lang w:val="en-US" w:eastAsia="zh-CN"/>
        </w:rPr>
        <w:t>8</w:t>
      </w:r>
      <w:r>
        <w:rPr>
          <w:rFonts w:hint="eastAsia" w:ascii="黑体" w:hAnsi="宋体" w:eastAsia="黑体" w:cs="宋体"/>
          <w:color w:val="auto"/>
          <w:kern w:val="0"/>
          <w:sz w:val="24"/>
        </w:rPr>
        <w:t xml:space="preserve">  </w:t>
      </w:r>
      <w:r>
        <w:rPr>
          <w:rFonts w:hint="eastAsia" w:ascii="黑体" w:hAnsi="宋体" w:eastAsia="黑体" w:cs="宋体"/>
          <w:color w:val="auto"/>
          <w:w w:val="95"/>
          <w:kern w:val="0"/>
          <w:sz w:val="24"/>
        </w:rPr>
        <w:t>20</w:t>
      </w:r>
      <w:r>
        <w:rPr>
          <w:rFonts w:hint="eastAsia" w:ascii="黑体" w:hAnsi="宋体" w:eastAsia="黑体" w:cs="宋体"/>
          <w:color w:val="auto"/>
          <w:w w:val="95"/>
          <w:kern w:val="0"/>
          <w:sz w:val="24"/>
          <w:lang w:val="en-US" w:eastAsia="zh-CN"/>
        </w:rPr>
        <w:t>21—</w:t>
      </w:r>
      <w:r>
        <w:rPr>
          <w:rFonts w:hint="eastAsia" w:ascii="黑体" w:hAnsi="宋体" w:eastAsia="黑体" w:cs="宋体"/>
          <w:color w:val="auto"/>
          <w:w w:val="95"/>
          <w:kern w:val="0"/>
          <w:sz w:val="24"/>
        </w:rPr>
        <w:t>202</w:t>
      </w:r>
      <w:r>
        <w:rPr>
          <w:rFonts w:hint="eastAsia" w:ascii="黑体" w:hAnsi="宋体" w:eastAsia="黑体" w:cs="宋体"/>
          <w:color w:val="auto"/>
          <w:w w:val="95"/>
          <w:kern w:val="0"/>
          <w:sz w:val="24"/>
          <w:lang w:val="en-US" w:eastAsia="zh-CN"/>
        </w:rPr>
        <w:t>5</w:t>
      </w:r>
      <w:r>
        <w:rPr>
          <w:rFonts w:hint="eastAsia" w:ascii="黑体" w:hAnsi="宋体" w:eastAsia="黑体" w:cs="宋体"/>
          <w:color w:val="auto"/>
          <w:w w:val="95"/>
          <w:kern w:val="0"/>
          <w:sz w:val="24"/>
        </w:rPr>
        <w:t>年地方财政一般预算收入及增长速度</w:t>
      </w:r>
    </w:p>
    <w:p w14:paraId="39CE3EA8">
      <w:pPr>
        <w:spacing w:line="480" w:lineRule="atLeast"/>
        <w:jc w:val="center"/>
        <w:rPr>
          <w:color w:val="auto"/>
          <w:sz w:val="24"/>
        </w:rPr>
      </w:pPr>
      <w:r>
        <w:rPr>
          <w:color w:val="auto"/>
          <w:sz w:val="24"/>
        </w:rPr>
        <w:drawing>
          <wp:anchor distT="0" distB="0" distL="0" distR="0" simplePos="0" relativeHeight="251664384" behindDoc="0" locked="0" layoutInCell="1" allowOverlap="1">
            <wp:simplePos x="0" y="0"/>
            <wp:positionH relativeFrom="column">
              <wp:posOffset>96520</wp:posOffset>
            </wp:positionH>
            <wp:positionV relativeFrom="paragraph">
              <wp:posOffset>97155</wp:posOffset>
            </wp:positionV>
            <wp:extent cx="3406775" cy="2332355"/>
            <wp:effectExtent l="0" t="0" r="60325" b="48895"/>
            <wp:wrapSquare wrapText="bothSides"/>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AE77D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32F20C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70E898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50C127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4C57A3B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374EE6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4DEE2AA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56E705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highlight w:val="none"/>
        </w:rPr>
      </w:pPr>
    </w:p>
    <w:p w14:paraId="0FFE4C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color w:val="auto"/>
          <w:sz w:val="24"/>
          <w:highlight w:val="none"/>
        </w:rPr>
      </w:pPr>
      <w:r>
        <w:rPr>
          <w:rFonts w:hint="eastAsia" w:ascii="仿宋_GB2312" w:hAnsi="宋体" w:eastAsia="仿宋_GB2312"/>
          <w:color w:val="auto"/>
          <w:sz w:val="24"/>
          <w:highlight w:val="none"/>
        </w:rPr>
        <w:t>年末全县金融机构</w:t>
      </w:r>
      <w:r>
        <w:rPr>
          <w:rFonts w:hint="eastAsia" w:ascii="仿宋_GB2312" w:hAnsi="宋体" w:eastAsia="仿宋_GB2312"/>
          <w:color w:val="auto"/>
          <w:sz w:val="24"/>
          <w:highlight w:val="none"/>
          <w:lang w:eastAsia="zh-CN"/>
        </w:rPr>
        <w:t>本外币</w:t>
      </w:r>
      <w:r>
        <w:rPr>
          <w:rFonts w:hint="eastAsia" w:ascii="仿宋_GB2312" w:hAnsi="宋体" w:eastAsia="仿宋_GB2312"/>
          <w:color w:val="auto"/>
          <w:sz w:val="24"/>
          <w:highlight w:val="none"/>
        </w:rPr>
        <w:t>各项存款余额1168660万元，</w:t>
      </w:r>
      <w:r>
        <w:rPr>
          <w:rFonts w:hint="eastAsia" w:ascii="仿宋_GB2312" w:hAnsi="宋体" w:eastAsia="仿宋_GB2312"/>
          <w:color w:val="auto"/>
          <w:sz w:val="24"/>
          <w:highlight w:val="none"/>
          <w:lang w:eastAsia="zh-CN"/>
        </w:rPr>
        <w:t>比年初增加67337</w:t>
      </w:r>
      <w:r>
        <w:rPr>
          <w:rFonts w:hint="eastAsia" w:ascii="仿宋_GB2312" w:hAnsi="宋体" w:eastAsia="仿宋_GB2312"/>
          <w:color w:val="auto"/>
          <w:sz w:val="24"/>
          <w:highlight w:val="none"/>
          <w:lang w:val="en-US" w:eastAsia="zh-CN"/>
        </w:rPr>
        <w:t>万元，</w:t>
      </w:r>
      <w:r>
        <w:rPr>
          <w:rFonts w:hint="eastAsia" w:ascii="仿宋_GB2312" w:hAnsi="宋体" w:eastAsia="仿宋_GB2312"/>
          <w:color w:val="auto"/>
          <w:sz w:val="24"/>
          <w:highlight w:val="none"/>
        </w:rPr>
        <w:t>增长</w:t>
      </w:r>
      <w:r>
        <w:rPr>
          <w:rFonts w:hint="eastAsia" w:ascii="仿宋_GB2312" w:hAnsi="宋体" w:eastAsia="仿宋_GB2312"/>
          <w:color w:val="auto"/>
          <w:sz w:val="24"/>
          <w:highlight w:val="none"/>
          <w:lang w:val="en-US" w:eastAsia="zh-CN"/>
        </w:rPr>
        <w:t>6.1</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住户存款</w:t>
      </w:r>
      <w:r>
        <w:rPr>
          <w:rFonts w:hint="eastAsia" w:ascii="仿宋_GB2312" w:hAnsi="宋体" w:eastAsia="仿宋_GB2312"/>
          <w:color w:val="auto"/>
          <w:sz w:val="24"/>
          <w:highlight w:val="none"/>
          <w:lang w:eastAsia="zh-CN"/>
        </w:rPr>
        <w:t>余额916520</w:t>
      </w:r>
      <w:r>
        <w:rPr>
          <w:rFonts w:hint="eastAsia" w:ascii="仿宋_GB2312" w:hAnsi="宋体" w:eastAsia="仿宋_GB2312"/>
          <w:color w:val="auto"/>
          <w:sz w:val="24"/>
          <w:highlight w:val="none"/>
        </w:rPr>
        <w:t>万元，</w:t>
      </w:r>
      <w:r>
        <w:rPr>
          <w:rFonts w:hint="eastAsia" w:ascii="仿宋_GB2312" w:hAnsi="宋体" w:eastAsia="仿宋_GB2312"/>
          <w:color w:val="auto"/>
          <w:sz w:val="24"/>
          <w:highlight w:val="none"/>
          <w:lang w:eastAsia="zh-CN"/>
        </w:rPr>
        <w:t>比年初增加76271</w:t>
      </w:r>
      <w:r>
        <w:rPr>
          <w:rFonts w:hint="eastAsia" w:ascii="仿宋_GB2312" w:hAnsi="宋体" w:eastAsia="仿宋_GB2312"/>
          <w:color w:val="auto"/>
          <w:sz w:val="24"/>
          <w:highlight w:val="none"/>
          <w:lang w:val="en-US" w:eastAsia="zh-CN"/>
        </w:rPr>
        <w:t>万元，</w:t>
      </w:r>
      <w:r>
        <w:rPr>
          <w:rFonts w:hint="eastAsia" w:ascii="仿宋_GB2312" w:hAnsi="宋体" w:eastAsia="仿宋_GB2312"/>
          <w:color w:val="auto"/>
          <w:sz w:val="24"/>
          <w:highlight w:val="none"/>
        </w:rPr>
        <w:t>增长</w:t>
      </w:r>
      <w:r>
        <w:rPr>
          <w:rFonts w:hint="eastAsia" w:ascii="仿宋_GB2312" w:hAnsi="宋体" w:eastAsia="仿宋_GB2312"/>
          <w:color w:val="auto"/>
          <w:sz w:val="24"/>
          <w:highlight w:val="none"/>
          <w:lang w:val="en-US" w:eastAsia="zh-CN"/>
        </w:rPr>
        <w:t>9.1</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各项贷款余额为120194</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万元，</w:t>
      </w:r>
      <w:r>
        <w:rPr>
          <w:rFonts w:hint="eastAsia" w:ascii="仿宋_GB2312" w:hAnsi="宋体" w:eastAsia="仿宋_GB2312"/>
          <w:color w:val="auto"/>
          <w:sz w:val="24"/>
          <w:highlight w:val="none"/>
          <w:lang w:eastAsia="zh-CN"/>
        </w:rPr>
        <w:t>比年初下降136577</w:t>
      </w:r>
      <w:r>
        <w:rPr>
          <w:rFonts w:hint="eastAsia" w:ascii="仿宋_GB2312" w:hAnsi="宋体" w:eastAsia="仿宋_GB2312"/>
          <w:color w:val="auto"/>
          <w:sz w:val="24"/>
          <w:highlight w:val="none"/>
          <w:lang w:val="en-US" w:eastAsia="zh-CN"/>
        </w:rPr>
        <w:t>万元，</w:t>
      </w:r>
      <w:r>
        <w:rPr>
          <w:rFonts w:hint="eastAsia" w:ascii="仿宋_GB2312" w:hAnsi="宋体" w:eastAsia="仿宋_GB2312"/>
          <w:color w:val="auto"/>
          <w:sz w:val="24"/>
          <w:highlight w:val="none"/>
          <w:lang w:eastAsia="zh-CN"/>
        </w:rPr>
        <w:t>增长</w:t>
      </w:r>
      <w:r>
        <w:rPr>
          <w:rFonts w:hint="eastAsia" w:ascii="仿宋_GB2312" w:hAnsi="宋体" w:eastAsia="仿宋_GB2312"/>
          <w:color w:val="auto"/>
          <w:sz w:val="24"/>
          <w:highlight w:val="none"/>
          <w:lang w:val="en-US" w:eastAsia="zh-CN"/>
        </w:rPr>
        <w:t>12.8</w:t>
      </w:r>
      <w:r>
        <w:rPr>
          <w:rFonts w:hint="eastAsia" w:ascii="仿宋_GB2312" w:hAnsi="宋体" w:eastAsia="仿宋_GB2312"/>
          <w:color w:val="auto"/>
          <w:sz w:val="24"/>
          <w:highlight w:val="none"/>
        </w:rPr>
        <w:t xml:space="preserve">%。 </w:t>
      </w:r>
    </w:p>
    <w:p w14:paraId="3E7BAC6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color w:val="auto"/>
          <w:sz w:val="24"/>
        </w:rPr>
      </w:pPr>
      <w:r>
        <w:rPr>
          <w:rFonts w:hint="eastAsia" w:ascii="仿宋_GB2312" w:hAnsi="宋体" w:eastAsia="仿宋_GB2312"/>
          <w:color w:val="auto"/>
          <w:sz w:val="24"/>
        </w:rPr>
        <w:t>全年实现保费收入</w:t>
      </w:r>
      <w:r>
        <w:rPr>
          <w:rFonts w:hint="eastAsia" w:ascii="仿宋_GB2312" w:hAnsi="宋体" w:eastAsia="仿宋_GB2312"/>
          <w:color w:val="auto"/>
          <w:sz w:val="24"/>
          <w:lang w:val="en-US" w:eastAsia="zh-CN"/>
        </w:rPr>
        <w:t>12269</w:t>
      </w:r>
      <w:r>
        <w:rPr>
          <w:rFonts w:hint="eastAsia" w:ascii="仿宋_GB2312" w:hAnsi="宋体" w:eastAsia="仿宋_GB2312"/>
          <w:color w:val="auto"/>
          <w:sz w:val="24"/>
        </w:rPr>
        <w:t>万元，比上年增长</w:t>
      </w:r>
      <w:r>
        <w:rPr>
          <w:rFonts w:hint="eastAsia" w:ascii="仿宋_GB2312" w:hAnsi="宋体" w:eastAsia="仿宋_GB2312"/>
          <w:color w:val="auto"/>
          <w:sz w:val="24"/>
          <w:lang w:val="en-US" w:eastAsia="zh-CN"/>
        </w:rPr>
        <w:t>4.1</w:t>
      </w:r>
      <w:r>
        <w:rPr>
          <w:rFonts w:hint="eastAsia" w:ascii="仿宋_GB2312" w:hAnsi="宋体" w:eastAsia="仿宋_GB2312"/>
          <w:color w:val="auto"/>
          <w:sz w:val="24"/>
        </w:rPr>
        <w:t>%，其中，财产保险保费收入</w:t>
      </w:r>
      <w:r>
        <w:rPr>
          <w:rFonts w:hint="eastAsia" w:ascii="仿宋_GB2312" w:hAnsi="宋体" w:eastAsia="仿宋_GB2312"/>
          <w:color w:val="auto"/>
          <w:sz w:val="24"/>
          <w:lang w:val="en-US" w:eastAsia="zh-CN"/>
        </w:rPr>
        <w:t>5477</w:t>
      </w:r>
      <w:r>
        <w:rPr>
          <w:rFonts w:hint="eastAsia" w:ascii="仿宋_GB2312" w:hAnsi="宋体" w:eastAsia="仿宋_GB2312"/>
          <w:color w:val="auto"/>
          <w:sz w:val="24"/>
        </w:rPr>
        <w:t>万元，增长</w:t>
      </w:r>
      <w:r>
        <w:rPr>
          <w:rFonts w:hint="eastAsia" w:ascii="仿宋_GB2312" w:hAnsi="宋体" w:eastAsia="仿宋_GB2312"/>
          <w:color w:val="auto"/>
          <w:sz w:val="24"/>
          <w:lang w:val="en-US" w:eastAsia="zh-CN"/>
        </w:rPr>
        <w:t>1.5</w:t>
      </w:r>
      <w:r>
        <w:rPr>
          <w:rFonts w:hint="eastAsia" w:ascii="仿宋_GB2312" w:hAnsi="宋体" w:eastAsia="仿宋_GB2312"/>
          <w:color w:val="auto"/>
          <w:sz w:val="24"/>
        </w:rPr>
        <w:t>%；人寿保险保费收入</w:t>
      </w:r>
      <w:r>
        <w:rPr>
          <w:rFonts w:hint="eastAsia" w:ascii="仿宋_GB2312" w:hAnsi="宋体" w:eastAsia="仿宋_GB2312"/>
          <w:color w:val="auto"/>
          <w:sz w:val="24"/>
          <w:lang w:val="en-US" w:eastAsia="zh-CN"/>
        </w:rPr>
        <w:t>6792</w:t>
      </w:r>
      <w:r>
        <w:rPr>
          <w:rFonts w:hint="eastAsia" w:ascii="仿宋_GB2312" w:hAnsi="宋体" w:eastAsia="仿宋_GB2312"/>
          <w:color w:val="auto"/>
          <w:sz w:val="24"/>
        </w:rPr>
        <w:t>万元，增长</w:t>
      </w:r>
      <w:r>
        <w:rPr>
          <w:rFonts w:hint="eastAsia" w:ascii="仿宋_GB2312" w:hAnsi="宋体" w:eastAsia="仿宋_GB2312"/>
          <w:color w:val="auto"/>
          <w:sz w:val="24"/>
          <w:lang w:val="en-US" w:eastAsia="zh-CN"/>
        </w:rPr>
        <w:t>6.4</w:t>
      </w:r>
      <w:r>
        <w:rPr>
          <w:rFonts w:hint="eastAsia" w:ascii="仿宋_GB2312" w:hAnsi="宋体" w:eastAsia="仿宋_GB2312"/>
          <w:color w:val="auto"/>
          <w:sz w:val="24"/>
        </w:rPr>
        <w:t>%。全年支付各类赔款及给付</w:t>
      </w:r>
      <w:r>
        <w:rPr>
          <w:rFonts w:hint="eastAsia" w:ascii="仿宋_GB2312" w:hAnsi="宋体" w:eastAsia="仿宋_GB2312"/>
          <w:color w:val="auto"/>
          <w:sz w:val="24"/>
          <w:lang w:val="en-US" w:eastAsia="zh-CN"/>
        </w:rPr>
        <w:t>4922</w:t>
      </w:r>
      <w:r>
        <w:rPr>
          <w:rFonts w:hint="eastAsia" w:ascii="仿宋_GB2312" w:hAnsi="宋体" w:eastAsia="仿宋_GB2312"/>
          <w:color w:val="auto"/>
          <w:sz w:val="24"/>
        </w:rPr>
        <w:t>万元，增长</w:t>
      </w:r>
      <w:r>
        <w:rPr>
          <w:rFonts w:hint="eastAsia" w:ascii="仿宋_GB2312" w:hAnsi="宋体" w:eastAsia="仿宋_GB2312"/>
          <w:color w:val="auto"/>
          <w:sz w:val="24"/>
          <w:lang w:val="en-US" w:eastAsia="zh-CN"/>
        </w:rPr>
        <w:t>27.3</w:t>
      </w:r>
      <w:r>
        <w:rPr>
          <w:rFonts w:hint="eastAsia" w:ascii="仿宋_GB2312" w:hAnsi="宋体" w:eastAsia="仿宋_GB2312"/>
          <w:color w:val="auto"/>
          <w:sz w:val="24"/>
        </w:rPr>
        <w:t>%。</w:t>
      </w:r>
    </w:p>
    <w:p w14:paraId="1BBDEE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宋体" w:eastAsia="黑体"/>
          <w:color w:val="auto"/>
          <w:sz w:val="24"/>
        </w:rPr>
      </w:pPr>
    </w:p>
    <w:p w14:paraId="4B7FF73F">
      <w:pPr>
        <w:spacing w:line="460" w:lineRule="exact"/>
        <w:jc w:val="center"/>
        <w:rPr>
          <w:rFonts w:ascii="黑体" w:hAnsi="宋体" w:eastAsia="黑体"/>
          <w:color w:val="auto"/>
          <w:sz w:val="24"/>
        </w:rPr>
      </w:pPr>
      <w:r>
        <w:rPr>
          <w:rFonts w:hint="eastAsia" w:ascii="黑体" w:hAnsi="宋体" w:eastAsia="黑体"/>
          <w:color w:val="auto"/>
          <w:sz w:val="24"/>
        </w:rPr>
        <w:t>八、教育、科技、文化和卫生</w:t>
      </w:r>
    </w:p>
    <w:p w14:paraId="13E7B1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宋体" w:eastAsia="黑体"/>
          <w:color w:val="auto"/>
          <w:sz w:val="24"/>
        </w:rPr>
      </w:pPr>
    </w:p>
    <w:p w14:paraId="11935390">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仿宋_GB2312" w:hAnsi="宋体" w:eastAsia="仿宋_GB2312"/>
          <w:color w:val="auto"/>
          <w:sz w:val="24"/>
        </w:rPr>
      </w:pPr>
      <w:r>
        <w:rPr>
          <w:rFonts w:hint="eastAsia" w:ascii="仿宋_GB2312" w:hAnsi="宋体" w:eastAsia="仿宋_GB2312"/>
          <w:color w:val="auto"/>
          <w:sz w:val="24"/>
        </w:rPr>
        <w:t>年末全县共有普通小学17所，招收新生</w:t>
      </w:r>
      <w:r>
        <w:rPr>
          <w:rFonts w:hint="eastAsia" w:ascii="仿宋_GB2312" w:hAnsi="宋体" w:eastAsia="仿宋_GB2312"/>
          <w:color w:val="auto"/>
          <w:sz w:val="24"/>
          <w:lang w:val="en-US" w:eastAsia="zh-CN"/>
        </w:rPr>
        <w:t>1440</w:t>
      </w:r>
      <w:r>
        <w:rPr>
          <w:rFonts w:hint="eastAsia" w:ascii="仿宋_GB2312" w:hAnsi="宋体" w:eastAsia="仿宋_GB2312"/>
          <w:color w:val="auto"/>
          <w:sz w:val="24"/>
        </w:rPr>
        <w:t>人，在校学生</w:t>
      </w:r>
      <w:r>
        <w:rPr>
          <w:rFonts w:hint="eastAsia" w:ascii="仿宋_GB2312" w:hAnsi="宋体" w:eastAsia="仿宋_GB2312"/>
          <w:color w:val="auto"/>
          <w:sz w:val="24"/>
          <w:lang w:val="en-US" w:eastAsia="zh-CN"/>
        </w:rPr>
        <w:t>10280</w:t>
      </w:r>
      <w:r>
        <w:rPr>
          <w:rFonts w:hint="eastAsia" w:ascii="仿宋_GB2312" w:hAnsi="宋体" w:eastAsia="仿宋_GB2312"/>
          <w:color w:val="auto"/>
          <w:sz w:val="24"/>
        </w:rPr>
        <w:t>人，毕业生</w:t>
      </w:r>
      <w:r>
        <w:rPr>
          <w:rFonts w:hint="eastAsia" w:ascii="仿宋_GB2312" w:hAnsi="宋体" w:eastAsia="仿宋_GB2312"/>
          <w:color w:val="auto"/>
          <w:sz w:val="24"/>
          <w:lang w:val="en-US" w:eastAsia="zh-CN"/>
        </w:rPr>
        <w:t>2001</w:t>
      </w:r>
      <w:r>
        <w:rPr>
          <w:rFonts w:hint="eastAsia" w:ascii="仿宋_GB2312" w:hAnsi="宋体" w:eastAsia="仿宋_GB2312"/>
          <w:color w:val="auto"/>
          <w:sz w:val="24"/>
        </w:rPr>
        <w:t>人，小学专任教师</w:t>
      </w:r>
      <w:r>
        <w:rPr>
          <w:rFonts w:hint="eastAsia" w:ascii="仿宋_GB2312" w:hAnsi="宋体" w:eastAsia="仿宋_GB2312"/>
          <w:color w:val="auto"/>
          <w:sz w:val="24"/>
          <w:lang w:val="en-US" w:eastAsia="zh-CN"/>
        </w:rPr>
        <w:t>622</w:t>
      </w:r>
      <w:r>
        <w:rPr>
          <w:rFonts w:hint="eastAsia" w:ascii="仿宋_GB2312" w:hAnsi="宋体" w:eastAsia="仿宋_GB2312"/>
          <w:color w:val="auto"/>
          <w:sz w:val="24"/>
        </w:rPr>
        <w:t>人；初中学校</w:t>
      </w:r>
      <w:r>
        <w:rPr>
          <w:rFonts w:hint="eastAsia" w:ascii="仿宋_GB2312" w:hAnsi="宋体" w:eastAsia="仿宋_GB2312"/>
          <w:color w:val="auto"/>
          <w:sz w:val="24"/>
          <w:lang w:val="en-US" w:eastAsia="zh-CN"/>
        </w:rPr>
        <w:t>8所，</w:t>
      </w:r>
      <w:r>
        <w:rPr>
          <w:rFonts w:hint="eastAsia" w:ascii="仿宋_GB2312" w:hAnsi="宋体" w:eastAsia="仿宋_GB2312"/>
          <w:color w:val="auto"/>
          <w:sz w:val="24"/>
        </w:rPr>
        <w:t>初中招收新生1691人，在校学生</w:t>
      </w:r>
      <w:r>
        <w:rPr>
          <w:rFonts w:hint="eastAsia" w:ascii="仿宋_GB2312" w:hAnsi="宋体" w:eastAsia="仿宋_GB2312"/>
          <w:color w:val="auto"/>
          <w:sz w:val="24"/>
          <w:lang w:val="en-US" w:eastAsia="zh-CN"/>
        </w:rPr>
        <w:t>4924</w:t>
      </w:r>
      <w:r>
        <w:rPr>
          <w:rFonts w:hint="eastAsia" w:ascii="仿宋_GB2312" w:hAnsi="宋体" w:eastAsia="仿宋_GB2312"/>
          <w:color w:val="auto"/>
          <w:sz w:val="24"/>
        </w:rPr>
        <w:t>人，毕业生</w:t>
      </w:r>
      <w:r>
        <w:rPr>
          <w:rFonts w:hint="eastAsia" w:ascii="仿宋_GB2312" w:hAnsi="宋体" w:eastAsia="仿宋_GB2312"/>
          <w:color w:val="auto"/>
          <w:sz w:val="24"/>
          <w:lang w:val="en-US" w:eastAsia="zh-CN"/>
        </w:rPr>
        <w:t>1562</w:t>
      </w:r>
      <w:r>
        <w:rPr>
          <w:rFonts w:hint="eastAsia" w:ascii="仿宋_GB2312" w:hAnsi="宋体" w:eastAsia="仿宋_GB2312"/>
          <w:color w:val="auto"/>
          <w:sz w:val="24"/>
        </w:rPr>
        <w:t>人，</w:t>
      </w:r>
      <w:r>
        <w:rPr>
          <w:rFonts w:hint="eastAsia" w:ascii="仿宋_GB2312" w:hAnsi="宋体" w:eastAsia="仿宋_GB2312"/>
          <w:color w:val="auto"/>
          <w:sz w:val="24"/>
          <w:lang w:val="en-US" w:eastAsia="zh-CN"/>
        </w:rPr>
        <w:t>初中专任教师382人；高中学校1所，</w:t>
      </w:r>
      <w:r>
        <w:rPr>
          <w:rFonts w:hint="eastAsia" w:ascii="仿宋_GB2312" w:hAnsi="宋体" w:eastAsia="仿宋_GB2312"/>
          <w:color w:val="auto"/>
          <w:sz w:val="24"/>
        </w:rPr>
        <w:t>高中招收新生329人，在校学生</w:t>
      </w:r>
      <w:r>
        <w:rPr>
          <w:rFonts w:hint="eastAsia" w:ascii="仿宋_GB2312" w:hAnsi="宋体" w:eastAsia="仿宋_GB2312"/>
          <w:color w:val="auto"/>
          <w:sz w:val="24"/>
          <w:lang w:val="en-US" w:eastAsia="zh-CN"/>
        </w:rPr>
        <w:t>1014</w:t>
      </w:r>
      <w:r>
        <w:rPr>
          <w:rFonts w:hint="eastAsia" w:ascii="仿宋_GB2312" w:hAnsi="宋体" w:eastAsia="仿宋_GB2312"/>
          <w:color w:val="auto"/>
          <w:sz w:val="24"/>
        </w:rPr>
        <w:t>人，毕业生345人，</w:t>
      </w:r>
      <w:r>
        <w:rPr>
          <w:rFonts w:hint="eastAsia" w:ascii="仿宋_GB2312" w:hAnsi="宋体" w:eastAsia="仿宋_GB2312"/>
          <w:color w:val="auto"/>
          <w:sz w:val="24"/>
          <w:lang w:val="en-US" w:eastAsia="zh-CN"/>
        </w:rPr>
        <w:t>高中</w:t>
      </w:r>
      <w:r>
        <w:rPr>
          <w:rFonts w:hint="eastAsia" w:ascii="仿宋_GB2312" w:hAnsi="宋体" w:eastAsia="仿宋_GB2312"/>
          <w:color w:val="auto"/>
          <w:sz w:val="24"/>
        </w:rPr>
        <w:t>专任教师</w:t>
      </w:r>
      <w:r>
        <w:rPr>
          <w:rFonts w:hint="eastAsia" w:ascii="仿宋_GB2312" w:hAnsi="宋体" w:eastAsia="仿宋_GB2312"/>
          <w:color w:val="auto"/>
          <w:sz w:val="24"/>
          <w:lang w:val="en-US" w:eastAsia="zh-CN"/>
        </w:rPr>
        <w:t>155</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r>
        <w:rPr>
          <w:rFonts w:hint="eastAsia" w:ascii="仿宋_GB2312" w:hAnsi="宋体" w:eastAsia="仿宋_GB2312"/>
          <w:color w:val="auto"/>
          <w:sz w:val="24"/>
        </w:rPr>
        <w:t>中等职业学校1所，招收新生</w:t>
      </w:r>
      <w:r>
        <w:rPr>
          <w:rFonts w:hint="eastAsia" w:ascii="仿宋_GB2312" w:hAnsi="宋体" w:eastAsia="仿宋_GB2312"/>
          <w:color w:val="auto"/>
          <w:sz w:val="24"/>
          <w:lang w:val="en-US" w:eastAsia="zh-CN"/>
        </w:rPr>
        <w:t>172</w:t>
      </w:r>
      <w:r>
        <w:rPr>
          <w:rFonts w:hint="eastAsia" w:ascii="仿宋_GB2312" w:hAnsi="宋体" w:eastAsia="仿宋_GB2312"/>
          <w:color w:val="auto"/>
          <w:sz w:val="24"/>
        </w:rPr>
        <w:t>人，在校学生</w:t>
      </w:r>
      <w:r>
        <w:rPr>
          <w:rFonts w:hint="eastAsia" w:ascii="仿宋_GB2312" w:hAnsi="宋体" w:eastAsia="仿宋_GB2312"/>
          <w:color w:val="auto"/>
          <w:sz w:val="24"/>
          <w:lang w:val="en-US" w:eastAsia="zh-CN"/>
        </w:rPr>
        <w:t>984</w:t>
      </w:r>
      <w:r>
        <w:rPr>
          <w:rFonts w:hint="eastAsia" w:ascii="仿宋_GB2312" w:hAnsi="宋体" w:eastAsia="仿宋_GB2312"/>
          <w:color w:val="auto"/>
          <w:sz w:val="24"/>
        </w:rPr>
        <w:t>人，</w:t>
      </w:r>
      <w:r>
        <w:rPr>
          <w:rFonts w:hint="eastAsia" w:ascii="仿宋_GB2312" w:hAnsi="宋体" w:eastAsia="仿宋_GB2312"/>
          <w:color w:val="auto"/>
          <w:sz w:val="24"/>
          <w:lang w:eastAsia="zh-CN"/>
        </w:rPr>
        <w:t>毕业生</w:t>
      </w:r>
      <w:r>
        <w:rPr>
          <w:rFonts w:hint="eastAsia" w:ascii="仿宋_GB2312" w:hAnsi="宋体" w:eastAsia="仿宋_GB2312"/>
          <w:color w:val="auto"/>
          <w:sz w:val="24"/>
          <w:lang w:val="en-US" w:eastAsia="zh-CN"/>
        </w:rPr>
        <w:t>158人，</w:t>
      </w:r>
      <w:r>
        <w:rPr>
          <w:rFonts w:hint="eastAsia" w:ascii="仿宋_GB2312" w:hAnsi="宋体" w:eastAsia="仿宋_GB2312"/>
          <w:color w:val="auto"/>
          <w:sz w:val="24"/>
        </w:rPr>
        <w:t>专任教师</w:t>
      </w:r>
      <w:r>
        <w:rPr>
          <w:rFonts w:hint="eastAsia" w:ascii="仿宋_GB2312" w:hAnsi="宋体" w:eastAsia="仿宋_GB2312"/>
          <w:color w:val="auto"/>
          <w:sz w:val="24"/>
          <w:lang w:val="en-US" w:eastAsia="zh-CN"/>
        </w:rPr>
        <w:t>38</w:t>
      </w:r>
      <w:r>
        <w:rPr>
          <w:rFonts w:hint="eastAsia" w:ascii="仿宋_GB2312" w:hAnsi="宋体" w:eastAsia="仿宋_GB2312"/>
          <w:color w:val="auto"/>
          <w:sz w:val="24"/>
        </w:rPr>
        <w:t>人；幼儿园</w:t>
      </w:r>
      <w:r>
        <w:rPr>
          <w:rFonts w:hint="eastAsia" w:ascii="仿宋_GB2312" w:hAnsi="宋体" w:eastAsia="仿宋_GB2312"/>
          <w:color w:val="auto"/>
          <w:sz w:val="24"/>
          <w:lang w:val="en-US" w:eastAsia="zh-CN"/>
        </w:rPr>
        <w:t>73</w:t>
      </w:r>
      <w:r>
        <w:rPr>
          <w:rFonts w:hint="eastAsia" w:ascii="仿宋_GB2312" w:hAnsi="宋体" w:eastAsia="仿宋_GB2312"/>
          <w:color w:val="auto"/>
          <w:sz w:val="24"/>
        </w:rPr>
        <w:t>所，入园儿童数1294人，在园儿童数</w:t>
      </w:r>
      <w:r>
        <w:rPr>
          <w:rFonts w:hint="eastAsia" w:ascii="仿宋_GB2312" w:hAnsi="宋体" w:eastAsia="仿宋_GB2312"/>
          <w:color w:val="auto"/>
          <w:sz w:val="24"/>
          <w:lang w:val="en-US" w:eastAsia="zh-CN"/>
        </w:rPr>
        <w:t>3962</w:t>
      </w:r>
      <w:r>
        <w:rPr>
          <w:rFonts w:hint="eastAsia" w:ascii="仿宋_GB2312" w:hAnsi="宋体" w:eastAsia="仿宋_GB2312"/>
          <w:color w:val="auto"/>
          <w:sz w:val="24"/>
        </w:rPr>
        <w:t>人。</w:t>
      </w:r>
    </w:p>
    <w:p w14:paraId="540C03C1">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宋体" w:eastAsia="仿宋_GB2312" w:cs="Times New Roman"/>
          <w:color w:val="auto"/>
          <w:kern w:val="0"/>
          <w:sz w:val="24"/>
          <w:szCs w:val="24"/>
          <w:lang w:val="en-US" w:eastAsia="zh-CN" w:bidi="ar-SA"/>
        </w:rPr>
      </w:pPr>
      <w:r>
        <w:rPr>
          <w:rFonts w:hint="eastAsia" w:ascii="仿宋_GB2312" w:hAnsi="宋体" w:eastAsia="仿宋_GB2312" w:cs="Times New Roman"/>
          <w:color w:val="auto"/>
          <w:kern w:val="0"/>
          <w:sz w:val="24"/>
          <w:szCs w:val="24"/>
          <w:lang w:val="en-US" w:eastAsia="zh-CN" w:bidi="ar-SA"/>
        </w:rPr>
        <w:t>全年专利授权35件，其中：发明专利3件。</w:t>
      </w:r>
    </w:p>
    <w:p w14:paraId="3EF16292">
      <w:pPr>
        <w:pStyle w:val="2"/>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宋体" w:eastAsia="仿宋_GB2312" w:cs="Times New Roman"/>
          <w:color w:val="auto"/>
          <w:kern w:val="0"/>
          <w:sz w:val="24"/>
          <w:szCs w:val="24"/>
          <w:lang w:val="en-US" w:eastAsia="zh-CN" w:bidi="ar-SA"/>
        </w:rPr>
      </w:pPr>
      <w:r>
        <w:rPr>
          <w:rFonts w:hint="eastAsia" w:ascii="仿宋_GB2312" w:hAnsi="宋体" w:eastAsia="仿宋_GB2312" w:cs="Times New Roman"/>
          <w:color w:val="auto"/>
          <w:kern w:val="0"/>
          <w:sz w:val="24"/>
          <w:szCs w:val="24"/>
          <w:lang w:val="en-US" w:eastAsia="zh-CN" w:bidi="ar-SA"/>
        </w:rPr>
        <w:t>全县有文化馆（活动中心）1个，博物馆1个，公共图书馆1个、藏书4.7万册。</w:t>
      </w:r>
    </w:p>
    <w:p w14:paraId="16D367EF">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ascii="仿宋_GB2312" w:hAnsi="宋体" w:eastAsia="仿宋_GB2312"/>
          <w:color w:val="auto"/>
          <w:sz w:val="24"/>
          <w:highlight w:val="none"/>
        </w:rPr>
      </w:pPr>
      <w:r>
        <w:rPr>
          <w:rFonts w:hint="eastAsia" w:ascii="仿宋_GB2312" w:hAnsi="宋体" w:eastAsia="仿宋_GB2312"/>
          <w:color w:val="auto"/>
          <w:sz w:val="24"/>
          <w:highlight w:val="none"/>
        </w:rPr>
        <w:t>年末全县</w:t>
      </w:r>
      <w:r>
        <w:rPr>
          <w:rFonts w:hint="eastAsia" w:ascii="仿宋_GB2312" w:hAnsi="宋体" w:eastAsia="仿宋_GB2312"/>
          <w:color w:val="auto"/>
          <w:sz w:val="24"/>
          <w:highlight w:val="none"/>
          <w:lang w:eastAsia="zh-CN"/>
        </w:rPr>
        <w:t>拥有</w:t>
      </w:r>
      <w:r>
        <w:rPr>
          <w:rFonts w:hint="eastAsia" w:ascii="仿宋_GB2312" w:hAnsi="宋体" w:eastAsia="仿宋_GB2312"/>
          <w:color w:val="auto"/>
          <w:sz w:val="24"/>
          <w:highlight w:val="none"/>
        </w:rPr>
        <w:t>卫生机构</w:t>
      </w:r>
      <w:r>
        <w:rPr>
          <w:rFonts w:hint="eastAsia" w:ascii="仿宋_GB2312" w:hAnsi="宋体" w:eastAsia="仿宋_GB2312"/>
          <w:color w:val="auto"/>
          <w:sz w:val="24"/>
          <w:highlight w:val="none"/>
          <w:lang w:val="en-US" w:eastAsia="zh-CN"/>
        </w:rPr>
        <w:t>129</w:t>
      </w:r>
      <w:r>
        <w:rPr>
          <w:rFonts w:hint="eastAsia" w:ascii="仿宋_GB2312" w:hAnsi="宋体" w:eastAsia="仿宋_GB2312"/>
          <w:color w:val="auto"/>
          <w:sz w:val="24"/>
          <w:highlight w:val="none"/>
        </w:rPr>
        <w:t>个，其中：医院</w:t>
      </w:r>
      <w:r>
        <w:rPr>
          <w:rFonts w:hint="eastAsia" w:ascii="仿宋_GB2312" w:hAnsi="宋体" w:eastAsia="仿宋_GB2312"/>
          <w:color w:val="auto"/>
          <w:sz w:val="24"/>
          <w:highlight w:val="none"/>
          <w:lang w:val="en-US" w:eastAsia="zh-CN"/>
        </w:rPr>
        <w:t>3</w:t>
      </w:r>
      <w:r>
        <w:rPr>
          <w:rFonts w:hint="eastAsia" w:ascii="仿宋_GB2312" w:hAnsi="宋体" w:eastAsia="仿宋_GB2312"/>
          <w:color w:val="auto"/>
          <w:sz w:val="24"/>
          <w:highlight w:val="none"/>
        </w:rPr>
        <w:t>个，卫生院</w:t>
      </w:r>
      <w:r>
        <w:rPr>
          <w:rFonts w:hint="eastAsia" w:ascii="仿宋_GB2312" w:hAnsi="宋体" w:eastAsia="仿宋_GB2312"/>
          <w:color w:val="auto"/>
          <w:sz w:val="24"/>
          <w:highlight w:val="none"/>
          <w:lang w:val="en-US" w:eastAsia="zh-CN"/>
        </w:rPr>
        <w:t>12</w:t>
      </w:r>
      <w:r>
        <w:rPr>
          <w:rFonts w:hint="eastAsia" w:ascii="仿宋_GB2312" w:hAnsi="宋体" w:eastAsia="仿宋_GB2312"/>
          <w:color w:val="auto"/>
          <w:sz w:val="24"/>
          <w:highlight w:val="none"/>
        </w:rPr>
        <w:t>个，疾病预防控制中心1个，妇幼保健院1个。卫生机构人员9</w:t>
      </w:r>
      <w:r>
        <w:rPr>
          <w:rFonts w:hint="eastAsia" w:ascii="仿宋_GB2312" w:hAnsi="宋体" w:eastAsia="仿宋_GB2312"/>
          <w:color w:val="auto"/>
          <w:sz w:val="24"/>
          <w:highlight w:val="none"/>
          <w:lang w:val="en-US" w:eastAsia="zh-CN"/>
        </w:rPr>
        <w:t>91</w:t>
      </w:r>
      <w:r>
        <w:rPr>
          <w:rFonts w:hint="eastAsia" w:ascii="仿宋_GB2312" w:hAnsi="宋体" w:eastAsia="仿宋_GB2312"/>
          <w:color w:val="auto"/>
          <w:sz w:val="24"/>
          <w:highlight w:val="none"/>
        </w:rPr>
        <w:t>人</w:t>
      </w:r>
      <w:r>
        <w:rPr>
          <w:rFonts w:hint="eastAsia" w:ascii="仿宋_GB2312" w:hAnsi="宋体" w:eastAsia="仿宋_GB2312"/>
          <w:color w:val="auto"/>
          <w:sz w:val="24"/>
          <w:highlight w:val="none"/>
          <w:lang w:eastAsia="zh-CN"/>
        </w:rPr>
        <w:t>，其中，</w:t>
      </w:r>
      <w:r>
        <w:rPr>
          <w:rFonts w:hint="eastAsia" w:ascii="仿宋_GB2312" w:hAnsi="宋体" w:eastAsia="仿宋_GB2312"/>
          <w:color w:val="auto"/>
          <w:sz w:val="24"/>
          <w:highlight w:val="none"/>
        </w:rPr>
        <w:t>卫生技术人员</w:t>
      </w:r>
      <w:r>
        <w:rPr>
          <w:rFonts w:hint="eastAsia" w:ascii="仿宋_GB2312" w:hAnsi="宋体" w:eastAsia="仿宋_GB2312"/>
          <w:color w:val="auto"/>
          <w:sz w:val="24"/>
          <w:highlight w:val="none"/>
          <w:lang w:val="en-US" w:eastAsia="zh-CN"/>
        </w:rPr>
        <w:t>825</w:t>
      </w:r>
      <w:r>
        <w:rPr>
          <w:rFonts w:hint="eastAsia" w:ascii="仿宋_GB2312" w:hAnsi="宋体" w:eastAsia="仿宋_GB2312"/>
          <w:color w:val="auto"/>
          <w:sz w:val="24"/>
          <w:highlight w:val="none"/>
        </w:rPr>
        <w:t>人，执业（助理）医师</w:t>
      </w:r>
      <w:r>
        <w:rPr>
          <w:rFonts w:hint="eastAsia" w:ascii="仿宋_GB2312" w:hAnsi="宋体" w:eastAsia="仿宋_GB2312"/>
          <w:color w:val="auto"/>
          <w:sz w:val="24"/>
          <w:highlight w:val="none"/>
          <w:lang w:val="en-US" w:eastAsia="zh-CN"/>
        </w:rPr>
        <w:t>387</w:t>
      </w:r>
      <w:r>
        <w:rPr>
          <w:rFonts w:hint="eastAsia" w:ascii="仿宋_GB2312" w:hAnsi="宋体" w:eastAsia="仿宋_GB2312"/>
          <w:color w:val="auto"/>
          <w:sz w:val="24"/>
          <w:highlight w:val="none"/>
        </w:rPr>
        <w:t>人，注册护士（师）</w:t>
      </w:r>
      <w:r>
        <w:rPr>
          <w:rFonts w:hint="eastAsia" w:ascii="仿宋_GB2312" w:hAnsi="宋体" w:eastAsia="仿宋_GB2312"/>
          <w:color w:val="auto"/>
          <w:sz w:val="24"/>
          <w:highlight w:val="none"/>
          <w:lang w:val="en-US" w:eastAsia="zh-CN"/>
        </w:rPr>
        <w:t>304</w:t>
      </w:r>
      <w:r>
        <w:rPr>
          <w:rFonts w:hint="eastAsia" w:ascii="仿宋_GB2312" w:hAnsi="宋体" w:eastAsia="仿宋_GB2312"/>
          <w:color w:val="auto"/>
          <w:sz w:val="24"/>
          <w:highlight w:val="none"/>
        </w:rPr>
        <w:t>人。</w:t>
      </w:r>
      <w:r>
        <w:rPr>
          <w:rFonts w:hint="eastAsia" w:ascii="仿宋_GB2312" w:hAnsi="宋体" w:eastAsia="仿宋_GB2312"/>
          <w:color w:val="auto"/>
          <w:sz w:val="24"/>
          <w:highlight w:val="none"/>
          <w:lang w:eastAsia="zh-CN"/>
        </w:rPr>
        <w:t>年末</w:t>
      </w:r>
      <w:r>
        <w:rPr>
          <w:rFonts w:hint="eastAsia" w:ascii="仿宋_GB2312" w:hAnsi="宋体" w:eastAsia="仿宋_GB2312"/>
          <w:color w:val="auto"/>
          <w:sz w:val="24"/>
          <w:highlight w:val="none"/>
        </w:rPr>
        <w:t>卫生机构床位</w:t>
      </w:r>
      <w:r>
        <w:rPr>
          <w:rFonts w:hint="eastAsia" w:ascii="仿宋_GB2312" w:hAnsi="宋体" w:eastAsia="仿宋_GB2312"/>
          <w:color w:val="auto"/>
          <w:sz w:val="24"/>
          <w:highlight w:val="none"/>
          <w:lang w:val="en-US" w:eastAsia="zh-CN"/>
        </w:rPr>
        <w:t>481</w:t>
      </w:r>
      <w:r>
        <w:rPr>
          <w:rFonts w:hint="eastAsia" w:ascii="仿宋_GB2312" w:hAnsi="宋体" w:eastAsia="仿宋_GB2312"/>
          <w:color w:val="auto"/>
          <w:sz w:val="24"/>
          <w:highlight w:val="none"/>
        </w:rPr>
        <w:t>张</w:t>
      </w:r>
      <w:r>
        <w:rPr>
          <w:rFonts w:hint="eastAsia" w:ascii="仿宋_GB2312" w:hAnsi="宋体" w:eastAsia="仿宋_GB2312"/>
          <w:color w:val="auto"/>
          <w:sz w:val="24"/>
          <w:highlight w:val="none"/>
          <w:lang w:eastAsia="zh-CN"/>
        </w:rPr>
        <w:t>，其中，医院</w:t>
      </w:r>
      <w:r>
        <w:rPr>
          <w:rFonts w:hint="eastAsia" w:ascii="仿宋_GB2312" w:hAnsi="宋体" w:eastAsia="仿宋_GB2312"/>
          <w:color w:val="auto"/>
          <w:sz w:val="24"/>
          <w:highlight w:val="none"/>
          <w:lang w:val="en-US" w:eastAsia="zh-CN"/>
        </w:rPr>
        <w:t>395</w:t>
      </w:r>
      <w:r>
        <w:rPr>
          <w:rFonts w:hint="eastAsia" w:ascii="仿宋_GB2312" w:hAnsi="宋体" w:eastAsia="仿宋_GB2312"/>
          <w:color w:val="auto"/>
          <w:sz w:val="24"/>
          <w:highlight w:val="none"/>
          <w:lang w:eastAsia="zh-CN"/>
        </w:rPr>
        <w:t>张，卫生院</w:t>
      </w:r>
      <w:r>
        <w:rPr>
          <w:rFonts w:hint="eastAsia" w:ascii="仿宋_GB2312" w:hAnsi="宋体" w:eastAsia="仿宋_GB2312"/>
          <w:color w:val="auto"/>
          <w:sz w:val="24"/>
          <w:highlight w:val="none"/>
          <w:lang w:val="en-US" w:eastAsia="zh-CN"/>
        </w:rPr>
        <w:t>80</w:t>
      </w:r>
      <w:r>
        <w:rPr>
          <w:rFonts w:hint="eastAsia" w:ascii="仿宋_GB2312" w:hAnsi="宋体" w:eastAsia="仿宋_GB2312"/>
          <w:color w:val="auto"/>
          <w:sz w:val="24"/>
          <w:highlight w:val="none"/>
          <w:lang w:eastAsia="zh-CN"/>
        </w:rPr>
        <w:t>张。</w:t>
      </w:r>
      <w:r>
        <w:rPr>
          <w:rFonts w:hint="eastAsia" w:ascii="仿宋_GB2312" w:hAnsi="宋体" w:eastAsia="仿宋_GB2312"/>
          <w:color w:val="auto"/>
          <w:sz w:val="24"/>
          <w:highlight w:val="none"/>
        </w:rPr>
        <w:t>全年5岁以下儿童死亡率</w:t>
      </w:r>
      <w:r>
        <w:rPr>
          <w:rFonts w:hint="eastAsia" w:ascii="仿宋_GB2312" w:hAnsi="宋体" w:eastAsia="仿宋_GB2312"/>
          <w:color w:val="auto"/>
          <w:sz w:val="24"/>
          <w:highlight w:val="none"/>
          <w:lang w:val="en-US" w:eastAsia="zh-CN"/>
        </w:rPr>
        <w:t>11.12</w:t>
      </w:r>
      <w:r>
        <w:rPr>
          <w:rFonts w:hint="eastAsia" w:ascii="仿宋_GB2312" w:hAnsi="宋体" w:eastAsia="仿宋_GB2312"/>
          <w:color w:val="auto"/>
          <w:sz w:val="24"/>
          <w:highlight w:val="none"/>
        </w:rPr>
        <w:t>‰，婴儿死亡率</w:t>
      </w:r>
      <w:r>
        <w:rPr>
          <w:rFonts w:hint="eastAsia" w:ascii="仿宋_GB2312" w:hAnsi="宋体" w:eastAsia="仿宋_GB2312"/>
          <w:color w:val="auto"/>
          <w:sz w:val="24"/>
          <w:highlight w:val="none"/>
          <w:lang w:val="en-US" w:eastAsia="zh-CN"/>
        </w:rPr>
        <w:t>7.70</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rPr>
        <w:t>产妇住院分娩率9</w:t>
      </w:r>
      <w:r>
        <w:rPr>
          <w:rFonts w:hint="eastAsia" w:ascii="仿宋_GB2312" w:hAnsi="宋体" w:eastAsia="仿宋_GB2312"/>
          <w:color w:val="auto"/>
          <w:sz w:val="24"/>
          <w:highlight w:val="none"/>
          <w:lang w:val="en-US" w:eastAsia="zh-CN"/>
        </w:rPr>
        <w:t>8.97</w:t>
      </w:r>
      <w:r>
        <w:rPr>
          <w:rFonts w:hint="eastAsia" w:ascii="仿宋_GB2312" w:hAnsi="宋体" w:eastAsia="仿宋_GB2312"/>
          <w:color w:val="auto"/>
          <w:sz w:val="24"/>
          <w:highlight w:val="none"/>
        </w:rPr>
        <w:t>%。</w:t>
      </w:r>
    </w:p>
    <w:p w14:paraId="3FDFD3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宋体" w:eastAsia="黑体"/>
          <w:color w:val="auto"/>
          <w:sz w:val="24"/>
        </w:rPr>
      </w:pPr>
    </w:p>
    <w:p w14:paraId="13072AB7">
      <w:pPr>
        <w:spacing w:line="460" w:lineRule="exact"/>
        <w:jc w:val="center"/>
        <w:rPr>
          <w:rFonts w:ascii="黑体" w:hAnsi="宋体" w:eastAsia="黑体"/>
          <w:color w:val="auto"/>
          <w:sz w:val="24"/>
        </w:rPr>
      </w:pPr>
      <w:r>
        <w:rPr>
          <w:rFonts w:hint="eastAsia" w:ascii="黑体" w:hAnsi="宋体" w:eastAsia="黑体"/>
          <w:color w:val="auto"/>
          <w:sz w:val="24"/>
        </w:rPr>
        <w:t>九、人民生活和社会保障</w:t>
      </w:r>
    </w:p>
    <w:p w14:paraId="3DC33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宋体" w:eastAsia="仿宋_GB2312"/>
          <w:color w:val="auto"/>
          <w:sz w:val="24"/>
        </w:rPr>
      </w:pPr>
    </w:p>
    <w:p w14:paraId="59690B1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 xml:space="preserve">     全年城镇居民人均可支配收入增长</w:t>
      </w:r>
      <w:r>
        <w:rPr>
          <w:rFonts w:hint="eastAsia" w:ascii="仿宋_GB2312" w:hAnsi="宋体" w:eastAsia="仿宋_GB2312"/>
          <w:color w:val="auto"/>
          <w:sz w:val="24"/>
          <w:lang w:val="en-US" w:eastAsia="zh-CN"/>
        </w:rPr>
        <w:t>4.8</w:t>
      </w:r>
      <w:r>
        <w:rPr>
          <w:rFonts w:hint="eastAsia" w:ascii="仿宋_GB2312" w:hAnsi="宋体" w:eastAsia="仿宋_GB2312"/>
          <w:color w:val="auto"/>
          <w:sz w:val="24"/>
        </w:rPr>
        <w:t>%</w:t>
      </w:r>
      <w:r>
        <w:rPr>
          <w:rFonts w:hint="eastAsia" w:ascii="仿宋_GB2312" w:hAnsi="宋体" w:eastAsia="仿宋_GB2312"/>
          <w:color w:val="auto"/>
          <w:sz w:val="24"/>
          <w:lang w:eastAsia="zh-CN"/>
        </w:rPr>
        <w:t>；</w:t>
      </w:r>
      <w:r>
        <w:rPr>
          <w:rFonts w:hint="eastAsia" w:ascii="仿宋_GB2312" w:hAnsi="宋体" w:eastAsia="仿宋_GB2312"/>
          <w:color w:val="auto"/>
          <w:sz w:val="24"/>
        </w:rPr>
        <w:t>城镇居民人均生活消费支出</w:t>
      </w:r>
      <w:r>
        <w:rPr>
          <w:rFonts w:hint="eastAsia" w:ascii="仿宋_GB2312" w:hAnsi="宋体" w:eastAsia="仿宋_GB2312"/>
          <w:color w:val="auto"/>
          <w:sz w:val="24"/>
          <w:lang w:eastAsia="zh-CN"/>
        </w:rPr>
        <w:t>增长</w:t>
      </w:r>
      <w:r>
        <w:rPr>
          <w:rFonts w:hint="eastAsia" w:ascii="仿宋_GB2312" w:hAnsi="宋体" w:eastAsia="仿宋_GB2312"/>
          <w:color w:val="auto"/>
          <w:sz w:val="24"/>
          <w:lang w:val="en-US" w:eastAsia="zh-CN"/>
        </w:rPr>
        <w:t>3.9%</w:t>
      </w:r>
      <w:r>
        <w:rPr>
          <w:rFonts w:hint="eastAsia" w:ascii="仿宋_GB2312" w:hAnsi="宋体" w:eastAsia="仿宋_GB2312"/>
          <w:color w:val="auto"/>
          <w:sz w:val="24"/>
        </w:rPr>
        <w:t>，</w:t>
      </w:r>
      <w:r>
        <w:rPr>
          <w:rFonts w:hint="eastAsia" w:ascii="仿宋_GB2312" w:hAnsi="宋体" w:eastAsia="仿宋_GB2312"/>
          <w:color w:val="auto"/>
          <w:sz w:val="24"/>
          <w:highlight w:val="none"/>
        </w:rPr>
        <w:t>其中食品消费支出</w:t>
      </w:r>
      <w:r>
        <w:rPr>
          <w:rFonts w:hint="eastAsia" w:ascii="仿宋_GB2312" w:hAnsi="宋体" w:eastAsia="仿宋_GB2312"/>
          <w:color w:val="auto"/>
          <w:sz w:val="24"/>
          <w:highlight w:val="none"/>
          <w:lang w:val="en-US" w:eastAsia="zh-CN"/>
        </w:rPr>
        <w:t>增长3.7%</w:t>
      </w:r>
      <w:r>
        <w:rPr>
          <w:rFonts w:hint="eastAsia" w:ascii="仿宋_GB2312" w:hAnsi="宋体" w:eastAsia="仿宋_GB2312"/>
          <w:color w:val="auto"/>
          <w:sz w:val="24"/>
          <w:highlight w:val="none"/>
        </w:rPr>
        <w:t>，食品消费支出占生活消费支出的比重（恩格尔系数）</w:t>
      </w:r>
      <w:r>
        <w:rPr>
          <w:rFonts w:hint="eastAsia" w:ascii="仿宋_GB2312" w:hAnsi="宋体" w:eastAsia="仿宋_GB2312"/>
          <w:color w:val="auto"/>
          <w:sz w:val="24"/>
          <w:highlight w:val="none"/>
          <w:lang w:val="en-US" w:eastAsia="zh-CN"/>
        </w:rPr>
        <w:t>32.9</w:t>
      </w:r>
      <w:r>
        <w:rPr>
          <w:rFonts w:hint="eastAsia" w:ascii="仿宋_GB2312" w:hAnsi="宋体" w:eastAsia="仿宋_GB2312"/>
          <w:color w:val="auto"/>
          <w:sz w:val="24"/>
          <w:highlight w:val="none"/>
        </w:rPr>
        <w:t>%。全</w:t>
      </w:r>
      <w:r>
        <w:rPr>
          <w:rFonts w:hint="eastAsia" w:ascii="仿宋_GB2312" w:hAnsi="宋体" w:eastAsia="仿宋_GB2312"/>
          <w:color w:val="auto"/>
          <w:sz w:val="24"/>
        </w:rPr>
        <w:t>县农村居民人均可支配收入增长</w:t>
      </w:r>
      <w:r>
        <w:rPr>
          <w:rFonts w:hint="eastAsia" w:ascii="仿宋_GB2312" w:hAnsi="宋体" w:eastAsia="仿宋_GB2312"/>
          <w:color w:val="auto"/>
          <w:sz w:val="24"/>
          <w:lang w:val="en-US" w:eastAsia="zh-CN"/>
        </w:rPr>
        <w:t>5.9</w:t>
      </w:r>
      <w:r>
        <w:rPr>
          <w:rFonts w:hint="eastAsia" w:ascii="仿宋_GB2312" w:hAnsi="宋体" w:eastAsia="仿宋_GB2312"/>
          <w:color w:val="auto"/>
          <w:sz w:val="24"/>
        </w:rPr>
        <w:t>%</w:t>
      </w:r>
      <w:r>
        <w:rPr>
          <w:rFonts w:hint="eastAsia" w:ascii="仿宋_GB2312" w:hAnsi="宋体" w:eastAsia="仿宋_GB2312"/>
          <w:color w:val="auto"/>
          <w:sz w:val="24"/>
          <w:lang w:eastAsia="zh-CN"/>
        </w:rPr>
        <w:t>；</w:t>
      </w:r>
      <w:r>
        <w:rPr>
          <w:rFonts w:hint="eastAsia" w:ascii="仿宋_GB2312" w:hAnsi="宋体" w:eastAsia="仿宋_GB2312"/>
          <w:color w:val="auto"/>
          <w:sz w:val="24"/>
        </w:rPr>
        <w:t>农村居民人均消费支出</w:t>
      </w:r>
      <w:r>
        <w:rPr>
          <w:rFonts w:hint="eastAsia" w:ascii="仿宋_GB2312" w:hAnsi="宋体" w:eastAsia="仿宋_GB2312"/>
          <w:color w:val="auto"/>
          <w:sz w:val="24"/>
          <w:lang w:eastAsia="zh-CN"/>
        </w:rPr>
        <w:t>增长</w:t>
      </w:r>
      <w:r>
        <w:rPr>
          <w:rFonts w:hint="eastAsia" w:ascii="仿宋_GB2312" w:hAnsi="宋体" w:eastAsia="仿宋_GB2312"/>
          <w:color w:val="auto"/>
          <w:sz w:val="24"/>
          <w:lang w:val="en-US" w:eastAsia="zh-CN"/>
        </w:rPr>
        <w:t>5.2%</w:t>
      </w:r>
      <w:r>
        <w:rPr>
          <w:rFonts w:hint="eastAsia" w:ascii="仿宋_GB2312" w:hAnsi="宋体" w:eastAsia="仿宋_GB2312"/>
          <w:color w:val="auto"/>
          <w:sz w:val="24"/>
        </w:rPr>
        <w:t>，</w:t>
      </w:r>
      <w:r>
        <w:rPr>
          <w:rFonts w:hint="eastAsia" w:ascii="仿宋_GB2312" w:hAnsi="宋体" w:eastAsia="仿宋_GB2312"/>
          <w:color w:val="auto"/>
          <w:sz w:val="24"/>
          <w:highlight w:val="none"/>
        </w:rPr>
        <w:t>其中食品消费支出</w:t>
      </w:r>
      <w:r>
        <w:rPr>
          <w:rFonts w:hint="eastAsia" w:ascii="仿宋_GB2312" w:hAnsi="宋体" w:eastAsia="仿宋_GB2312"/>
          <w:color w:val="auto"/>
          <w:sz w:val="24"/>
          <w:highlight w:val="none"/>
          <w:lang w:eastAsia="zh-CN"/>
        </w:rPr>
        <w:t>增长</w:t>
      </w:r>
      <w:r>
        <w:rPr>
          <w:rFonts w:hint="eastAsia" w:ascii="仿宋_GB2312" w:hAnsi="宋体" w:eastAsia="仿宋_GB2312"/>
          <w:color w:val="auto"/>
          <w:sz w:val="24"/>
          <w:highlight w:val="none"/>
          <w:lang w:val="en-US" w:eastAsia="zh-CN"/>
        </w:rPr>
        <w:t>5.0%</w:t>
      </w:r>
      <w:r>
        <w:rPr>
          <w:rFonts w:hint="eastAsia" w:ascii="仿宋_GB2312" w:hAnsi="宋体" w:eastAsia="仿宋_GB2312"/>
          <w:color w:val="auto"/>
          <w:sz w:val="24"/>
          <w:highlight w:val="none"/>
        </w:rPr>
        <w:t>，农村居民恩格尔系数</w:t>
      </w:r>
      <w:r>
        <w:rPr>
          <w:rFonts w:hint="eastAsia" w:ascii="仿宋_GB2312" w:hAnsi="宋体" w:eastAsia="仿宋_GB2312"/>
          <w:color w:val="auto"/>
          <w:sz w:val="24"/>
          <w:highlight w:val="none"/>
          <w:lang w:val="en-US" w:eastAsia="zh-CN"/>
        </w:rPr>
        <w:t>43.5</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“十四五”期间，</w:t>
      </w:r>
      <w:r>
        <w:rPr>
          <w:rFonts w:hint="eastAsia" w:ascii="仿宋_GB2312" w:hAnsi="宋体" w:eastAsia="仿宋_GB2312"/>
          <w:color w:val="auto"/>
          <w:sz w:val="24"/>
        </w:rPr>
        <w:t>城镇居民人均可支配收入</w:t>
      </w:r>
      <w:r>
        <w:rPr>
          <w:rFonts w:hint="eastAsia" w:ascii="仿宋_GB2312" w:hAnsi="宋体" w:eastAsia="仿宋_GB2312"/>
          <w:color w:val="auto"/>
          <w:sz w:val="24"/>
          <w:lang w:eastAsia="zh-CN"/>
        </w:rPr>
        <w:t>年均增长</w:t>
      </w:r>
      <w:r>
        <w:rPr>
          <w:rFonts w:hint="eastAsia" w:ascii="仿宋_GB2312" w:hAnsi="宋体" w:eastAsia="仿宋_GB2312"/>
          <w:color w:val="auto"/>
          <w:sz w:val="24"/>
          <w:lang w:val="en-US" w:eastAsia="zh-CN"/>
        </w:rPr>
        <w:t>5.5%，</w:t>
      </w:r>
      <w:r>
        <w:rPr>
          <w:rFonts w:hint="eastAsia" w:ascii="仿宋_GB2312" w:hAnsi="宋体" w:eastAsia="仿宋_GB2312"/>
          <w:color w:val="auto"/>
          <w:sz w:val="24"/>
        </w:rPr>
        <w:t>农村居民人均可支配收入</w:t>
      </w:r>
      <w:r>
        <w:rPr>
          <w:rFonts w:hint="eastAsia" w:ascii="仿宋_GB2312" w:hAnsi="宋体" w:eastAsia="仿宋_GB2312"/>
          <w:color w:val="auto"/>
          <w:sz w:val="24"/>
          <w:lang w:eastAsia="zh-CN"/>
        </w:rPr>
        <w:t>年均增长</w:t>
      </w:r>
      <w:r>
        <w:rPr>
          <w:rFonts w:hint="eastAsia" w:ascii="仿宋_GB2312" w:hAnsi="宋体" w:eastAsia="仿宋_GB2312"/>
          <w:color w:val="auto"/>
          <w:sz w:val="24"/>
          <w:lang w:val="en-US" w:eastAsia="zh-CN"/>
        </w:rPr>
        <w:t>7.5%。</w:t>
      </w:r>
    </w:p>
    <w:p w14:paraId="6136BA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宋体" w:eastAsia="黑体" w:cs="宋体"/>
          <w:color w:val="auto"/>
          <w:kern w:val="0"/>
          <w:sz w:val="24"/>
        </w:rPr>
      </w:pPr>
      <w:r>
        <w:rPr>
          <w:color w:val="auto"/>
        </w:rPr>
        <w:drawing>
          <wp:anchor distT="0" distB="0" distL="114300" distR="114300" simplePos="0" relativeHeight="251662336" behindDoc="1" locked="0" layoutInCell="1" allowOverlap="1">
            <wp:simplePos x="0" y="0"/>
            <wp:positionH relativeFrom="column">
              <wp:posOffset>25400</wp:posOffset>
            </wp:positionH>
            <wp:positionV relativeFrom="paragraph">
              <wp:posOffset>288925</wp:posOffset>
            </wp:positionV>
            <wp:extent cx="3549015" cy="1920875"/>
            <wp:effectExtent l="5080" t="5080" r="46355" b="36195"/>
            <wp:wrapTight wrapText="bothSides">
              <wp:wrapPolygon>
                <wp:start x="-31" y="-57"/>
                <wp:lineTo x="-31" y="21793"/>
                <wp:lineTo x="21650" y="21793"/>
                <wp:lineTo x="21650" y="-57"/>
                <wp:lineTo x="-31" y="-57"/>
              </wp:wrapPolygon>
            </wp:wrapTight>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黑体" w:hAnsi="宋体" w:eastAsia="黑体" w:cs="宋体"/>
          <w:color w:val="auto"/>
          <w:kern w:val="0"/>
          <w:sz w:val="24"/>
        </w:rPr>
        <w:t>图</w:t>
      </w:r>
      <w:r>
        <w:rPr>
          <w:rFonts w:hint="eastAsia" w:ascii="黑体" w:hAnsi="宋体" w:eastAsia="黑体" w:cs="宋体"/>
          <w:color w:val="auto"/>
          <w:kern w:val="0"/>
          <w:sz w:val="24"/>
          <w:lang w:val="en-US" w:eastAsia="zh-CN"/>
        </w:rPr>
        <w:t>9</w:t>
      </w:r>
      <w:r>
        <w:rPr>
          <w:rFonts w:hint="eastAsia" w:ascii="黑体" w:hAnsi="宋体" w:eastAsia="黑体" w:cs="宋体"/>
          <w:color w:val="auto"/>
          <w:kern w:val="0"/>
          <w:sz w:val="24"/>
        </w:rPr>
        <w:t>　20</w:t>
      </w:r>
      <w:r>
        <w:rPr>
          <w:rFonts w:hint="eastAsia" w:ascii="黑体" w:hAnsi="宋体" w:eastAsia="黑体" w:cs="宋体"/>
          <w:color w:val="auto"/>
          <w:kern w:val="0"/>
          <w:sz w:val="24"/>
          <w:lang w:val="en-US" w:eastAsia="zh-CN"/>
        </w:rPr>
        <w:t>21—</w:t>
      </w:r>
      <w:r>
        <w:rPr>
          <w:rFonts w:hint="eastAsia" w:ascii="黑体" w:hAnsi="宋体" w:eastAsia="黑体" w:cs="宋体"/>
          <w:color w:val="auto"/>
          <w:kern w:val="0"/>
          <w:sz w:val="24"/>
        </w:rPr>
        <w:t>202</w:t>
      </w:r>
      <w:r>
        <w:rPr>
          <w:rFonts w:hint="eastAsia" w:ascii="黑体" w:hAnsi="宋体" w:eastAsia="黑体" w:cs="宋体"/>
          <w:color w:val="auto"/>
          <w:kern w:val="0"/>
          <w:sz w:val="24"/>
          <w:lang w:val="en-US" w:eastAsia="zh-CN"/>
        </w:rPr>
        <w:t>5</w:t>
      </w:r>
      <w:r>
        <w:rPr>
          <w:rFonts w:hint="eastAsia" w:ascii="黑体" w:hAnsi="宋体" w:eastAsia="黑体" w:cs="宋体"/>
          <w:color w:val="auto"/>
          <w:kern w:val="0"/>
          <w:sz w:val="24"/>
        </w:rPr>
        <w:t>年城镇居民可支配收入增速</w:t>
      </w:r>
    </w:p>
    <w:p w14:paraId="77FEB72C">
      <w:pPr>
        <w:spacing w:line="460" w:lineRule="exact"/>
        <w:jc w:val="center"/>
        <w:rPr>
          <w:rFonts w:hint="eastAsia" w:ascii="黑体" w:hAnsi="宋体" w:eastAsia="黑体" w:cs="宋体"/>
          <w:color w:val="auto"/>
          <w:kern w:val="0"/>
          <w:sz w:val="24"/>
        </w:rPr>
      </w:pPr>
    </w:p>
    <w:p w14:paraId="6CA10975">
      <w:pPr>
        <w:spacing w:line="460" w:lineRule="exact"/>
        <w:jc w:val="center"/>
        <w:rPr>
          <w:rFonts w:hint="eastAsia" w:ascii="黑体" w:hAnsi="宋体" w:eastAsia="黑体" w:cs="宋体"/>
          <w:color w:val="auto"/>
          <w:kern w:val="0"/>
          <w:sz w:val="24"/>
        </w:rPr>
      </w:pPr>
    </w:p>
    <w:p w14:paraId="0F769C00">
      <w:pPr>
        <w:spacing w:line="460" w:lineRule="exact"/>
        <w:jc w:val="center"/>
        <w:rPr>
          <w:rFonts w:hint="eastAsia" w:ascii="黑体" w:hAnsi="宋体" w:eastAsia="黑体" w:cs="宋体"/>
          <w:color w:val="auto"/>
          <w:kern w:val="0"/>
          <w:sz w:val="24"/>
        </w:rPr>
      </w:pPr>
    </w:p>
    <w:p w14:paraId="2F0A543A">
      <w:pPr>
        <w:spacing w:line="460" w:lineRule="exact"/>
        <w:jc w:val="center"/>
        <w:rPr>
          <w:rFonts w:hint="eastAsia" w:ascii="黑体" w:hAnsi="宋体" w:eastAsia="黑体" w:cs="宋体"/>
          <w:color w:val="auto"/>
          <w:kern w:val="0"/>
          <w:sz w:val="24"/>
        </w:rPr>
      </w:pPr>
    </w:p>
    <w:p w14:paraId="10C09E2F">
      <w:pPr>
        <w:spacing w:line="460" w:lineRule="exact"/>
        <w:jc w:val="center"/>
        <w:rPr>
          <w:rFonts w:hint="eastAsia" w:ascii="黑体" w:hAnsi="宋体" w:eastAsia="黑体" w:cs="宋体"/>
          <w:color w:val="auto"/>
          <w:kern w:val="0"/>
          <w:sz w:val="24"/>
        </w:rPr>
      </w:pPr>
    </w:p>
    <w:p w14:paraId="07EEAA7F">
      <w:pPr>
        <w:spacing w:line="460" w:lineRule="exact"/>
        <w:jc w:val="center"/>
        <w:rPr>
          <w:rFonts w:hint="eastAsia" w:ascii="黑体" w:hAnsi="宋体" w:eastAsia="黑体" w:cs="宋体"/>
          <w:color w:val="auto"/>
          <w:kern w:val="0"/>
          <w:sz w:val="24"/>
        </w:rPr>
      </w:pPr>
    </w:p>
    <w:p w14:paraId="0C8C0165">
      <w:pPr>
        <w:spacing w:line="460" w:lineRule="exact"/>
        <w:jc w:val="center"/>
        <w:rPr>
          <w:rFonts w:hint="eastAsia" w:ascii="黑体" w:hAnsi="宋体" w:eastAsia="黑体" w:cs="宋体"/>
          <w:color w:val="auto"/>
          <w:kern w:val="0"/>
          <w:sz w:val="24"/>
        </w:rPr>
      </w:pPr>
    </w:p>
    <w:p w14:paraId="6D0E93D3">
      <w:pPr>
        <w:spacing w:line="460" w:lineRule="exact"/>
        <w:jc w:val="both"/>
        <w:rPr>
          <w:rFonts w:hint="eastAsia" w:ascii="仿宋_GB2312" w:hAnsi="宋体" w:eastAsia="仿宋_GB2312"/>
          <w:color w:val="auto"/>
          <w:sz w:val="24"/>
          <w:lang w:val="en-US" w:eastAsia="zh-CN"/>
        </w:rPr>
      </w:pPr>
      <w:r>
        <w:rPr>
          <w:rFonts w:hint="eastAsia" w:ascii="黑体" w:hAnsi="宋体" w:eastAsia="黑体" w:cs="宋体"/>
          <w:color w:val="auto"/>
          <w:kern w:val="0"/>
          <w:sz w:val="24"/>
        </w:rPr>
        <w:t>图</w:t>
      </w:r>
      <w:r>
        <w:rPr>
          <w:rFonts w:hint="eastAsia" w:ascii="黑体" w:hAnsi="宋体" w:eastAsia="黑体" w:cs="宋体"/>
          <w:color w:val="auto"/>
          <w:kern w:val="0"/>
          <w:sz w:val="24"/>
          <w:lang w:val="en-US" w:eastAsia="zh-CN"/>
        </w:rPr>
        <w:t>10</w:t>
      </w:r>
      <w:r>
        <w:rPr>
          <w:rFonts w:hint="eastAsia" w:ascii="黑体" w:hAnsi="宋体" w:eastAsia="黑体" w:cs="宋体"/>
          <w:color w:val="auto"/>
          <w:kern w:val="0"/>
          <w:sz w:val="24"/>
        </w:rPr>
        <w:t>　20</w:t>
      </w:r>
      <w:r>
        <w:rPr>
          <w:rFonts w:hint="eastAsia" w:ascii="黑体" w:hAnsi="宋体" w:eastAsia="黑体" w:cs="宋体"/>
          <w:color w:val="auto"/>
          <w:kern w:val="0"/>
          <w:sz w:val="24"/>
          <w:lang w:val="en-US" w:eastAsia="zh-CN"/>
        </w:rPr>
        <w:t>21—</w:t>
      </w:r>
      <w:r>
        <w:rPr>
          <w:rFonts w:hint="eastAsia" w:ascii="黑体" w:hAnsi="宋体" w:eastAsia="黑体" w:cs="宋体"/>
          <w:color w:val="auto"/>
          <w:kern w:val="0"/>
          <w:sz w:val="24"/>
        </w:rPr>
        <w:t>202</w:t>
      </w:r>
      <w:r>
        <w:rPr>
          <w:rFonts w:hint="eastAsia" w:ascii="黑体" w:hAnsi="宋体" w:eastAsia="黑体" w:cs="宋体"/>
          <w:color w:val="auto"/>
          <w:kern w:val="0"/>
          <w:sz w:val="24"/>
          <w:lang w:val="en-US" w:eastAsia="zh-CN"/>
        </w:rPr>
        <w:t>5</w:t>
      </w:r>
      <w:r>
        <w:rPr>
          <w:rFonts w:hint="eastAsia" w:ascii="黑体" w:hAnsi="宋体" w:eastAsia="黑体" w:cs="宋体"/>
          <w:color w:val="auto"/>
          <w:kern w:val="0"/>
          <w:sz w:val="24"/>
        </w:rPr>
        <w:t>年农村居民可支配收入及其增速</w:t>
      </w:r>
    </w:p>
    <w:p w14:paraId="30F0969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lang w:val="en-US" w:eastAsia="zh-CN"/>
        </w:rPr>
      </w:pPr>
      <w:r>
        <w:rPr>
          <w:rFonts w:hint="eastAsia" w:ascii="仿宋_GB2312" w:hAnsi="宋体" w:eastAsia="仿宋_GB2312"/>
          <w:color w:val="auto"/>
          <w:sz w:val="24"/>
        </w:rPr>
        <w:drawing>
          <wp:anchor distT="0" distB="0" distL="114300" distR="114300" simplePos="0" relativeHeight="251661312" behindDoc="1" locked="0" layoutInCell="1" allowOverlap="1">
            <wp:simplePos x="0" y="0"/>
            <wp:positionH relativeFrom="column">
              <wp:posOffset>-10160</wp:posOffset>
            </wp:positionH>
            <wp:positionV relativeFrom="paragraph">
              <wp:posOffset>240665</wp:posOffset>
            </wp:positionV>
            <wp:extent cx="3620770" cy="1960245"/>
            <wp:effectExtent l="4445" t="4445" r="32385" b="35560"/>
            <wp:wrapTight wrapText="bothSides">
              <wp:wrapPolygon>
                <wp:start x="-27" y="-49"/>
                <wp:lineTo x="-27" y="21782"/>
                <wp:lineTo x="21680" y="21782"/>
                <wp:lineTo x="21680" y="-49"/>
                <wp:lineTo x="-27" y="-49"/>
              </wp:wrapPolygon>
            </wp:wrapTight>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宋体" w:eastAsia="仿宋_GB2312"/>
          <w:color w:val="auto"/>
          <w:sz w:val="24"/>
          <w:lang w:val="en-US" w:eastAsia="zh-CN"/>
        </w:rPr>
        <w:t>社会福利院单位数1个，床位</w:t>
      </w:r>
      <w:bookmarkStart w:id="0" w:name="_GoBack"/>
      <w:bookmarkEnd w:id="0"/>
      <w:r>
        <w:rPr>
          <w:rFonts w:hint="eastAsia" w:ascii="仿宋_GB2312" w:hAnsi="宋体" w:eastAsia="仿宋_GB2312"/>
          <w:color w:val="auto"/>
          <w:sz w:val="24"/>
          <w:lang w:val="en-US" w:eastAsia="zh-CN"/>
        </w:rPr>
        <w:t xml:space="preserve">200张，养老服务机构单位数2个，床位240张。城镇居民最低生活保障已保人数269人，农村居民最低生活保障人数为8798人，农村特困人员人数537人。 </w:t>
      </w:r>
    </w:p>
    <w:p w14:paraId="3585EDB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年末全县参加企业基本养老保险在职职工人数</w:t>
      </w:r>
      <w:r>
        <w:rPr>
          <w:rFonts w:hint="eastAsia" w:ascii="仿宋_GB2312" w:hAnsi="宋体" w:eastAsia="仿宋_GB2312"/>
          <w:color w:val="auto"/>
          <w:sz w:val="24"/>
          <w:lang w:val="en-US" w:eastAsia="zh-CN"/>
        </w:rPr>
        <w:t>14264</w:t>
      </w:r>
      <w:r>
        <w:rPr>
          <w:rFonts w:hint="eastAsia" w:ascii="仿宋_GB2312" w:hAnsi="宋体" w:eastAsia="仿宋_GB2312"/>
          <w:color w:val="auto"/>
          <w:sz w:val="24"/>
        </w:rPr>
        <w:t>人，参加机关事业养老保险在职职工人数</w:t>
      </w:r>
      <w:r>
        <w:rPr>
          <w:rFonts w:hint="eastAsia" w:ascii="仿宋_GB2312" w:hAnsi="宋体" w:eastAsia="仿宋_GB2312"/>
          <w:color w:val="auto"/>
          <w:sz w:val="24"/>
          <w:lang w:val="en-US" w:eastAsia="zh-CN"/>
        </w:rPr>
        <w:t>3823</w:t>
      </w:r>
      <w:r>
        <w:rPr>
          <w:rFonts w:hint="eastAsia" w:ascii="仿宋_GB2312" w:hAnsi="宋体" w:eastAsia="仿宋_GB2312"/>
          <w:color w:val="auto"/>
          <w:sz w:val="24"/>
        </w:rPr>
        <w:t>人，参加城乡居民基本养老保险人数</w:t>
      </w:r>
      <w:r>
        <w:rPr>
          <w:rFonts w:hint="eastAsia" w:ascii="仿宋_GB2312" w:hAnsi="宋体" w:eastAsia="仿宋_GB2312"/>
          <w:color w:val="auto"/>
          <w:sz w:val="24"/>
          <w:lang w:val="en-US" w:eastAsia="zh-CN"/>
        </w:rPr>
        <w:t>60965</w:t>
      </w:r>
      <w:r>
        <w:rPr>
          <w:rFonts w:hint="eastAsia" w:ascii="仿宋_GB2312" w:hAnsi="宋体" w:eastAsia="仿宋_GB2312"/>
          <w:color w:val="auto"/>
          <w:sz w:val="24"/>
        </w:rPr>
        <w:t>人。</w:t>
      </w:r>
    </w:p>
    <w:p w14:paraId="34929DE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宋体" w:eastAsia="仿宋_GB2312"/>
          <w:color w:val="auto"/>
          <w:sz w:val="24"/>
        </w:rPr>
      </w:pPr>
      <w:r>
        <w:rPr>
          <w:rFonts w:hint="eastAsia" w:ascii="仿宋_GB2312" w:hAnsi="宋体" w:eastAsia="仿宋_GB2312"/>
          <w:color w:val="auto"/>
          <w:sz w:val="24"/>
        </w:rPr>
        <w:t>参加职工基本医疗保险</w:t>
      </w:r>
      <w:r>
        <w:rPr>
          <w:rFonts w:hint="eastAsia" w:ascii="仿宋_GB2312" w:hAnsi="宋体" w:eastAsia="仿宋_GB2312"/>
          <w:color w:val="auto"/>
          <w:sz w:val="24"/>
          <w:lang w:eastAsia="zh-CN"/>
        </w:rPr>
        <w:t>人数</w:t>
      </w:r>
      <w:r>
        <w:rPr>
          <w:rFonts w:hint="eastAsia" w:ascii="仿宋_GB2312" w:hAnsi="宋体" w:eastAsia="仿宋_GB2312"/>
          <w:color w:val="auto"/>
          <w:sz w:val="24"/>
          <w:lang w:val="en-US" w:eastAsia="zh-CN"/>
        </w:rPr>
        <w:t>125740</w:t>
      </w:r>
      <w:r>
        <w:rPr>
          <w:rFonts w:hint="eastAsia" w:ascii="仿宋_GB2312" w:hAnsi="宋体" w:eastAsia="仿宋_GB2312"/>
          <w:color w:val="auto"/>
          <w:sz w:val="24"/>
        </w:rPr>
        <w:t>人，参加城乡居民基本医疗保险人数1</w:t>
      </w:r>
      <w:r>
        <w:rPr>
          <w:rFonts w:hint="eastAsia" w:ascii="仿宋_GB2312" w:hAnsi="宋体" w:eastAsia="仿宋_GB2312"/>
          <w:color w:val="auto"/>
          <w:sz w:val="24"/>
          <w:lang w:val="en-US" w:eastAsia="zh-CN"/>
        </w:rPr>
        <w:t>07737</w:t>
      </w:r>
      <w:r>
        <w:rPr>
          <w:rFonts w:hint="eastAsia" w:ascii="仿宋_GB2312" w:hAnsi="宋体" w:eastAsia="仿宋_GB2312"/>
          <w:color w:val="auto"/>
          <w:sz w:val="24"/>
        </w:rPr>
        <w:t>人。</w:t>
      </w:r>
    </w:p>
    <w:p w14:paraId="615EB15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_GB2312" w:hAnsi="仿宋" w:eastAsia="仿宋_GB2312"/>
          <w:color w:val="000000" w:themeColor="text1"/>
          <w:sz w:val="24"/>
          <w14:textFill>
            <w14:solidFill>
              <w14:schemeClr w14:val="tx1"/>
            </w14:solidFill>
          </w14:textFill>
        </w:rPr>
      </w:pPr>
      <w:r>
        <w:rPr>
          <w:rFonts w:hint="eastAsia" w:ascii="仿宋_GB2312" w:hAnsi="宋体" w:eastAsia="仿宋_GB2312"/>
          <w:color w:val="auto"/>
          <w:sz w:val="24"/>
        </w:rPr>
        <w:t>参加工伤保险人数1</w:t>
      </w:r>
      <w:r>
        <w:rPr>
          <w:rFonts w:hint="eastAsia" w:ascii="仿宋_GB2312" w:hAnsi="宋体" w:eastAsia="仿宋_GB2312"/>
          <w:color w:val="auto"/>
          <w:sz w:val="24"/>
          <w:lang w:val="en-US" w:eastAsia="zh-CN"/>
        </w:rPr>
        <w:t>4814</w:t>
      </w:r>
      <w:r>
        <w:rPr>
          <w:rFonts w:hint="eastAsia" w:ascii="仿宋_GB2312" w:hAnsi="宋体" w:eastAsia="仿宋_GB2312"/>
          <w:color w:val="auto"/>
          <w:sz w:val="24"/>
        </w:rPr>
        <w:t>人，参加失业保险人数</w:t>
      </w:r>
      <w:r>
        <w:rPr>
          <w:rFonts w:hint="eastAsia" w:ascii="仿宋_GB2312" w:hAnsi="宋体" w:eastAsia="仿宋_GB2312"/>
          <w:color w:val="auto"/>
          <w:sz w:val="24"/>
          <w:lang w:val="en-US" w:eastAsia="zh-CN"/>
        </w:rPr>
        <w:t>9675</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r>
        <w:rPr>
          <w:rFonts w:hint="eastAsia" w:ascii="仿宋_GB2312" w:hAnsi="仿宋" w:eastAsia="仿宋_GB2312"/>
          <w:color w:val="000000" w:themeColor="text1"/>
          <w:sz w:val="24"/>
          <w14:textFill>
            <w14:solidFill>
              <w14:schemeClr w14:val="tx1"/>
            </w14:solidFill>
          </w14:textFill>
        </w:rPr>
        <w:t>城镇登记失业人数1089人，失业人员实现再就业人数</w:t>
      </w:r>
      <w:r>
        <w:rPr>
          <w:rFonts w:hint="eastAsia" w:ascii="仿宋_GB2312" w:hAnsi="仿宋" w:eastAsia="仿宋_GB2312"/>
          <w:color w:val="000000" w:themeColor="text1"/>
          <w:sz w:val="24"/>
          <w:lang w:val="en-US" w:eastAsia="zh-CN"/>
          <w14:textFill>
            <w14:solidFill>
              <w14:schemeClr w14:val="tx1"/>
            </w14:solidFill>
          </w14:textFill>
        </w:rPr>
        <w:t>152</w:t>
      </w:r>
      <w:r>
        <w:rPr>
          <w:rFonts w:hint="eastAsia" w:ascii="仿宋_GB2312" w:hAnsi="仿宋" w:eastAsia="仿宋_GB2312"/>
          <w:color w:val="000000" w:themeColor="text1"/>
          <w:sz w:val="24"/>
          <w14:textFill>
            <w14:solidFill>
              <w14:schemeClr w14:val="tx1"/>
            </w14:solidFill>
          </w14:textFill>
        </w:rPr>
        <w:t>人。</w:t>
      </w:r>
    </w:p>
    <w:p w14:paraId="4534CE8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仿宋_GB2312" w:hAnsi="宋体" w:eastAsia="仿宋_GB2312"/>
          <w:color w:val="auto"/>
          <w:sz w:val="24"/>
        </w:rPr>
      </w:pPr>
      <w:r>
        <w:rPr>
          <w:rFonts w:hint="eastAsia" w:ascii="仿宋_GB2312" w:hAnsi="宋体" w:eastAsia="仿宋_GB2312"/>
          <w:color w:val="auto"/>
          <w:sz w:val="24"/>
        </w:rPr>
        <w:t>领取企业职工基本养老保险养老金人数</w:t>
      </w:r>
      <w:r>
        <w:rPr>
          <w:rFonts w:hint="eastAsia" w:ascii="仿宋_GB2312" w:hAnsi="宋体" w:eastAsia="仿宋_GB2312"/>
          <w:color w:val="auto"/>
          <w:sz w:val="24"/>
          <w:lang w:val="en-US" w:eastAsia="zh-CN"/>
        </w:rPr>
        <w:t>14448</w:t>
      </w:r>
      <w:r>
        <w:rPr>
          <w:rFonts w:hint="eastAsia" w:ascii="仿宋_GB2312" w:hAnsi="宋体" w:eastAsia="仿宋_GB2312"/>
          <w:color w:val="auto"/>
          <w:sz w:val="24"/>
        </w:rPr>
        <w:t>人，领取机关事业养老保险养老金人数2</w:t>
      </w:r>
      <w:r>
        <w:rPr>
          <w:rFonts w:hint="eastAsia" w:ascii="仿宋_GB2312" w:hAnsi="宋体" w:eastAsia="仿宋_GB2312"/>
          <w:color w:val="auto"/>
          <w:sz w:val="24"/>
          <w:lang w:val="en-US" w:eastAsia="zh-CN"/>
        </w:rPr>
        <w:t>381</w:t>
      </w:r>
      <w:r>
        <w:rPr>
          <w:rFonts w:hint="eastAsia" w:ascii="仿宋_GB2312" w:hAnsi="宋体" w:eastAsia="仿宋_GB2312"/>
          <w:color w:val="auto"/>
          <w:sz w:val="24"/>
        </w:rPr>
        <w:t>人，领取城乡居民基本养老保险养老金人数</w:t>
      </w:r>
      <w:r>
        <w:rPr>
          <w:rFonts w:hint="eastAsia" w:ascii="仿宋_GB2312" w:hAnsi="宋体" w:eastAsia="仿宋_GB2312"/>
          <w:color w:val="auto"/>
          <w:sz w:val="24"/>
          <w:lang w:val="en-US" w:eastAsia="zh-CN"/>
        </w:rPr>
        <w:t>14532</w:t>
      </w:r>
      <w:r>
        <w:rPr>
          <w:rFonts w:hint="eastAsia" w:ascii="仿宋_GB2312" w:hAnsi="宋体" w:eastAsia="仿宋_GB2312"/>
          <w:color w:val="auto"/>
          <w:sz w:val="24"/>
        </w:rPr>
        <w:t>人。</w:t>
      </w:r>
    </w:p>
    <w:p w14:paraId="44457A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宋体" w:eastAsia="黑体"/>
          <w:color w:val="auto"/>
          <w:sz w:val="24"/>
        </w:rPr>
      </w:pPr>
    </w:p>
    <w:p w14:paraId="47C093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黑体" w:hAnsi="黑体" w:eastAsia="黑体"/>
          <w:color w:val="auto"/>
          <w:sz w:val="24"/>
        </w:rPr>
      </w:pPr>
      <w:r>
        <w:rPr>
          <w:rFonts w:hint="eastAsia" w:ascii="黑体" w:hAnsi="黑体" w:eastAsia="黑体"/>
          <w:color w:val="auto"/>
          <w:sz w:val="24"/>
        </w:rPr>
        <w:t>十、</w:t>
      </w:r>
      <w:r>
        <w:rPr>
          <w:rFonts w:hint="eastAsia" w:ascii="黑体" w:hAnsi="黑体" w:eastAsia="黑体"/>
          <w:color w:val="auto"/>
          <w:sz w:val="24"/>
          <w:lang w:eastAsia="zh-CN"/>
        </w:rPr>
        <w:t>环境、</w:t>
      </w:r>
      <w:r>
        <w:rPr>
          <w:rFonts w:hint="eastAsia" w:ascii="黑体" w:hAnsi="黑体" w:eastAsia="黑体"/>
          <w:color w:val="auto"/>
          <w:sz w:val="24"/>
        </w:rPr>
        <w:t>安全生产和社会治安</w:t>
      </w:r>
    </w:p>
    <w:p w14:paraId="78EEB1D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hAnsi="宋体" w:eastAsia="仿宋_GB2312"/>
          <w:color w:val="auto"/>
          <w:sz w:val="24"/>
        </w:rPr>
      </w:pPr>
    </w:p>
    <w:p w14:paraId="4F6FC072">
      <w:pPr>
        <w:spacing w:line="460" w:lineRule="exact"/>
        <w:ind w:firstLine="480" w:firstLineChars="200"/>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全县拥有污水处理厂</w:t>
      </w:r>
      <w:r>
        <w:rPr>
          <w:rFonts w:hint="eastAsia" w:ascii="仿宋_GB2312" w:hAnsi="宋体" w:eastAsia="仿宋_GB2312"/>
          <w:color w:val="auto"/>
          <w:sz w:val="24"/>
          <w:lang w:val="en-US" w:eastAsia="zh-CN"/>
        </w:rPr>
        <w:t>1个，</w:t>
      </w:r>
      <w:r>
        <w:rPr>
          <w:rFonts w:hint="eastAsia" w:ascii="仿宋_GB2312" w:hAnsi="宋体" w:eastAsia="仿宋_GB2312"/>
          <w:color w:val="auto"/>
          <w:sz w:val="24"/>
        </w:rPr>
        <w:t>污水处理厂日处理能力达</w:t>
      </w:r>
      <w:r>
        <w:rPr>
          <w:rFonts w:hint="eastAsia" w:ascii="仿宋_GB2312" w:hAnsi="宋体" w:eastAsia="仿宋_GB2312"/>
          <w:color w:val="auto"/>
          <w:sz w:val="24"/>
          <w:lang w:val="en-US" w:eastAsia="zh-CN"/>
        </w:rPr>
        <w:t>0.8</w:t>
      </w:r>
      <w:r>
        <w:rPr>
          <w:rFonts w:hint="eastAsia" w:ascii="仿宋_GB2312" w:hAnsi="宋体" w:eastAsia="仿宋_GB2312"/>
          <w:color w:val="auto"/>
          <w:sz w:val="24"/>
        </w:rPr>
        <w:t>万立方米，污水处理率达到</w:t>
      </w:r>
      <w:r>
        <w:rPr>
          <w:rFonts w:hint="eastAsia" w:ascii="仿宋_GB2312" w:hAnsi="宋体" w:eastAsia="仿宋_GB2312"/>
          <w:color w:val="auto"/>
          <w:sz w:val="24"/>
          <w:lang w:val="en-US" w:eastAsia="zh-CN"/>
        </w:rPr>
        <w:t>95</w:t>
      </w:r>
      <w:r>
        <w:rPr>
          <w:rFonts w:hint="eastAsia" w:ascii="仿宋_GB2312" w:hAnsi="宋体" w:eastAsia="仿宋_GB2312"/>
          <w:color w:val="auto"/>
          <w:sz w:val="24"/>
        </w:rPr>
        <w:t>%。</w:t>
      </w:r>
    </w:p>
    <w:p w14:paraId="2DE82B0F">
      <w:pPr>
        <w:spacing w:line="4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全年发生各类生产安全事故死亡人数</w:t>
      </w:r>
      <w:r>
        <w:rPr>
          <w:rFonts w:hint="eastAsia" w:ascii="仿宋_GB2312" w:hAnsi="宋体" w:eastAsia="仿宋_GB2312"/>
          <w:color w:val="auto"/>
          <w:sz w:val="24"/>
          <w:lang w:val="en-US" w:eastAsia="zh-CN"/>
        </w:rPr>
        <w:t>2</w:t>
      </w:r>
      <w:r>
        <w:rPr>
          <w:rFonts w:hint="eastAsia" w:ascii="仿宋_GB2312" w:hAnsi="宋体" w:eastAsia="仿宋_GB2312"/>
          <w:color w:val="auto"/>
          <w:sz w:val="24"/>
        </w:rPr>
        <w:t>人</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其中工矿商贸事故死亡2人</w:t>
      </w:r>
      <w:r>
        <w:rPr>
          <w:rFonts w:hint="eastAsia" w:ascii="仿宋_GB2312" w:hAnsi="宋体" w:eastAsia="仿宋_GB2312"/>
          <w:color w:val="auto"/>
          <w:sz w:val="24"/>
        </w:rPr>
        <w:t>。全年道路交通事故发生</w:t>
      </w:r>
      <w:r>
        <w:rPr>
          <w:rFonts w:hint="eastAsia" w:ascii="仿宋_GB2312" w:hAnsi="宋体" w:eastAsia="仿宋_GB2312"/>
          <w:color w:val="auto"/>
          <w:sz w:val="24"/>
          <w:lang w:val="en-US" w:eastAsia="zh-CN"/>
        </w:rPr>
        <w:t>33</w:t>
      </w:r>
      <w:r>
        <w:rPr>
          <w:rFonts w:hint="eastAsia" w:ascii="仿宋_GB2312" w:hAnsi="宋体" w:eastAsia="仿宋_GB2312"/>
          <w:color w:val="auto"/>
          <w:sz w:val="24"/>
        </w:rPr>
        <w:t>件，交通事故死亡人数</w:t>
      </w:r>
      <w:r>
        <w:rPr>
          <w:rFonts w:hint="eastAsia" w:ascii="仿宋_GB2312" w:hAnsi="宋体" w:eastAsia="仿宋_GB2312"/>
          <w:color w:val="auto"/>
          <w:sz w:val="24"/>
          <w:lang w:val="en-US" w:eastAsia="zh-CN"/>
        </w:rPr>
        <w:t>6</w:t>
      </w:r>
      <w:r>
        <w:rPr>
          <w:rFonts w:hint="eastAsia" w:ascii="仿宋_GB2312" w:hAnsi="宋体" w:eastAsia="仿宋_GB2312"/>
          <w:color w:val="auto"/>
          <w:sz w:val="24"/>
        </w:rPr>
        <w:t>人，</w:t>
      </w:r>
      <w:r>
        <w:rPr>
          <w:rFonts w:hint="eastAsia" w:ascii="仿宋_GB2312" w:hAnsi="宋体" w:eastAsia="仿宋_GB2312"/>
          <w:color w:val="auto"/>
          <w:sz w:val="24"/>
          <w:lang w:eastAsia="zh-CN"/>
        </w:rPr>
        <w:t>交通事故</w:t>
      </w:r>
      <w:r>
        <w:rPr>
          <w:rFonts w:hint="eastAsia" w:ascii="仿宋_GB2312" w:hAnsi="宋体" w:eastAsia="仿宋_GB2312"/>
          <w:color w:val="auto"/>
          <w:sz w:val="24"/>
        </w:rPr>
        <w:t>损失额为</w:t>
      </w:r>
      <w:r>
        <w:rPr>
          <w:rFonts w:hint="eastAsia" w:ascii="仿宋_GB2312" w:hAnsi="宋体" w:eastAsia="仿宋_GB2312"/>
          <w:color w:val="auto"/>
          <w:sz w:val="24"/>
          <w:lang w:val="en-US" w:eastAsia="zh-CN"/>
        </w:rPr>
        <w:t>24.2</w:t>
      </w:r>
      <w:r>
        <w:rPr>
          <w:rFonts w:hint="eastAsia" w:ascii="仿宋_GB2312" w:hAnsi="宋体" w:eastAsia="仿宋_GB2312"/>
          <w:color w:val="auto"/>
          <w:sz w:val="24"/>
        </w:rPr>
        <w:t>万元；按简易程序处理交通事故数</w:t>
      </w:r>
      <w:r>
        <w:rPr>
          <w:rFonts w:hint="eastAsia" w:ascii="仿宋_GB2312" w:hAnsi="宋体" w:eastAsia="仿宋_GB2312"/>
          <w:color w:val="auto"/>
          <w:sz w:val="24"/>
          <w:lang w:val="en-US" w:eastAsia="zh-CN"/>
        </w:rPr>
        <w:t>1175</w:t>
      </w:r>
      <w:r>
        <w:rPr>
          <w:rFonts w:hint="eastAsia" w:ascii="仿宋_GB2312" w:hAnsi="宋体" w:eastAsia="仿宋_GB2312"/>
          <w:color w:val="auto"/>
          <w:sz w:val="24"/>
        </w:rPr>
        <w:t>件。全年火灾事故发生</w:t>
      </w:r>
      <w:r>
        <w:rPr>
          <w:rFonts w:hint="eastAsia" w:ascii="仿宋_GB2312" w:hAnsi="宋体" w:eastAsia="仿宋_GB2312"/>
          <w:color w:val="auto"/>
          <w:sz w:val="24"/>
          <w:lang w:val="en-US" w:eastAsia="zh-CN"/>
        </w:rPr>
        <w:t>59</w:t>
      </w:r>
      <w:r>
        <w:rPr>
          <w:rFonts w:hint="eastAsia" w:ascii="仿宋_GB2312" w:hAnsi="宋体" w:eastAsia="仿宋_GB2312"/>
          <w:color w:val="auto"/>
          <w:sz w:val="24"/>
        </w:rPr>
        <w:t>起，经济损失</w:t>
      </w:r>
      <w:r>
        <w:rPr>
          <w:rFonts w:hint="eastAsia" w:ascii="仿宋_GB2312" w:hAnsi="宋体" w:eastAsia="仿宋_GB2312"/>
          <w:color w:val="auto"/>
          <w:sz w:val="24"/>
          <w:lang w:val="en-US" w:eastAsia="zh-CN"/>
        </w:rPr>
        <w:t>15.44</w:t>
      </w:r>
      <w:r>
        <w:rPr>
          <w:rFonts w:hint="eastAsia" w:ascii="仿宋_GB2312" w:hAnsi="宋体" w:eastAsia="仿宋_GB2312"/>
          <w:color w:val="auto"/>
          <w:sz w:val="24"/>
        </w:rPr>
        <w:t>万元，无伤亡人员。</w:t>
      </w:r>
    </w:p>
    <w:p w14:paraId="18CB22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黑体" w:hAnsi="宋体" w:eastAsia="黑体"/>
          <w:color w:val="auto"/>
          <w:sz w:val="24"/>
        </w:rPr>
      </w:pPr>
    </w:p>
    <w:p w14:paraId="10204C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黑体" w:hAnsi="宋体" w:eastAsia="黑体"/>
          <w:color w:val="auto"/>
          <w:sz w:val="24"/>
        </w:rPr>
      </w:pPr>
      <w:r>
        <w:rPr>
          <w:rFonts w:hint="eastAsia" w:ascii="黑体" w:hAnsi="宋体" w:eastAsia="黑体"/>
          <w:color w:val="auto"/>
          <w:sz w:val="24"/>
        </w:rPr>
        <w:t>十</w:t>
      </w:r>
      <w:r>
        <w:rPr>
          <w:rFonts w:hint="eastAsia" w:ascii="黑体" w:hAnsi="宋体" w:eastAsia="黑体"/>
          <w:color w:val="auto"/>
          <w:sz w:val="24"/>
          <w:lang w:eastAsia="zh-CN"/>
        </w:rPr>
        <w:t>一</w:t>
      </w:r>
      <w:r>
        <w:rPr>
          <w:rFonts w:hint="eastAsia" w:ascii="黑体" w:hAnsi="宋体" w:eastAsia="黑体"/>
          <w:color w:val="auto"/>
          <w:sz w:val="24"/>
        </w:rPr>
        <w:t>、气  象</w:t>
      </w:r>
    </w:p>
    <w:p w14:paraId="3D90C19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仿宋_GB2312" w:hAnsi="宋体" w:eastAsia="仿宋_GB2312"/>
          <w:color w:val="auto"/>
          <w:sz w:val="24"/>
        </w:rPr>
      </w:pPr>
    </w:p>
    <w:p w14:paraId="2E52D10E">
      <w:pPr>
        <w:spacing w:line="4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全县城区年平均气温</w:t>
      </w:r>
      <w:r>
        <w:rPr>
          <w:rFonts w:hint="eastAsia" w:ascii="仿宋_GB2312" w:hAnsi="宋体" w:eastAsia="仿宋_GB2312"/>
          <w:color w:val="auto"/>
          <w:sz w:val="24"/>
          <w:lang w:val="en-US" w:eastAsia="zh-CN"/>
        </w:rPr>
        <w:t>18.0</w:t>
      </w:r>
      <w:r>
        <w:rPr>
          <w:rFonts w:hint="eastAsia" w:ascii="仿宋_GB2312" w:hAnsi="宋体" w:eastAsia="仿宋_GB2312"/>
          <w:color w:val="auto"/>
          <w:sz w:val="24"/>
        </w:rPr>
        <w:t>℃</w:t>
      </w:r>
      <w:r>
        <w:rPr>
          <w:rFonts w:hint="eastAsia" w:ascii="仿宋_GB2312" w:hAnsi="宋体" w:eastAsia="仿宋_GB2312"/>
          <w:color w:val="auto"/>
          <w:sz w:val="24"/>
          <w:lang w:eastAsia="zh-CN"/>
        </w:rPr>
        <w:t>；年极端最高气温</w:t>
      </w:r>
      <w:r>
        <w:rPr>
          <w:rFonts w:hint="eastAsia" w:ascii="仿宋_GB2312" w:hAnsi="宋体" w:eastAsia="仿宋_GB2312"/>
          <w:color w:val="auto"/>
          <w:sz w:val="24"/>
          <w:lang w:val="en-US" w:eastAsia="zh-CN"/>
        </w:rPr>
        <w:t>39.8</w:t>
      </w:r>
      <w:r>
        <w:rPr>
          <w:rFonts w:hint="eastAsia" w:ascii="仿宋_GB2312" w:hAnsi="宋体" w:eastAsia="仿宋_GB2312"/>
          <w:color w:val="auto"/>
          <w:sz w:val="24"/>
        </w:rPr>
        <w:t>℃。降</w:t>
      </w:r>
      <w:r>
        <w:rPr>
          <w:rFonts w:hint="eastAsia" w:ascii="仿宋_GB2312" w:hAnsi="宋体" w:eastAsia="仿宋_GB2312"/>
          <w:color w:val="auto"/>
          <w:sz w:val="24"/>
          <w:lang w:eastAsia="zh-CN"/>
        </w:rPr>
        <w:t>水</w:t>
      </w:r>
      <w:r>
        <w:rPr>
          <w:rFonts w:hint="eastAsia" w:ascii="仿宋_GB2312" w:hAnsi="宋体" w:eastAsia="仿宋_GB2312"/>
          <w:color w:val="auto"/>
          <w:sz w:val="24"/>
        </w:rPr>
        <w:t>量</w:t>
      </w:r>
      <w:r>
        <w:rPr>
          <w:rFonts w:hint="eastAsia" w:ascii="仿宋_GB2312" w:hAnsi="宋体" w:eastAsia="仿宋_GB2312"/>
          <w:color w:val="auto"/>
          <w:sz w:val="24"/>
          <w:lang w:val="en-US" w:eastAsia="zh-CN"/>
        </w:rPr>
        <w:t>721.2</w:t>
      </w:r>
      <w:r>
        <w:rPr>
          <w:rFonts w:hint="eastAsia" w:ascii="仿宋_GB2312" w:hAnsi="宋体" w:eastAsia="仿宋_GB2312"/>
          <w:color w:val="auto"/>
          <w:sz w:val="24"/>
        </w:rPr>
        <w:t>毫米</w:t>
      </w:r>
      <w:r>
        <w:rPr>
          <w:rFonts w:hint="eastAsia" w:ascii="仿宋_GB2312" w:hAnsi="宋体" w:eastAsia="仿宋_GB2312"/>
          <w:color w:val="auto"/>
          <w:sz w:val="24"/>
          <w:lang w:eastAsia="zh-CN"/>
        </w:rPr>
        <w:t>；年一日最大降水量</w:t>
      </w:r>
      <w:r>
        <w:rPr>
          <w:rFonts w:hint="eastAsia" w:ascii="仿宋_GB2312" w:hAnsi="宋体" w:eastAsia="仿宋_GB2312"/>
          <w:color w:val="auto"/>
          <w:sz w:val="24"/>
          <w:lang w:val="en-US" w:eastAsia="zh-CN"/>
        </w:rPr>
        <w:t>43.9</w:t>
      </w:r>
      <w:r>
        <w:rPr>
          <w:rFonts w:hint="eastAsia" w:ascii="仿宋_GB2312" w:hAnsi="宋体" w:eastAsia="仿宋_GB2312"/>
          <w:color w:val="auto"/>
          <w:sz w:val="24"/>
          <w:lang w:eastAsia="zh-CN"/>
        </w:rPr>
        <w:t>毫米</w:t>
      </w:r>
      <w:r>
        <w:rPr>
          <w:rFonts w:hint="eastAsia" w:ascii="仿宋_GB2312" w:hAnsi="宋体" w:eastAsia="仿宋_GB2312"/>
          <w:color w:val="auto"/>
          <w:sz w:val="24"/>
        </w:rPr>
        <w:t>。</w:t>
      </w:r>
    </w:p>
    <w:p w14:paraId="1899A1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_GB2312" w:hAnsi="宋体" w:eastAsia="仿宋_GB2312"/>
          <w:color w:val="auto"/>
          <w:sz w:val="24"/>
        </w:rPr>
      </w:pPr>
      <w:r>
        <w:rPr>
          <w:rFonts w:ascii="仿宋_GB2312" w:hAnsi="宋体" w:eastAsia="仿宋_GB2312"/>
          <w:color w:val="auto"/>
          <w:sz w:val="24"/>
        </w:rPr>
        <w:br w:type="textWrapping"/>
      </w:r>
    </w:p>
    <w:p w14:paraId="3770AF77">
      <w:pPr>
        <w:widowControl/>
        <w:shd w:val="clear" w:color="auto" w:fill="FFFFFF"/>
        <w:spacing w:line="420" w:lineRule="exact"/>
        <w:ind w:firstLine="420" w:firstLineChars="200"/>
        <w:rPr>
          <w:rFonts w:eastAsia="方正仿宋简体"/>
          <w:b/>
          <w:bCs/>
          <w:color w:val="auto"/>
          <w:szCs w:val="21"/>
        </w:rPr>
      </w:pPr>
      <w:r>
        <w:rPr>
          <w:rFonts w:hint="eastAsia" w:eastAsia="方正仿宋简体"/>
          <w:b/>
          <w:bCs/>
          <w:color w:val="auto"/>
          <w:szCs w:val="21"/>
        </w:rPr>
        <w:t>注：</w:t>
      </w:r>
    </w:p>
    <w:p w14:paraId="6535E953">
      <w:pPr>
        <w:spacing w:line="300" w:lineRule="exact"/>
        <w:ind w:firstLine="42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lang w:eastAsia="zh-CN"/>
        </w:rPr>
        <w:t>1.</w:t>
      </w:r>
      <w:r>
        <w:rPr>
          <w:rFonts w:hint="eastAsia" w:ascii="方正仿宋_GBK" w:hAnsi="方正仿宋_GBK" w:eastAsia="方正仿宋_GBK" w:cs="方正仿宋_GBK"/>
          <w:color w:val="auto"/>
        </w:rPr>
        <w:t>本公报中数据均为初步统计数，正式数据以《</w:t>
      </w:r>
      <w:r>
        <w:rPr>
          <w:rFonts w:hint="eastAsia" w:ascii="方正仿宋_GBK" w:hAnsi="方正仿宋_GBK" w:eastAsia="方正仿宋_GBK" w:cs="方正仿宋_GBK"/>
          <w:color w:val="auto"/>
          <w:lang w:eastAsia="zh-CN"/>
        </w:rPr>
        <w:t>峨边</w:t>
      </w:r>
      <w:r>
        <w:rPr>
          <w:rFonts w:hint="eastAsia" w:ascii="方正仿宋_GBK" w:hAnsi="方正仿宋_GBK" w:eastAsia="方正仿宋_GBK" w:cs="方正仿宋_GBK"/>
          <w:color w:val="auto"/>
        </w:rPr>
        <w:t>统计年鉴—202</w:t>
      </w:r>
      <w:r>
        <w:rPr>
          <w:rFonts w:hint="eastAsia" w:ascii="方正仿宋_GBK" w:hAnsi="方正仿宋_GBK" w:eastAsia="方正仿宋_GBK" w:cs="方正仿宋_GBK"/>
          <w:color w:val="auto"/>
          <w:lang w:val="en-US" w:eastAsia="zh-CN"/>
        </w:rPr>
        <w:t>6</w:t>
      </w:r>
      <w:r>
        <w:rPr>
          <w:rFonts w:hint="eastAsia" w:ascii="方正仿宋_GBK" w:hAnsi="方正仿宋_GBK" w:eastAsia="方正仿宋_GBK" w:cs="方正仿宋_GBK"/>
          <w:color w:val="auto"/>
        </w:rPr>
        <w:t>》为准。部分数据因四舍五入的原因，存在着总计与分项合计不等的情况。</w:t>
      </w:r>
    </w:p>
    <w:p w14:paraId="74C3C23E">
      <w:pPr>
        <w:spacing w:line="300" w:lineRule="exact"/>
        <w:ind w:firstLine="42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lang w:eastAsia="zh-CN"/>
        </w:rPr>
        <w:t>2.</w:t>
      </w:r>
      <w:r>
        <w:rPr>
          <w:rFonts w:hint="eastAsia" w:ascii="方正仿宋_GBK" w:hAnsi="方正仿宋_GBK" w:eastAsia="方正仿宋_GBK" w:cs="方正仿宋_GBK"/>
          <w:color w:val="auto"/>
        </w:rPr>
        <w:t>公报中地区生产总值、各产业增加值绝对数按当年价格计算，增长速度按可比价格计算。地区生产总值核算执行国家统计局新的《国民经济行业分类》和《三次产业划分规定》，即第一产业是指农、林、牧、渔业（不含农、林、牧、渔服务业）；第二产业是指工业（不含开采辅助活动，金属制品、机械和设备修理业）和建筑业；第三产业即服务业，是指除第一产业、第二产业以外的其他行业。</w:t>
      </w:r>
    </w:p>
    <w:p w14:paraId="518C75AA">
      <w:pPr>
        <w:spacing w:line="300" w:lineRule="exact"/>
        <w:ind w:firstLine="42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lang w:eastAsia="zh-CN"/>
        </w:rPr>
        <w:t>3.</w:t>
      </w:r>
      <w:r>
        <w:rPr>
          <w:rFonts w:hint="eastAsia" w:ascii="方正仿宋_GBK" w:hAnsi="方正仿宋_GBK" w:eastAsia="方正仿宋_GBK" w:cs="方正仿宋_GBK"/>
          <w:color w:val="auto"/>
        </w:rPr>
        <w:t>由于2020年四川省乡镇行政区划调整和村级建制调整后，全省城乡属性和统计口径发生了较大变化，2023年四川各市县居民收支数据按城乡属性变化后的新口径进行核算，并按可比口径计算与上年同比增幅，居民人均可支配收入等相关指标只公布增速情况。</w:t>
      </w:r>
    </w:p>
    <w:p w14:paraId="2C874D43">
      <w:pPr>
        <w:spacing w:line="300" w:lineRule="exact"/>
        <w:ind w:firstLine="420" w:firstLineChars="20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lang w:eastAsia="zh-CN"/>
        </w:rPr>
        <w:t>4.</w:t>
      </w:r>
      <w:r>
        <w:rPr>
          <w:rFonts w:hint="eastAsia" w:ascii="方正仿宋_GBK" w:hAnsi="方正仿宋_GBK" w:eastAsia="方正仿宋_GBK" w:cs="方正仿宋_GBK"/>
          <w:color w:val="auto"/>
        </w:rPr>
        <w:t>一般公共预算总收入、地方一般公共预算收入、税收收入</w:t>
      </w:r>
      <w:r>
        <w:rPr>
          <w:rFonts w:hint="eastAsia" w:ascii="方正仿宋_GBK" w:hAnsi="方正仿宋_GBK" w:eastAsia="方正仿宋_GBK" w:cs="方正仿宋_GBK"/>
          <w:color w:val="auto"/>
          <w:lang w:eastAsia="zh-CN"/>
        </w:rPr>
        <w:t>，以及</w:t>
      </w:r>
      <w:r>
        <w:rPr>
          <w:rFonts w:hint="eastAsia" w:ascii="方正仿宋_GBK" w:hAnsi="方正仿宋_GBK" w:eastAsia="方正仿宋_GBK" w:cs="方正仿宋_GBK"/>
          <w:color w:val="auto"/>
        </w:rPr>
        <w:t>一般公共预算支出等增速均为同口径增长。</w:t>
      </w:r>
    </w:p>
    <w:p w14:paraId="3396ABB3">
      <w:pPr>
        <w:spacing w:line="300" w:lineRule="exact"/>
        <w:ind w:firstLine="420" w:firstLineChars="200"/>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eastAsia="zh-CN"/>
        </w:rPr>
        <w:t>5.</w:t>
      </w:r>
      <w:r>
        <w:rPr>
          <w:rFonts w:hint="eastAsia" w:ascii="方正仿宋_GBK" w:hAnsi="方正仿宋_GBK" w:eastAsia="方正仿宋_GBK" w:cs="方正仿宋_GBK"/>
          <w:color w:val="auto"/>
        </w:rPr>
        <w:t>公报中就业、林业、水利、渔业、对外贸易、交通运输、邮政、电信、旅游、财政、金融、保险、教育、科技、文化、卫生、体育、户籍人口、社会服务、社会保障、环境保护、安全生产、交通事故、消防等数据来源于相关部门。</w:t>
      </w:r>
    </w:p>
    <w:sectPr>
      <w:footerReference r:id="rId3" w:type="default"/>
      <w:footerReference r:id="rId4" w:type="even"/>
      <w:pgSz w:w="11906" w:h="16838"/>
      <w:pgMar w:top="1247" w:right="1134" w:bottom="1247" w:left="1134" w:header="851" w:footer="1020" w:gutter="0"/>
      <w:pgBorders>
        <w:top w:val="none" w:sz="0" w:space="0"/>
        <w:left w:val="none" w:sz="0" w:space="0"/>
        <w:bottom w:val="none" w:sz="0" w:space="0"/>
        <w:right w:val="none" w:sz="0" w:space="0"/>
      </w:pgBorders>
      <w:pgNumType w:fmt="numberInDash"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uli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D763C">
    <w:pPr>
      <w:pStyle w:val="4"/>
      <w:framePr w:wrap="around" w:vAnchor="text" w:hAnchor="margin" w:xAlign="outside" w:y="1"/>
      <w:rPr>
        <w:rStyle w:val="8"/>
        <w:rFonts w:ascii="仿宋_GB2312" w:eastAsia="仿宋_GB2312"/>
        <w:sz w:val="24"/>
        <w:szCs w:val="24"/>
      </w:rPr>
    </w:pPr>
    <w:r>
      <w:rPr>
        <w:rFonts w:hint="eastAsia" w:ascii="仿宋_GB2312" w:eastAsia="仿宋_GB2312"/>
        <w:sz w:val="24"/>
        <w:szCs w:val="24"/>
      </w:rPr>
      <w:fldChar w:fldCharType="begin"/>
    </w:r>
    <w:r>
      <w:rPr>
        <w:rStyle w:val="8"/>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8"/>
        <w:rFonts w:ascii="仿宋_GB2312" w:eastAsia="仿宋_GB2312"/>
        <w:sz w:val="24"/>
        <w:szCs w:val="24"/>
      </w:rPr>
      <w:t>- 17 -</w:t>
    </w:r>
    <w:r>
      <w:rPr>
        <w:rFonts w:hint="eastAsia" w:ascii="仿宋_GB2312" w:eastAsia="仿宋_GB2312"/>
        <w:sz w:val="24"/>
        <w:szCs w:val="24"/>
      </w:rPr>
      <w:fldChar w:fldCharType="end"/>
    </w:r>
  </w:p>
  <w:p w14:paraId="331DB3F8">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A5A1C">
    <w:pPr>
      <w:pStyle w:val="4"/>
      <w:framePr w:wrap="around" w:vAnchor="text" w:hAnchor="margin" w:xAlign="outside" w:y="1"/>
      <w:rPr>
        <w:rStyle w:val="8"/>
      </w:rPr>
    </w:pPr>
    <w:r>
      <w:fldChar w:fldCharType="begin"/>
    </w:r>
    <w:r>
      <w:rPr>
        <w:rStyle w:val="8"/>
      </w:rPr>
      <w:instrText xml:space="preserve">PAGE  </w:instrText>
    </w:r>
    <w:r>
      <w:fldChar w:fldCharType="end"/>
    </w:r>
  </w:p>
  <w:p w14:paraId="3385D948">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xMDNhOGRmNmI1YjQyYmI2MzQwZDEyYzI4YTQ2YzAifQ=="/>
  </w:docVars>
  <w:rsids>
    <w:rsidRoot w:val="58767E97"/>
    <w:rsid w:val="0000052A"/>
    <w:rsid w:val="000504C0"/>
    <w:rsid w:val="00083A0F"/>
    <w:rsid w:val="000D22D6"/>
    <w:rsid w:val="0011008A"/>
    <w:rsid w:val="001256E9"/>
    <w:rsid w:val="0012662D"/>
    <w:rsid w:val="001D1CE4"/>
    <w:rsid w:val="001D662B"/>
    <w:rsid w:val="001E154A"/>
    <w:rsid w:val="001F4282"/>
    <w:rsid w:val="00245C85"/>
    <w:rsid w:val="002769FD"/>
    <w:rsid w:val="002C311C"/>
    <w:rsid w:val="003023D9"/>
    <w:rsid w:val="00310247"/>
    <w:rsid w:val="00323DBB"/>
    <w:rsid w:val="003468EB"/>
    <w:rsid w:val="003637A7"/>
    <w:rsid w:val="003A3664"/>
    <w:rsid w:val="004613B7"/>
    <w:rsid w:val="00481479"/>
    <w:rsid w:val="00485DAB"/>
    <w:rsid w:val="00490B56"/>
    <w:rsid w:val="005953A7"/>
    <w:rsid w:val="005B563A"/>
    <w:rsid w:val="005D2619"/>
    <w:rsid w:val="005F56E7"/>
    <w:rsid w:val="00612A2F"/>
    <w:rsid w:val="00634E5A"/>
    <w:rsid w:val="00646E21"/>
    <w:rsid w:val="00661DEF"/>
    <w:rsid w:val="00664804"/>
    <w:rsid w:val="006F21DF"/>
    <w:rsid w:val="007345C9"/>
    <w:rsid w:val="00735927"/>
    <w:rsid w:val="0073667F"/>
    <w:rsid w:val="00746DFB"/>
    <w:rsid w:val="00763A70"/>
    <w:rsid w:val="007826FE"/>
    <w:rsid w:val="007972E9"/>
    <w:rsid w:val="007A449F"/>
    <w:rsid w:val="007B03A3"/>
    <w:rsid w:val="007C2850"/>
    <w:rsid w:val="00824583"/>
    <w:rsid w:val="0083665C"/>
    <w:rsid w:val="00844FFC"/>
    <w:rsid w:val="008D7DCC"/>
    <w:rsid w:val="00912408"/>
    <w:rsid w:val="00925861"/>
    <w:rsid w:val="009328ED"/>
    <w:rsid w:val="0095078D"/>
    <w:rsid w:val="00951E83"/>
    <w:rsid w:val="00991E73"/>
    <w:rsid w:val="009C30FA"/>
    <w:rsid w:val="00A13058"/>
    <w:rsid w:val="00A14529"/>
    <w:rsid w:val="00A40B6D"/>
    <w:rsid w:val="00A64CD5"/>
    <w:rsid w:val="00AB0ECF"/>
    <w:rsid w:val="00B01467"/>
    <w:rsid w:val="00B24821"/>
    <w:rsid w:val="00BB7AD8"/>
    <w:rsid w:val="00BE735F"/>
    <w:rsid w:val="00BF76ED"/>
    <w:rsid w:val="00C122F2"/>
    <w:rsid w:val="00C56AAE"/>
    <w:rsid w:val="00C77181"/>
    <w:rsid w:val="00CA60A5"/>
    <w:rsid w:val="00CB5B5E"/>
    <w:rsid w:val="00CB7220"/>
    <w:rsid w:val="00CD2E59"/>
    <w:rsid w:val="00D07A76"/>
    <w:rsid w:val="00D31F2F"/>
    <w:rsid w:val="00D348C5"/>
    <w:rsid w:val="00D61927"/>
    <w:rsid w:val="00D71C77"/>
    <w:rsid w:val="00DC2DE8"/>
    <w:rsid w:val="00DC396D"/>
    <w:rsid w:val="00DD55BE"/>
    <w:rsid w:val="00DE7AA9"/>
    <w:rsid w:val="00E143F8"/>
    <w:rsid w:val="00E14E9D"/>
    <w:rsid w:val="00E55F84"/>
    <w:rsid w:val="00F10DC9"/>
    <w:rsid w:val="00F407B1"/>
    <w:rsid w:val="00F51C7E"/>
    <w:rsid w:val="00F56180"/>
    <w:rsid w:val="00F96A74"/>
    <w:rsid w:val="00FB54A8"/>
    <w:rsid w:val="00FE0576"/>
    <w:rsid w:val="00FE5B01"/>
    <w:rsid w:val="00FE7571"/>
    <w:rsid w:val="00FF7392"/>
    <w:rsid w:val="01BA499C"/>
    <w:rsid w:val="02205A33"/>
    <w:rsid w:val="02963DFC"/>
    <w:rsid w:val="02BC2386"/>
    <w:rsid w:val="031A67DB"/>
    <w:rsid w:val="04EE2A8A"/>
    <w:rsid w:val="057C6B88"/>
    <w:rsid w:val="06A2528B"/>
    <w:rsid w:val="077A1FE9"/>
    <w:rsid w:val="07B94814"/>
    <w:rsid w:val="07F1288A"/>
    <w:rsid w:val="085D4A47"/>
    <w:rsid w:val="086E1AA3"/>
    <w:rsid w:val="0AAF4A50"/>
    <w:rsid w:val="0BE60D08"/>
    <w:rsid w:val="0D2109A6"/>
    <w:rsid w:val="0D270B38"/>
    <w:rsid w:val="0E404E0B"/>
    <w:rsid w:val="0EBF657F"/>
    <w:rsid w:val="0EC046DA"/>
    <w:rsid w:val="0F130A0E"/>
    <w:rsid w:val="0F9E5814"/>
    <w:rsid w:val="10EC0814"/>
    <w:rsid w:val="150A0467"/>
    <w:rsid w:val="157F004A"/>
    <w:rsid w:val="158E371E"/>
    <w:rsid w:val="162C08A7"/>
    <w:rsid w:val="17127A9D"/>
    <w:rsid w:val="175B1444"/>
    <w:rsid w:val="179853E5"/>
    <w:rsid w:val="183E09C1"/>
    <w:rsid w:val="184E7628"/>
    <w:rsid w:val="18F13E8A"/>
    <w:rsid w:val="19884571"/>
    <w:rsid w:val="1A073B05"/>
    <w:rsid w:val="1B14388D"/>
    <w:rsid w:val="1B6E4200"/>
    <w:rsid w:val="1BDB29B0"/>
    <w:rsid w:val="1D291FE4"/>
    <w:rsid w:val="1D294F83"/>
    <w:rsid w:val="1D862B35"/>
    <w:rsid w:val="1E261E63"/>
    <w:rsid w:val="1E4333E4"/>
    <w:rsid w:val="1EB53B30"/>
    <w:rsid w:val="20355B77"/>
    <w:rsid w:val="218E0DF4"/>
    <w:rsid w:val="21D00C81"/>
    <w:rsid w:val="21EA1E51"/>
    <w:rsid w:val="21F11323"/>
    <w:rsid w:val="222F561A"/>
    <w:rsid w:val="24945F95"/>
    <w:rsid w:val="249B5576"/>
    <w:rsid w:val="2524202E"/>
    <w:rsid w:val="2775AB52"/>
    <w:rsid w:val="28060C67"/>
    <w:rsid w:val="28165840"/>
    <w:rsid w:val="291D326E"/>
    <w:rsid w:val="29563CD4"/>
    <w:rsid w:val="29982F58"/>
    <w:rsid w:val="29BA6DBC"/>
    <w:rsid w:val="29CA6DBE"/>
    <w:rsid w:val="2A993C9F"/>
    <w:rsid w:val="2BB5EB13"/>
    <w:rsid w:val="2C0653BC"/>
    <w:rsid w:val="2C581C45"/>
    <w:rsid w:val="2C90798A"/>
    <w:rsid w:val="2EEC5BEF"/>
    <w:rsid w:val="2F6E60F4"/>
    <w:rsid w:val="2FF808E1"/>
    <w:rsid w:val="30503164"/>
    <w:rsid w:val="30D15355"/>
    <w:rsid w:val="31371F49"/>
    <w:rsid w:val="320B5799"/>
    <w:rsid w:val="326E42CA"/>
    <w:rsid w:val="32F12805"/>
    <w:rsid w:val="333C20A8"/>
    <w:rsid w:val="34784F8C"/>
    <w:rsid w:val="34E05800"/>
    <w:rsid w:val="35176B18"/>
    <w:rsid w:val="35745064"/>
    <w:rsid w:val="35C10660"/>
    <w:rsid w:val="36A57DB3"/>
    <w:rsid w:val="36CF443F"/>
    <w:rsid w:val="36F66123"/>
    <w:rsid w:val="376A3655"/>
    <w:rsid w:val="377C3BA1"/>
    <w:rsid w:val="389B749B"/>
    <w:rsid w:val="39BF70C4"/>
    <w:rsid w:val="3BB844ED"/>
    <w:rsid w:val="3BBA799B"/>
    <w:rsid w:val="3BFE70AB"/>
    <w:rsid w:val="3C79623F"/>
    <w:rsid w:val="3D6F27E5"/>
    <w:rsid w:val="3DB427FF"/>
    <w:rsid w:val="3DDE6EF4"/>
    <w:rsid w:val="3DF75039"/>
    <w:rsid w:val="3DFE6C82"/>
    <w:rsid w:val="3E3E2859"/>
    <w:rsid w:val="3E7FDBFF"/>
    <w:rsid w:val="3F245544"/>
    <w:rsid w:val="3F76D383"/>
    <w:rsid w:val="3F7F7B3B"/>
    <w:rsid w:val="3FF10940"/>
    <w:rsid w:val="3FFF7871"/>
    <w:rsid w:val="40830BFA"/>
    <w:rsid w:val="40D923BC"/>
    <w:rsid w:val="412344D1"/>
    <w:rsid w:val="417B7B31"/>
    <w:rsid w:val="429B6925"/>
    <w:rsid w:val="437B18E6"/>
    <w:rsid w:val="445C40CF"/>
    <w:rsid w:val="449D6899"/>
    <w:rsid w:val="45B147A1"/>
    <w:rsid w:val="46AA452D"/>
    <w:rsid w:val="477A0BC3"/>
    <w:rsid w:val="47B61C55"/>
    <w:rsid w:val="47CA3381"/>
    <w:rsid w:val="48417FD3"/>
    <w:rsid w:val="48AD115E"/>
    <w:rsid w:val="499C35AD"/>
    <w:rsid w:val="4A3A1151"/>
    <w:rsid w:val="4A9138D3"/>
    <w:rsid w:val="4AFD248E"/>
    <w:rsid w:val="4B0A4FD7"/>
    <w:rsid w:val="4B7C13AE"/>
    <w:rsid w:val="4BE11CFB"/>
    <w:rsid w:val="4C444F8F"/>
    <w:rsid w:val="4C4F35BC"/>
    <w:rsid w:val="4CEC79C8"/>
    <w:rsid w:val="4E6677DF"/>
    <w:rsid w:val="4F7E2A97"/>
    <w:rsid w:val="4FFB22D4"/>
    <w:rsid w:val="50E00FDD"/>
    <w:rsid w:val="513242BC"/>
    <w:rsid w:val="514A5124"/>
    <w:rsid w:val="51B0407A"/>
    <w:rsid w:val="525953CC"/>
    <w:rsid w:val="527821A3"/>
    <w:rsid w:val="531A366F"/>
    <w:rsid w:val="54271B2A"/>
    <w:rsid w:val="54FC4420"/>
    <w:rsid w:val="56AC6320"/>
    <w:rsid w:val="56E101E0"/>
    <w:rsid w:val="577722F1"/>
    <w:rsid w:val="57B8232A"/>
    <w:rsid w:val="58767E97"/>
    <w:rsid w:val="58866860"/>
    <w:rsid w:val="59AA31B9"/>
    <w:rsid w:val="5BA57E56"/>
    <w:rsid w:val="5BCE57BB"/>
    <w:rsid w:val="5BE329E4"/>
    <w:rsid w:val="5BF73AB3"/>
    <w:rsid w:val="5BF7667E"/>
    <w:rsid w:val="5C3929A3"/>
    <w:rsid w:val="5EBDC9B3"/>
    <w:rsid w:val="5F8B5C0B"/>
    <w:rsid w:val="60D31CE7"/>
    <w:rsid w:val="61A01CCC"/>
    <w:rsid w:val="61AF3E33"/>
    <w:rsid w:val="623D53F4"/>
    <w:rsid w:val="623E1D6F"/>
    <w:rsid w:val="626F711E"/>
    <w:rsid w:val="62844791"/>
    <w:rsid w:val="62DC1E12"/>
    <w:rsid w:val="633E3F0B"/>
    <w:rsid w:val="64CD0817"/>
    <w:rsid w:val="654F7F9F"/>
    <w:rsid w:val="65E12D35"/>
    <w:rsid w:val="66864B2E"/>
    <w:rsid w:val="67D41E9B"/>
    <w:rsid w:val="67F81964"/>
    <w:rsid w:val="689C77D8"/>
    <w:rsid w:val="68DF66B8"/>
    <w:rsid w:val="690B7A11"/>
    <w:rsid w:val="69DC778F"/>
    <w:rsid w:val="6A6055B4"/>
    <w:rsid w:val="6A7F4CAA"/>
    <w:rsid w:val="6AF1386A"/>
    <w:rsid w:val="6B6A2B79"/>
    <w:rsid w:val="6B8B3C07"/>
    <w:rsid w:val="6BEE407F"/>
    <w:rsid w:val="6BFFB4A0"/>
    <w:rsid w:val="6C2A366A"/>
    <w:rsid w:val="6CF01EDF"/>
    <w:rsid w:val="6E606686"/>
    <w:rsid w:val="6ECC2E76"/>
    <w:rsid w:val="6EE4639C"/>
    <w:rsid w:val="6FAFBBD7"/>
    <w:rsid w:val="6FED1E35"/>
    <w:rsid w:val="6FF1412A"/>
    <w:rsid w:val="6FFA88ED"/>
    <w:rsid w:val="719267E4"/>
    <w:rsid w:val="739FA48E"/>
    <w:rsid w:val="7404130E"/>
    <w:rsid w:val="74344DEB"/>
    <w:rsid w:val="74470E83"/>
    <w:rsid w:val="74FF64AD"/>
    <w:rsid w:val="7670027B"/>
    <w:rsid w:val="7735D1A2"/>
    <w:rsid w:val="776D03E6"/>
    <w:rsid w:val="77C9A53E"/>
    <w:rsid w:val="77FDF3C6"/>
    <w:rsid w:val="781B346C"/>
    <w:rsid w:val="785E790A"/>
    <w:rsid w:val="78DE7320"/>
    <w:rsid w:val="79151218"/>
    <w:rsid w:val="7A4211AE"/>
    <w:rsid w:val="7A995F78"/>
    <w:rsid w:val="7AA1219B"/>
    <w:rsid w:val="7BFE4E0A"/>
    <w:rsid w:val="7C0B4DE9"/>
    <w:rsid w:val="7CC754A6"/>
    <w:rsid w:val="7D94457C"/>
    <w:rsid w:val="7DA5021A"/>
    <w:rsid w:val="7E1846B6"/>
    <w:rsid w:val="7E3B11FC"/>
    <w:rsid w:val="7F6F51A8"/>
    <w:rsid w:val="7FDB455F"/>
    <w:rsid w:val="7FF758EB"/>
    <w:rsid w:val="7FFAA6AE"/>
    <w:rsid w:val="7FFB664D"/>
    <w:rsid w:val="9ED803AC"/>
    <w:rsid w:val="B3DFA9C2"/>
    <w:rsid w:val="B3FD17EB"/>
    <w:rsid w:val="B71FD546"/>
    <w:rsid w:val="B7DDCC10"/>
    <w:rsid w:val="BEFFF6ED"/>
    <w:rsid w:val="CF3EB906"/>
    <w:rsid w:val="D5FB0042"/>
    <w:rsid w:val="D6DFD982"/>
    <w:rsid w:val="D7EFC3C0"/>
    <w:rsid w:val="DF7756EA"/>
    <w:rsid w:val="EADFE55F"/>
    <w:rsid w:val="EBF76C71"/>
    <w:rsid w:val="ECE7FEF6"/>
    <w:rsid w:val="EDFFC974"/>
    <w:rsid w:val="EF3F8FAF"/>
    <w:rsid w:val="EFFCCD04"/>
    <w:rsid w:val="F0FBA12B"/>
    <w:rsid w:val="F0FF6AD9"/>
    <w:rsid w:val="F17E23CC"/>
    <w:rsid w:val="F42FD249"/>
    <w:rsid w:val="F5BF0369"/>
    <w:rsid w:val="F5ED861A"/>
    <w:rsid w:val="F6BB7845"/>
    <w:rsid w:val="F72FC147"/>
    <w:rsid w:val="F77DA904"/>
    <w:rsid w:val="F7F5A1D4"/>
    <w:rsid w:val="F9FC5EA8"/>
    <w:rsid w:val="F9FFFE28"/>
    <w:rsid w:val="FA27F2A9"/>
    <w:rsid w:val="FBF93F32"/>
    <w:rsid w:val="FBFF1DFA"/>
    <w:rsid w:val="FCCAFBB8"/>
    <w:rsid w:val="FF37C873"/>
    <w:rsid w:val="FF793575"/>
    <w:rsid w:val="FFF79BE1"/>
    <w:rsid w:val="FFFB7709"/>
    <w:rsid w:val="FFFF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Balloon Text"/>
    <w:basedOn w:val="1"/>
    <w:link w:val="9"/>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 w:type="character" w:customStyle="1" w:styleId="9">
    <w:name w:val="批注框文本 Char"/>
    <w:basedOn w:val="7"/>
    <w:link w:val="3"/>
    <w:autoRedefine/>
    <w:qFormat/>
    <w:uiPriority w:val="0"/>
    <w:rPr>
      <w:rFonts w:ascii="Times New Roman" w:hAnsi="Times New Roman" w:eastAsia="宋体" w:cs="Times New Roman"/>
      <w:kern w:val="2"/>
      <w:sz w:val="18"/>
      <w:szCs w:val="18"/>
    </w:rPr>
  </w:style>
  <w:style w:type="character" w:customStyle="1" w:styleId="10">
    <w:name w:val="页眉 Char"/>
    <w:basedOn w:val="7"/>
    <w:link w:val="5"/>
    <w:autoRedefine/>
    <w:qFormat/>
    <w:uiPriority w:val="0"/>
    <w:rPr>
      <w:rFonts w:ascii="Times New Roman" w:hAnsi="Times New Roman" w:eastAsia="宋体" w:cs="Times New Roman"/>
      <w:kern w:val="2"/>
      <w:sz w:val="18"/>
      <w:szCs w:val="18"/>
    </w:rPr>
  </w:style>
  <w:style w:type="paragraph" w:styleId="11">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305122355752"/>
          <c:y val="0.1440215427617"/>
          <c:w val="0.744785531728656"/>
          <c:h val="0.721393034825871"/>
        </c:manualLayout>
      </c:layout>
      <c:barChart>
        <c:barDir val="col"/>
        <c:grouping val="clustered"/>
        <c:varyColors val="0"/>
        <c:ser>
          <c:idx val="1"/>
          <c:order val="0"/>
          <c:tx>
            <c:strRef>
              <c:f>Sheet1!$A$2</c:f>
              <c:strCache>
                <c:ptCount val="1"/>
                <c:pt idx="0">
                  <c:v>GDP总量(万元)</c:v>
                </c:pt>
              </c:strCache>
            </c:strRef>
          </c:tx>
          <c:spPr>
            <a:solidFill>
              <a:srgbClr val="FFFFFF"/>
            </a:solidFill>
            <a:ln w="12694">
              <a:solidFill>
                <a:srgbClr val="000000"/>
              </a:solidFill>
              <a:prstDash val="solid"/>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627733</c:v>
                </c:pt>
                <c:pt idx="1">
                  <c:v>652578</c:v>
                </c:pt>
                <c:pt idx="2">
                  <c:v>690411</c:v>
                </c:pt>
                <c:pt idx="3">
                  <c:v>881091</c:v>
                </c:pt>
                <c:pt idx="4">
                  <c:v>914954</c:v>
                </c:pt>
              </c:numCache>
            </c:numRef>
          </c:val>
        </c:ser>
        <c:dLbls>
          <c:showLegendKey val="0"/>
          <c:showVal val="1"/>
          <c:showCatName val="0"/>
          <c:showSerName val="0"/>
          <c:showPercent val="0"/>
          <c:showBubbleSize val="0"/>
        </c:dLbls>
        <c:gapWidth val="150"/>
        <c:axId val="704812128"/>
        <c:axId val="704813696"/>
      </c:barChart>
      <c:lineChart>
        <c:grouping val="standard"/>
        <c:varyColors val="0"/>
        <c:ser>
          <c:idx val="0"/>
          <c:order val="1"/>
          <c:tx>
            <c:strRef>
              <c:f>Sheet1!$A$3</c:f>
              <c:strCache>
                <c:ptCount val="1"/>
                <c:pt idx="0">
                  <c:v>增速(%)</c:v>
                </c:pt>
              </c:strCache>
            </c:strRef>
          </c:tx>
          <c:spPr>
            <a:ln w="12694" cap="rnd" cmpd="sng" algn="ctr">
              <a:solidFill>
                <a:srgbClr val="000080"/>
              </a:solidFill>
              <a:prstDash val="solid"/>
              <a:round/>
            </a:ln>
          </c:spPr>
          <c:marker>
            <c:symbol val="diamond"/>
            <c:size val="4"/>
            <c:spPr>
              <a:solidFill>
                <a:srgbClr val="000080"/>
              </a:solidFill>
              <a:ln w="6350" cap="flat" cmpd="sng" algn="ctr">
                <a:solidFill>
                  <a:srgbClr val="000080"/>
                </a:solidFill>
                <a:prstDash val="solid"/>
                <a:round/>
              </a:ln>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Sheet1!$B$1:$F$1</c:f>
              <c:strCache>
                <c:ptCount val="5"/>
                <c:pt idx="0">
                  <c:v>2021年</c:v>
                </c:pt>
                <c:pt idx="1">
                  <c:v>2022年</c:v>
                </c:pt>
                <c:pt idx="2">
                  <c:v>2023年</c:v>
                </c:pt>
                <c:pt idx="3">
                  <c:v>2024年</c:v>
                </c:pt>
                <c:pt idx="4">
                  <c:v>2025年</c:v>
                </c:pt>
              </c:strCache>
            </c:strRef>
          </c:cat>
          <c:val>
            <c:numRef>
              <c:f>Sheet1!$B$3:$F$3</c:f>
              <c:numCache>
                <c:formatCode>General</c:formatCode>
                <c:ptCount val="5"/>
                <c:pt idx="0">
                  <c:v>8.2</c:v>
                </c:pt>
                <c:pt idx="1">
                  <c:v>3.4</c:v>
                </c:pt>
                <c:pt idx="2">
                  <c:v>6.9</c:v>
                </c:pt>
                <c:pt idx="3">
                  <c:v>5.8</c:v>
                </c:pt>
                <c:pt idx="4">
                  <c:v>6.4</c:v>
                </c:pt>
              </c:numCache>
            </c:numRef>
          </c:val>
          <c:smooth val="0"/>
        </c:ser>
        <c:dLbls>
          <c:showLegendKey val="0"/>
          <c:showVal val="1"/>
          <c:showCatName val="0"/>
          <c:showSerName val="0"/>
          <c:showPercent val="0"/>
          <c:showBubbleSize val="0"/>
        </c:dLbls>
        <c:marker val="1"/>
        <c:smooth val="0"/>
        <c:axId val="704811736"/>
        <c:axId val="704816048"/>
      </c:lineChart>
      <c:catAx>
        <c:axId val="704812128"/>
        <c:scaling>
          <c:orientation val="minMax"/>
        </c:scaling>
        <c:delete val="0"/>
        <c:axPos val="b"/>
        <c:numFmt formatCode="General" sourceLinked="1"/>
        <c:majorTickMark val="in"/>
        <c:minorTickMark val="none"/>
        <c:tickLblPos val="nextTo"/>
        <c:spPr>
          <a:ln w="3173"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黑体" panose="02010609060101010101" charset="-122"/>
                <a:ea typeface="黑体" panose="02010609060101010101" charset="-122"/>
                <a:cs typeface="黑体" panose="02010609060101010101" charset="-122"/>
              </a:defRPr>
            </a:pPr>
          </a:p>
        </c:txPr>
        <c:crossAx val="704813696"/>
        <c:crossesAt val="100000"/>
        <c:auto val="0"/>
        <c:lblAlgn val="ctr"/>
        <c:lblOffset val="100"/>
        <c:tickLblSkip val="1"/>
        <c:noMultiLvlLbl val="0"/>
      </c:catAx>
      <c:valAx>
        <c:axId val="704813696"/>
        <c:scaling>
          <c:orientation val="minMax"/>
          <c:max val="1200000"/>
          <c:min val="200000"/>
        </c:scaling>
        <c:delete val="0"/>
        <c:axPos val="l"/>
        <c:numFmt formatCode="General" sourceLinked="1"/>
        <c:majorTickMark val="in"/>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812128"/>
        <c:crosses val="autoZero"/>
        <c:crossBetween val="between"/>
        <c:majorUnit val="200000"/>
        <c:minorUnit val="100000"/>
      </c:valAx>
      <c:catAx>
        <c:axId val="704811736"/>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816048"/>
        <c:crosses val="autoZero"/>
        <c:auto val="0"/>
        <c:lblAlgn val="ctr"/>
        <c:lblOffset val="100"/>
        <c:noMultiLvlLbl val="0"/>
      </c:catAx>
      <c:valAx>
        <c:axId val="704816048"/>
        <c:scaling>
          <c:orientation val="minMax"/>
          <c:max val="20"/>
        </c:scaling>
        <c:delete val="0"/>
        <c:axPos val="r"/>
        <c:numFmt formatCode="General" sourceLinked="1"/>
        <c:majorTickMark val="in"/>
        <c:minorTickMark val="none"/>
        <c:tickLblPos val="nextTo"/>
        <c:spPr>
          <a:ln w="3173"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黑体" panose="02010609060101010101" charset="-122"/>
                <a:ea typeface="黑体" panose="02010609060101010101" charset="-122"/>
                <a:cs typeface="黑体" panose="02010609060101010101" charset="-122"/>
              </a:defRPr>
            </a:pPr>
          </a:p>
        </c:txPr>
        <c:crossAx val="704811736"/>
        <c:crosses val="max"/>
        <c:crossBetween val="between"/>
      </c:valAx>
    </c:plotArea>
    <c:legend>
      <c:legendPos val="r"/>
      <c:layout>
        <c:manualLayout>
          <c:xMode val="edge"/>
          <c:yMode val="edge"/>
          <c:x val="0.257987669006871"/>
          <c:y val="0.0302411257645358"/>
          <c:w val="0.569288389513109"/>
          <c:h val="0.0721393034825871"/>
        </c:manualLayout>
      </c:layout>
      <c:overlay val="0"/>
      <c:spPr>
        <a:noFill/>
        <a:ln w="3173">
          <a:noFill/>
          <a:prstDash val="solid"/>
        </a:ln>
      </c:spPr>
      <c:txPr>
        <a:bodyPr rot="0" spcFirstLastPara="0" vertOverflow="ellipsis" vert="horz" wrap="square" anchor="ctr" anchorCtr="1"/>
        <a:lstStyle/>
        <a:p>
          <a:pPr>
            <a:defRPr lang="zh-CN" sz="1000" b="0" i="0" u="none" strike="noStrike" kern="1200" baseline="0">
              <a:solidFill>
                <a:srgbClr val="000000"/>
              </a:solidFill>
              <a:latin typeface="黑体" panose="02010609060101010101" charset="-122"/>
              <a:ea typeface="黑体" panose="02010609060101010101" charset="-122"/>
              <a:cs typeface="黑体" panose="02010609060101010101" charset="-122"/>
            </a:defRPr>
          </a:pPr>
        </a:p>
      </c:txPr>
    </c:legend>
    <c:plotVisOnly val="1"/>
    <c:dispBlanksAs val="gap"/>
    <c:showDLblsOverMax val="0"/>
    <c:extLst>
      <c:ext uri="{0b15fc19-7d7d-44ad-8c2d-2c3a37ce22c3}">
        <chartProps xmlns="https://web.wps.cn/et/2018/main" chartId="{3b7027d4-6997-43f8-b8e3-c2515e9d4f7c}"/>
      </c:ext>
    </c:extLst>
  </c:chart>
  <c:spPr>
    <a:solidFill>
      <a:srgbClr val="FDEADA">
        <a:alpha val="50000"/>
      </a:srgbClr>
    </a:solidFill>
    <a:ln w="3173" cap="flat" cmpd="sng" algn="ctr">
      <a:solidFill>
        <a:srgbClr val="000000"/>
      </a:solidFill>
      <a:prstDash val="solid"/>
      <a:round/>
    </a:ln>
    <a:effectLst>
      <a:outerShdw dist="35921" dir="2700000" algn="br">
        <a:schemeClr val="bg1"/>
      </a:outerShdw>
    </a:effectLst>
  </c:spPr>
  <c:txPr>
    <a:bodyPr/>
    <a:lstStyle/>
    <a:p>
      <a:pPr>
        <a:defRPr lang="zh-CN" sz="10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074626865672"/>
          <c:y val="0.167924677460157"/>
          <c:w val="0.85634328358209"/>
          <c:h val="0.69375"/>
        </c:manualLayout>
      </c:layout>
      <c:lineChart>
        <c:grouping val="standard"/>
        <c:varyColors val="0"/>
        <c:ser>
          <c:idx val="1"/>
          <c:order val="0"/>
          <c:tx>
            <c:strRef>
              <c:f>Sheet1!$A$2</c:f>
              <c:strCache>
                <c:ptCount val="1"/>
                <c:pt idx="0">
                  <c:v>CPI涨幅(%)</c:v>
                </c:pt>
              </c:strCache>
            </c:strRef>
          </c:tx>
          <c:spPr>
            <a:ln w="55356" cap="rnd" cmpd="sng" algn="ctr">
              <a:solidFill>
                <a:srgbClr val="FF0000"/>
              </a:solidFill>
              <a:prstDash val="solid"/>
              <a:round/>
            </a:ln>
          </c:spPr>
          <c:marker>
            <c:symbol val="triangle"/>
            <c:size val="7"/>
            <c:spPr>
              <a:solidFill>
                <a:srgbClr val="000000"/>
              </a:solidFill>
              <a:ln w="6350" cap="flat" cmpd="sng" algn="ctr">
                <a:solidFill>
                  <a:srgbClr val="000000"/>
                </a:solidFill>
                <a:prstDash val="solid"/>
                <a:round/>
              </a:ln>
            </c:spPr>
          </c:marker>
          <c:dLbls>
            <c:dLbl>
              <c:idx val="0"/>
              <c:layout>
                <c:manualLayout>
                  <c:x val="-0.0684192334634289"/>
                  <c:y val="-0.053751293707852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64788893413214"/>
                  <c:y val="-0.030178928196493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89465673058099"/>
                  <c:y val="-0.093043608710202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67464396915368"/>
                  <c:y val="-0.07912113274172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90436347404004"/>
                  <c:y val="0.02695020472340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numFmt formatCode="0.0_ " sourceLinked="0"/>
            <c:spPr>
              <a:noFill/>
              <a:ln w="36904">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0.4</c:v>
                </c:pt>
                <c:pt idx="1">
                  <c:v>1.6</c:v>
                </c:pt>
                <c:pt idx="2">
                  <c:v>0.4</c:v>
                </c:pt>
                <c:pt idx="3">
                  <c:v>0</c:v>
                </c:pt>
                <c:pt idx="4">
                  <c:v>-0.7</c:v>
                </c:pt>
              </c:numCache>
            </c:numRef>
          </c:val>
          <c:smooth val="0"/>
        </c:ser>
        <c:dLbls>
          <c:showLegendKey val="0"/>
          <c:showVal val="0"/>
          <c:showCatName val="0"/>
          <c:showSerName val="0"/>
          <c:showPercent val="0"/>
          <c:showBubbleSize val="0"/>
        </c:dLbls>
        <c:marker val="1"/>
        <c:smooth val="0"/>
        <c:axId val="704814872"/>
        <c:axId val="704817616"/>
      </c:lineChart>
      <c:catAx>
        <c:axId val="704814872"/>
        <c:scaling>
          <c:orientation val="minMax"/>
        </c:scaling>
        <c:delete val="0"/>
        <c:axPos val="b"/>
        <c:numFmt formatCode="0.00_ " sourceLinked="0"/>
        <c:majorTickMark val="in"/>
        <c:minorTickMark val="none"/>
        <c:tickLblPos val="nextTo"/>
        <c:spPr>
          <a:ln w="4613" cap="flat" cmpd="sng" algn="ctr">
            <a:solidFill>
              <a:srgbClr val="000000"/>
            </a:solidFill>
            <a:prstDash val="solid"/>
            <a:round/>
          </a:ln>
        </c:spPr>
        <c:txPr>
          <a:bodyPr rot="0" spcFirstLastPara="0" vertOverflow="ellipsis" vert="horz" wrap="square" anchor="ctr" anchorCtr="1" forceAA="0"/>
          <a:lstStyle/>
          <a:p>
            <a:pPr>
              <a:defRPr lang="zh-CN" sz="1200" b="0" i="0" u="none" strike="noStrike" kern="1200" baseline="0">
                <a:solidFill>
                  <a:srgbClr val="000000"/>
                </a:solidFill>
                <a:latin typeface="Times New Roman" panose="02020603050405020304"/>
                <a:ea typeface="Times New Roman" panose="02020603050405020304"/>
                <a:cs typeface="Times New Roman" panose="02020603050405020304"/>
              </a:defRPr>
            </a:pPr>
          </a:p>
        </c:txPr>
        <c:crossAx val="704817616"/>
        <c:crosses val="autoZero"/>
        <c:auto val="1"/>
        <c:lblAlgn val="ctr"/>
        <c:lblOffset val="100"/>
        <c:noMultiLvlLbl val="0"/>
      </c:catAx>
      <c:valAx>
        <c:axId val="704817616"/>
        <c:scaling>
          <c:orientation val="minMax"/>
          <c:max val="2"/>
          <c:min val="-1"/>
        </c:scaling>
        <c:delete val="0"/>
        <c:axPos val="l"/>
        <c:numFmt formatCode="General" sourceLinked="1"/>
        <c:majorTickMark val="in"/>
        <c:minorTickMark val="none"/>
        <c:tickLblPos val="nextTo"/>
        <c:spPr>
          <a:ln w="4613"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814872"/>
        <c:crosses val="autoZero"/>
        <c:crossBetween val="between"/>
        <c:majorUnit val="1"/>
        <c:minorUnit val="0.5"/>
      </c:valAx>
      <c:spPr>
        <a:solidFill>
          <a:srgbClr val="CCFFCC"/>
        </a:solidFill>
        <a:ln w="55356">
          <a:solidFill>
            <a:srgbClr val="000000"/>
          </a:solidFill>
          <a:prstDash val="solid"/>
        </a:ln>
      </c:spPr>
    </c:plotArea>
    <c:legend>
      <c:legendPos val="t"/>
      <c:layout>
        <c:manualLayout>
          <c:xMode val="edge"/>
          <c:yMode val="edge"/>
          <c:x val="0.391791044776119"/>
          <c:y val="0.03125"/>
          <c:w val="0.395382529707553"/>
          <c:h val="0.103125"/>
        </c:manualLayout>
      </c:layout>
      <c:overlay val="0"/>
      <c:spPr>
        <a:noFill/>
        <a:ln w="4613">
          <a:noFill/>
          <a:prstDash val="solid"/>
        </a:ln>
      </c:spPr>
      <c:txPr>
        <a:bodyPr rot="0" spcFirstLastPara="0" vertOverflow="ellipsis" vert="horz" wrap="square" anchor="ctr" anchorCtr="1"/>
        <a:lstStyle/>
        <a:p>
          <a:pPr>
            <a:defRPr lang="zh-CN" sz="13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99a3329e-7382-414f-8731-6020d3f7440e}"/>
      </c:ext>
    </c:extLst>
  </c:chart>
  <c:spPr>
    <a:solidFill>
      <a:srgbClr val="99CCFF"/>
    </a:solidFill>
    <a:ln w="4613" cap="flat" cmpd="sng" algn="ctr">
      <a:solidFill>
        <a:srgbClr val="000000"/>
      </a:solidFill>
      <a:prstDash val="solid"/>
      <a:round/>
    </a:ln>
    <a:effectLst>
      <a:outerShdw dist="35921" dir="2700000" algn="br">
        <a:srgbClr val="000000"/>
      </a:outerShdw>
    </a:effectLst>
  </c:spPr>
  <c:txPr>
    <a:bodyPr/>
    <a:lstStyle/>
    <a:p>
      <a:pPr>
        <a:defRPr lang="zh-CN" sz="1455"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56464577168"/>
          <c:y val="0.196283379238737"/>
          <c:w val="0.724288087817076"/>
          <c:h val="0.623371620243195"/>
        </c:manualLayout>
      </c:layout>
      <c:lineChart>
        <c:grouping val="standard"/>
        <c:varyColors val="0"/>
        <c:ser>
          <c:idx val="0"/>
          <c:order val="0"/>
          <c:tx>
            <c:strRef>
              <c:f>Sheet1!$A$2</c:f>
              <c:strCache>
                <c:ptCount val="1"/>
                <c:pt idx="0">
                  <c:v>可比价增速%</c:v>
                </c:pt>
              </c:strCache>
            </c:strRef>
          </c:tx>
          <c:spPr>
            <a:ln w="9514" cap="rnd" cmpd="sng" algn="ctr">
              <a:solidFill>
                <a:srgbClr val="000080"/>
              </a:solidFill>
              <a:prstDash val="solid"/>
              <a:round/>
            </a:ln>
          </c:spPr>
          <c:marker>
            <c:symbol val="diamond"/>
            <c:size val="5"/>
            <c:spPr>
              <a:solidFill>
                <a:srgbClr val="000080"/>
              </a:solidFill>
              <a:ln w="6350" cap="flat" cmpd="sng" algn="ctr">
                <a:solidFill>
                  <a:srgbClr val="000080"/>
                </a:solidFill>
                <a:prstDash val="solid"/>
                <a:round/>
              </a:ln>
            </c:spPr>
          </c:marker>
          <c:dLbls>
            <c:dLbl>
              <c:idx val="0"/>
              <c:layout>
                <c:manualLayout>
                  <c:x val="-0.0573618213313014"/>
                  <c:y val="0.07798701803264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0323004137285"/>
                  <c:y val="0.04998475046413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91526479085247"/>
                  <c:y val="-0.081179211049025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0320776212941"/>
                  <c:y val="0.043992461931504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504532860793"/>
                  <c:y val="-0.06693331371025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19028">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10.8</c:v>
                </c:pt>
                <c:pt idx="1">
                  <c:v>2.5</c:v>
                </c:pt>
                <c:pt idx="2">
                  <c:v>6.6</c:v>
                </c:pt>
                <c:pt idx="3">
                  <c:v>3.4</c:v>
                </c:pt>
                <c:pt idx="4">
                  <c:v>12.5</c:v>
                </c:pt>
              </c:numCache>
            </c:numRef>
          </c:val>
          <c:smooth val="0"/>
        </c:ser>
        <c:dLbls>
          <c:showLegendKey val="0"/>
          <c:showVal val="1"/>
          <c:showCatName val="0"/>
          <c:showSerName val="0"/>
          <c:showPercent val="0"/>
          <c:showBubbleSize val="0"/>
        </c:dLbls>
        <c:marker val="1"/>
        <c:smooth val="0"/>
        <c:axId val="704789000"/>
        <c:axId val="704810560"/>
      </c:lineChart>
      <c:catAx>
        <c:axId val="704789000"/>
        <c:scaling>
          <c:orientation val="minMax"/>
        </c:scaling>
        <c:delete val="0"/>
        <c:axPos val="b"/>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810560"/>
        <c:crosses val="autoZero"/>
        <c:auto val="0"/>
        <c:lblAlgn val="ctr"/>
        <c:lblOffset val="100"/>
        <c:tickLblSkip val="1"/>
        <c:noMultiLvlLbl val="0"/>
      </c:catAx>
      <c:valAx>
        <c:axId val="704810560"/>
        <c:scaling>
          <c:orientation val="minMax"/>
          <c:max val="15"/>
          <c:min val="0"/>
        </c:scaling>
        <c:delete val="0"/>
        <c:axPos val="l"/>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789000"/>
        <c:crosses val="autoZero"/>
        <c:crossBetween val="between"/>
        <c:majorUnit val="3"/>
      </c:valAx>
      <c:spPr>
        <a:solidFill>
          <a:srgbClr val="FFFFFF"/>
        </a:solidFill>
        <a:ln w="2378">
          <a:solidFill>
            <a:srgbClr val="000000"/>
          </a:solidFill>
          <a:prstDash val="solid"/>
        </a:ln>
      </c:spPr>
    </c:plotArea>
    <c:legend>
      <c:legendPos val="r"/>
      <c:layout>
        <c:manualLayout>
          <c:xMode val="edge"/>
          <c:yMode val="edge"/>
          <c:x val="0.162706214939524"/>
          <c:y val="0.0258691902740841"/>
          <c:w val="0.72132778970577"/>
          <c:h val="0.120097436938429"/>
        </c:manualLayout>
      </c:layout>
      <c:overlay val="0"/>
      <c:spPr>
        <a:solidFill>
          <a:srgbClr val="FFFFFF"/>
        </a:solidFill>
        <a:ln w="2378">
          <a:noFill/>
          <a:prstDash val="soli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extLst>
      <c:ext uri="{0b15fc19-7d7d-44ad-8c2d-2c3a37ce22c3}">
        <chartProps xmlns="https://web.wps.cn/et/2018/main" chartId="{3674c796-a3e9-428b-8b3a-85de609bb921}"/>
      </c:ext>
    </c:extLst>
  </c:chart>
  <c:spPr>
    <a:noFill/>
    <a:ln w="2378" cap="flat" cmpd="sng" algn="ctr">
      <a:solidFill>
        <a:srgbClr val="000000"/>
      </a:solidFill>
      <a:prstDash val="solid"/>
      <a:round/>
    </a:ln>
    <a:effectLst>
      <a:outerShdw dist="35921" dir="2700000" algn="br">
        <a:srgbClr val="000000"/>
      </a:outerShdw>
    </a:effectLst>
  </c:spPr>
  <c:txPr>
    <a:bodyPr/>
    <a:lstStyle/>
    <a:p>
      <a:pPr>
        <a:defRPr lang="zh-CN" sz="10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07480444724"/>
          <c:y val="0.169415279159649"/>
          <c:w val="0.841991116925081"/>
          <c:h val="0.702715692050446"/>
        </c:manualLayout>
      </c:layout>
      <c:lineChart>
        <c:grouping val="standard"/>
        <c:varyColors val="0"/>
        <c:ser>
          <c:idx val="1"/>
          <c:order val="0"/>
          <c:tx>
            <c:strRef>
              <c:f>Sheet1!$A$2</c:f>
              <c:strCache>
                <c:ptCount val="1"/>
                <c:pt idx="0">
                  <c:v>增速%</c:v>
                </c:pt>
              </c:strCache>
            </c:strRef>
          </c:tx>
          <c:spPr>
            <a:ln w="6569" cap="rnd" cmpd="sng" algn="ctr">
              <a:solidFill>
                <a:srgbClr val="000000"/>
              </a:solidFill>
              <a:prstDash val="solid"/>
              <a:round/>
            </a:ln>
          </c:spPr>
          <c:marker>
            <c:symbol val="diamond"/>
            <c:size val="5"/>
          </c:marker>
          <c:dLbls>
            <c:dLbl>
              <c:idx val="0"/>
              <c:layout>
                <c:manualLayout>
                  <c:x val="-0.0109572045178529"/>
                  <c:y val="-0.05024526836529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8767473570479"/>
                  <c:y val="-0.0525753263469723"/>
                </c:manualLayout>
              </c:layout>
              <c:numFmt formatCode="General" sourceLinked="1"/>
              <c:spPr>
                <a:noFill/>
                <a:ln w="13137">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18699372177765"/>
                  <c:y val="0.046322409754788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373516695793"/>
                  <c:y val="0.02457613294083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42298359335563"/>
                  <c:y val="0.027754119439114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13137">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13.1</c:v>
                </c:pt>
                <c:pt idx="1">
                  <c:v>11.8</c:v>
                </c:pt>
                <c:pt idx="2">
                  <c:v>23.1</c:v>
                </c:pt>
                <c:pt idx="3">
                  <c:v>9.2</c:v>
                </c:pt>
                <c:pt idx="4">
                  <c:v>18.3</c:v>
                </c:pt>
              </c:numCache>
            </c:numRef>
          </c:val>
          <c:smooth val="0"/>
        </c:ser>
        <c:dLbls>
          <c:showLegendKey val="0"/>
          <c:showVal val="0"/>
          <c:showCatName val="0"/>
          <c:showSerName val="0"/>
          <c:showPercent val="0"/>
          <c:showBubbleSize val="0"/>
        </c:dLbls>
        <c:marker val="1"/>
        <c:smooth val="0"/>
        <c:axId val="704804288"/>
        <c:axId val="704799976"/>
      </c:lineChart>
      <c:catAx>
        <c:axId val="704804288"/>
        <c:scaling>
          <c:orientation val="minMax"/>
        </c:scaling>
        <c:delete val="0"/>
        <c:axPos val="b"/>
        <c:numFmt formatCode="General" sourceLinked="1"/>
        <c:majorTickMark val="in"/>
        <c:minorTickMark val="none"/>
        <c:tickLblPos val="nextTo"/>
        <c:spPr>
          <a:ln w="1642"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799976"/>
        <c:crosses val="autoZero"/>
        <c:auto val="0"/>
        <c:lblAlgn val="ctr"/>
        <c:lblOffset val="100"/>
        <c:tickLblSkip val="1"/>
        <c:noMultiLvlLbl val="0"/>
      </c:catAx>
      <c:valAx>
        <c:axId val="704799976"/>
        <c:scaling>
          <c:orientation val="minMax"/>
          <c:max val="30"/>
          <c:min val="5"/>
        </c:scaling>
        <c:delete val="0"/>
        <c:axPos val="l"/>
        <c:numFmt formatCode="General" sourceLinked="1"/>
        <c:majorTickMark val="in"/>
        <c:minorTickMark val="none"/>
        <c:tickLblPos val="nextTo"/>
        <c:spPr>
          <a:ln w="1642"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804288"/>
        <c:crosses val="autoZero"/>
        <c:crossBetween val="between"/>
      </c:valAx>
      <c:spPr>
        <a:solidFill>
          <a:srgbClr val="FFFFFF"/>
        </a:solidFill>
        <a:ln w="1642">
          <a:solidFill>
            <a:srgbClr val="000000"/>
          </a:solidFill>
          <a:prstDash val="solid"/>
        </a:ln>
      </c:spPr>
    </c:plotArea>
    <c:legend>
      <c:legendPos val="r"/>
      <c:legendEntry>
        <c:idx val="0"/>
        <c:txPr>
          <a:bodyPr rot="0" spcFirstLastPara="0" vertOverflow="ellipsis" vert="horz" wrap="square" anchor="ctr" anchorCtr="1"/>
          <a:lstStyle/>
          <a:p>
            <a:pPr>
              <a:defRPr lang="zh-CN" sz="8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Entry>
      <c:layout>
        <c:manualLayout>
          <c:xMode val="edge"/>
          <c:yMode val="edge"/>
          <c:x val="0.372725214460014"/>
          <c:y val="0.0340632603406326"/>
          <c:w val="0.322246144529718"/>
          <c:h val="0.0802919708029197"/>
        </c:manualLayout>
      </c:layout>
      <c:overlay val="1"/>
      <c:txPr>
        <a:bodyPr rot="0" spcFirstLastPara="0" vertOverflow="ellipsis" vert="horz" wrap="square" anchor="ctr" anchorCtr="1"/>
        <a:lstStyle/>
        <a:p>
          <a:pPr>
            <a:defRPr lang="zh-CN" sz="8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extLst>
      <c:ext uri="{0b15fc19-7d7d-44ad-8c2d-2c3a37ce22c3}">
        <chartProps xmlns="https://web.wps.cn/et/2018/main" chartId="{41424d64-e9e1-4ae1-8278-e2a5bb0f025e}"/>
      </c:ext>
    </c:extLst>
  </c:chart>
  <c:spPr>
    <a:noFill/>
    <a:ln w="1642" cap="flat" cmpd="sng" algn="ctr">
      <a:solidFill>
        <a:srgbClr val="000000"/>
      </a:solidFill>
      <a:prstDash val="solid"/>
      <a:round/>
    </a:ln>
    <a:effectLst>
      <a:outerShdw dist="35921" dir="2700000" algn="br">
        <a:srgbClr val="000000"/>
      </a:outerShdw>
    </a:effectLst>
  </c:spPr>
  <c:txPr>
    <a:bodyPr/>
    <a:lstStyle/>
    <a:p>
      <a:pPr>
        <a:defRPr lang="zh-CN" sz="8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794007490637"/>
          <c:y val="0.149584487534626"/>
          <c:w val="0.736764870675543"/>
          <c:h val="0.705663536244016"/>
        </c:manualLayout>
      </c:layout>
      <c:lineChart>
        <c:grouping val="standard"/>
        <c:varyColors val="0"/>
        <c:ser>
          <c:idx val="0"/>
          <c:order val="0"/>
          <c:tx>
            <c:strRef>
              <c:f>Sheet1!$A$2</c:f>
              <c:strCache>
                <c:ptCount val="1"/>
                <c:pt idx="0">
                  <c:v>增速%</c:v>
                </c:pt>
              </c:strCache>
            </c:strRef>
          </c:tx>
          <c:spPr>
            <a:ln w="19050" cap="rnd" cmpd="sng" algn="ctr">
              <a:solidFill>
                <a:srgbClr val="000000"/>
              </a:solidFill>
              <a:prstDash val="solid"/>
              <a:round/>
            </a:ln>
            <a:sp3d contourW="19050"/>
          </c:spPr>
          <c:marker>
            <c:spPr>
              <a:solidFill>
                <a:schemeClr val="tx1"/>
              </a:solidFill>
              <a:ln w="6350" cap="flat" cmpd="sng" algn="ctr">
                <a:solidFill>
                  <a:schemeClr val="tx1"/>
                </a:solidFill>
                <a:prstDash val="solid"/>
                <a:round/>
              </a:ln>
            </c:spPr>
          </c:marker>
          <c:dLbls>
            <c:dLbl>
              <c:idx val="0"/>
              <c:layout>
                <c:manualLayout>
                  <c:x val="-0.0328372621573115"/>
                  <c:y val="-0.025339640575417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6194639900761"/>
                  <c:y val="-0.0019120043708386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693430191083348"/>
                  <c:y val="-0.03885653646505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83264061677078"/>
                  <c:y val="-0.084361154896509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2698716343831"/>
                  <c:y val="-0.058428645426214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1769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黑体" panose="02010609060101010101" charset="-122"/>
                    <a:ea typeface="黑体" panose="02010609060101010101" charset="-122"/>
                    <a:cs typeface="黑体" panose="02010609060101010101" charset="-12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19.1</c:v>
                </c:pt>
                <c:pt idx="1">
                  <c:v>1.4</c:v>
                </c:pt>
                <c:pt idx="2">
                  <c:v>11</c:v>
                </c:pt>
                <c:pt idx="3">
                  <c:v>5.7</c:v>
                </c:pt>
                <c:pt idx="4">
                  <c:v>7.2</c:v>
                </c:pt>
              </c:numCache>
            </c:numRef>
          </c:val>
          <c:smooth val="0"/>
        </c:ser>
        <c:dLbls>
          <c:showLegendKey val="0"/>
          <c:showVal val="1"/>
          <c:showCatName val="0"/>
          <c:showSerName val="0"/>
          <c:showPercent val="0"/>
          <c:showBubbleSize val="0"/>
        </c:dLbls>
        <c:marker val="1"/>
        <c:smooth val="0"/>
        <c:axId val="704802720"/>
        <c:axId val="704803112"/>
      </c:lineChart>
      <c:catAx>
        <c:axId val="704802720"/>
        <c:scaling>
          <c:orientation val="minMax"/>
        </c:scaling>
        <c:delete val="0"/>
        <c:axPos val="b"/>
        <c:numFmt formatCode="General" sourceLinked="1"/>
        <c:majorTickMark val="out"/>
        <c:minorTickMark val="none"/>
        <c:tickLblPos val="nextTo"/>
        <c:spPr>
          <a:ln w="2212"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黑体" panose="02010609060101010101" charset="-122"/>
                <a:ea typeface="黑体" panose="02010609060101010101" charset="-122"/>
                <a:cs typeface="黑体" panose="02010609060101010101" charset="-122"/>
              </a:defRPr>
            </a:pPr>
          </a:p>
        </c:txPr>
        <c:crossAx val="704803112"/>
        <c:crosses val="autoZero"/>
        <c:auto val="0"/>
        <c:lblAlgn val="ctr"/>
        <c:lblOffset val="100"/>
        <c:tickLblSkip val="1"/>
        <c:noMultiLvlLbl val="0"/>
      </c:catAx>
      <c:valAx>
        <c:axId val="704803112"/>
        <c:scaling>
          <c:orientation val="minMax"/>
        </c:scaling>
        <c:delete val="0"/>
        <c:axPos val="l"/>
        <c:numFmt formatCode="General" sourceLinked="1"/>
        <c:majorTickMark val="out"/>
        <c:minorTickMark val="none"/>
        <c:tickLblPos val="nextTo"/>
        <c:spPr>
          <a:ln w="2212"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黑体" panose="02010609060101010101" charset="-122"/>
                <a:ea typeface="黑体" panose="02010609060101010101" charset="-122"/>
                <a:cs typeface="黑体" panose="02010609060101010101" charset="-122"/>
              </a:defRPr>
            </a:pPr>
          </a:p>
        </c:txPr>
        <c:crossAx val="704802720"/>
        <c:crosses val="autoZero"/>
        <c:crossBetween val="between"/>
      </c:valAx>
      <c:spPr>
        <a:noFill/>
        <a:ln w="2212">
          <a:noFill/>
          <a:prstDash val="solid"/>
        </a:ln>
      </c:spPr>
    </c:plotArea>
    <c:legend>
      <c:legendPos val="t"/>
      <c:layout>
        <c:manualLayout>
          <c:xMode val="edge"/>
          <c:yMode val="edge"/>
          <c:x val="0.065285130817669"/>
          <c:y val="0.0230161085670008"/>
          <c:w val="0.884770193969656"/>
          <c:h val="0.0914127423822715"/>
        </c:manualLayout>
      </c:layout>
      <c:overlay val="0"/>
      <c:spPr>
        <a:solidFill>
          <a:srgbClr val="FFFFFF"/>
        </a:solidFill>
        <a:ln w="2212">
          <a:noFill/>
          <a:prstDash val="solid"/>
        </a:ln>
      </c:spPr>
      <c:txPr>
        <a:bodyPr rot="0" spcFirstLastPara="0" vertOverflow="ellipsis" vert="horz" wrap="square" anchor="ctr" anchorCtr="1"/>
        <a:lstStyle/>
        <a:p>
          <a:pPr>
            <a:defRPr lang="zh-CN" sz="1100" b="0" i="0" u="none" strike="noStrike" kern="1200" baseline="0">
              <a:solidFill>
                <a:srgbClr val="000000"/>
              </a:solidFill>
              <a:latin typeface="黑体" panose="02010609060101010101" charset="-122"/>
              <a:ea typeface="黑体" panose="02010609060101010101" charset="-122"/>
              <a:cs typeface="黑体" panose="02010609060101010101" charset="-122"/>
            </a:defRPr>
          </a:pPr>
        </a:p>
      </c:txPr>
    </c:legend>
    <c:plotVisOnly val="1"/>
    <c:dispBlanksAs val="gap"/>
    <c:showDLblsOverMax val="0"/>
    <c:extLst>
      <c:ext uri="{0b15fc19-7d7d-44ad-8c2d-2c3a37ce22c3}">
        <chartProps xmlns="https://web.wps.cn/et/2018/main" chartId="{15c47df5-6aba-4d2d-a5de-e672ab211868}"/>
      </c:ext>
    </c:extLst>
  </c:chart>
  <c:spPr>
    <a:noFill/>
    <a:effectLst>
      <a:outerShdw dist="35921" dir="2700000" algn="br">
        <a:srgbClr val="000000">
          <a:alpha val="100000"/>
        </a:srgbClr>
      </a:outerShdw>
    </a:effectLst>
  </c:spPr>
  <c:txPr>
    <a:bodyPr/>
    <a:lstStyle/>
    <a:p>
      <a:pPr>
        <a:defRPr lang="zh-CN" sz="695"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03275529865"/>
          <c:y val="0.174679216658298"/>
          <c:w val="0.71233927464983"/>
          <c:h val="0.680721708238971"/>
        </c:manualLayout>
      </c:layout>
      <c:barChart>
        <c:barDir val="col"/>
        <c:grouping val="clustered"/>
        <c:varyColors val="0"/>
        <c:ser>
          <c:idx val="1"/>
          <c:order val="0"/>
          <c:tx>
            <c:strRef>
              <c:f>Sheet1!$A$2</c:f>
              <c:strCache>
                <c:ptCount val="1"/>
                <c:pt idx="0">
                  <c:v>地方财政一般预算收入（万元）</c:v>
                </c:pt>
              </c:strCache>
            </c:strRef>
          </c:tx>
          <c:spPr>
            <a:solidFill>
              <a:srgbClr val="FF8080"/>
            </a:solidFill>
            <a:ln w="8069">
              <a:solidFill>
                <a:srgbClr val="000000"/>
              </a:solidFill>
              <a:prstDash val="solid"/>
            </a:ln>
          </c:spPr>
          <c:invertIfNegative val="0"/>
          <c:dLbls>
            <c:dLbl>
              <c:idx val="1"/>
              <c:layout>
                <c:manualLayout>
                  <c:x val="-0.00447343895619758"/>
                  <c:y val="0.0816771031854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43371</c:v>
                </c:pt>
                <c:pt idx="1">
                  <c:v>89991</c:v>
                </c:pt>
                <c:pt idx="2">
                  <c:v>52882</c:v>
                </c:pt>
                <c:pt idx="3">
                  <c:v>71834</c:v>
                </c:pt>
                <c:pt idx="4">
                  <c:v>78029</c:v>
                </c:pt>
              </c:numCache>
            </c:numRef>
          </c:val>
        </c:ser>
        <c:dLbls>
          <c:showLegendKey val="0"/>
          <c:showVal val="1"/>
          <c:showCatName val="0"/>
          <c:showSerName val="0"/>
          <c:showPercent val="0"/>
          <c:showBubbleSize val="0"/>
        </c:dLbls>
        <c:gapWidth val="150"/>
        <c:axId val="649576456"/>
        <c:axId val="649576848"/>
      </c:barChart>
      <c:lineChart>
        <c:grouping val="standard"/>
        <c:varyColors val="0"/>
        <c:ser>
          <c:idx val="0"/>
          <c:order val="1"/>
          <c:tx>
            <c:strRef>
              <c:f>Sheet1!$A$3</c:f>
              <c:strCache>
                <c:ptCount val="1"/>
                <c:pt idx="0">
                  <c:v>增速%</c:v>
                </c:pt>
              </c:strCache>
            </c:strRef>
          </c:tx>
          <c:spPr>
            <a:ln w="8069" cap="rnd" cmpd="sng" algn="ctr">
              <a:solidFill>
                <a:srgbClr val="000000"/>
              </a:solidFill>
              <a:prstDash val="solid"/>
              <a:round/>
            </a:ln>
          </c:spPr>
          <c:marker>
            <c:symbol val="diamond"/>
            <c:size val="3"/>
            <c:spPr>
              <a:solidFill>
                <a:srgbClr val="000000"/>
              </a:solidFill>
              <a:ln w="6350" cap="flat" cmpd="sng" algn="ctr">
                <a:solidFill>
                  <a:srgbClr val="000000"/>
                </a:solidFill>
                <a:prstDash val="solid"/>
                <a:round/>
              </a:ln>
            </c:spPr>
          </c:marker>
          <c:dLbls>
            <c:dLbl>
              <c:idx val="0"/>
              <c:layout>
                <c:manualLayout>
                  <c:x val="0.00354147250698975"/>
                  <c:y val="0.0076231962973046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21901211556384"/>
                  <c:y val="0.019874761775115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88257222739981"/>
                  <c:y val="-0.01497413558399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Sheet1!$B$1:$F$1</c:f>
              <c:strCache>
                <c:ptCount val="5"/>
                <c:pt idx="0">
                  <c:v>2021年</c:v>
                </c:pt>
                <c:pt idx="1">
                  <c:v>2022年</c:v>
                </c:pt>
                <c:pt idx="2">
                  <c:v>2023年</c:v>
                </c:pt>
                <c:pt idx="3">
                  <c:v>2024年</c:v>
                </c:pt>
                <c:pt idx="4">
                  <c:v>2025年</c:v>
                </c:pt>
              </c:strCache>
            </c:strRef>
          </c:cat>
          <c:val>
            <c:numRef>
              <c:f>Sheet1!$B$3:$F$3</c:f>
              <c:numCache>
                <c:formatCode>General</c:formatCode>
                <c:ptCount val="5"/>
                <c:pt idx="0">
                  <c:v>10.2</c:v>
                </c:pt>
                <c:pt idx="1">
                  <c:v>107.4</c:v>
                </c:pt>
                <c:pt idx="2">
                  <c:v>-41.3</c:v>
                </c:pt>
                <c:pt idx="3">
                  <c:v>35.8</c:v>
                </c:pt>
                <c:pt idx="4">
                  <c:v>8.6</c:v>
                </c:pt>
              </c:numCache>
            </c:numRef>
          </c:val>
          <c:smooth val="0"/>
        </c:ser>
        <c:dLbls>
          <c:showLegendKey val="0"/>
          <c:showVal val="1"/>
          <c:showCatName val="0"/>
          <c:showSerName val="0"/>
          <c:showPercent val="0"/>
          <c:showBubbleSize val="0"/>
        </c:dLbls>
        <c:marker val="1"/>
        <c:smooth val="0"/>
        <c:axId val="649572536"/>
        <c:axId val="649577240"/>
      </c:lineChart>
      <c:catAx>
        <c:axId val="649576456"/>
        <c:scaling>
          <c:orientation val="minMax"/>
        </c:scaling>
        <c:delete val="0"/>
        <c:axPos val="b"/>
        <c:numFmt formatCode="General" sourceLinked="1"/>
        <c:majorTickMark val="out"/>
        <c:minorTickMark val="none"/>
        <c:tickLblPos val="nextTo"/>
        <c:spPr>
          <a:ln w="2017"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649576848"/>
        <c:crosses val="autoZero"/>
        <c:auto val="0"/>
        <c:lblAlgn val="ctr"/>
        <c:lblOffset val="100"/>
        <c:noMultiLvlLbl val="0"/>
      </c:catAx>
      <c:valAx>
        <c:axId val="649576848"/>
        <c:scaling>
          <c:orientation val="minMax"/>
          <c:max val="120000"/>
          <c:min val="0"/>
        </c:scaling>
        <c:delete val="0"/>
        <c:axPos val="l"/>
        <c:numFmt formatCode="General" sourceLinked="1"/>
        <c:majorTickMark val="out"/>
        <c:minorTickMark val="none"/>
        <c:tickLblPos val="nextTo"/>
        <c:spPr>
          <a:ln w="2017"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649576456"/>
        <c:crosses val="autoZero"/>
        <c:crossBetween val="between"/>
        <c:majorUnit val="20000"/>
        <c:minorUnit val="2000"/>
      </c:valAx>
      <c:catAx>
        <c:axId val="649572536"/>
        <c:scaling>
          <c:orientation val="minMax"/>
        </c:scaling>
        <c:delete val="0"/>
        <c:axPos val="t"/>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649577240"/>
        <c:crosses val="max"/>
        <c:auto val="0"/>
        <c:lblAlgn val="ctr"/>
        <c:lblOffset val="100"/>
        <c:noMultiLvlLbl val="0"/>
      </c:catAx>
      <c:valAx>
        <c:axId val="649577240"/>
        <c:scaling>
          <c:orientation val="minMax"/>
          <c:max val="120"/>
          <c:min val="-50"/>
        </c:scaling>
        <c:delete val="0"/>
        <c:axPos val="r"/>
        <c:numFmt formatCode="General" sourceLinked="1"/>
        <c:majorTickMark val="out"/>
        <c:minorTickMark val="none"/>
        <c:tickLblPos val="nextTo"/>
        <c:spPr>
          <a:ln w="2017"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649572536"/>
        <c:crosses val="max"/>
        <c:crossBetween val="between"/>
        <c:majorUnit val="20"/>
        <c:minorUnit val="4"/>
      </c:valAx>
      <c:spPr>
        <a:solidFill>
          <a:srgbClr val="FFFFFF"/>
        </a:solidFill>
        <a:ln w="2017">
          <a:solidFill>
            <a:srgbClr val="000000"/>
          </a:solidFill>
          <a:prstDash val="solid"/>
        </a:ln>
      </c:spPr>
    </c:plotArea>
    <c:legend>
      <c:legendPos val="t"/>
      <c:layout>
        <c:manualLayout>
          <c:xMode val="edge"/>
          <c:yMode val="edge"/>
          <c:x val="0.0648097920097422"/>
          <c:y val="0.0478346990886655"/>
          <c:w val="0.870905587668593"/>
          <c:h val="0.079136690647482"/>
        </c:manualLayout>
      </c:layout>
      <c:overlay val="0"/>
      <c:spPr>
        <a:solidFill>
          <a:srgbClr val="FFFFFF"/>
        </a:solidFill>
        <a:ln w="2017">
          <a:noFill/>
          <a:prstDash val="soli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extLst>
      <c:ext uri="{0b15fc19-7d7d-44ad-8c2d-2c3a37ce22c3}">
        <chartProps xmlns="https://web.wps.cn/et/2018/main" chartId="{b99e30c7-45fd-43fa-b129-95e6e1149edd}"/>
      </c:ext>
    </c:extLst>
  </c:chart>
  <c:spPr>
    <a:noFill/>
    <a:ln w="2017" cap="flat" cmpd="sng" algn="ctr">
      <a:solidFill>
        <a:srgbClr val="000000"/>
      </a:solidFill>
      <a:prstDash val="solid"/>
      <a:round/>
    </a:ln>
    <a:effectLst>
      <a:outerShdw dist="35921" dir="2700000" algn="br">
        <a:srgbClr val="000000"/>
      </a:outerShdw>
    </a:effectLst>
  </c:spPr>
  <c:txPr>
    <a:bodyPr/>
    <a:lstStyle/>
    <a:p>
      <a:pPr>
        <a:defRPr lang="zh-CN" sz="11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56464577168"/>
          <c:y val="0.196283379238737"/>
          <c:w val="0.724288087817076"/>
          <c:h val="0.623371620243195"/>
        </c:manualLayout>
      </c:layout>
      <c:lineChart>
        <c:grouping val="standard"/>
        <c:varyColors val="0"/>
        <c:ser>
          <c:idx val="0"/>
          <c:order val="0"/>
          <c:tx>
            <c:strRef>
              <c:f>Sheet1!$A$2</c:f>
              <c:strCache>
                <c:ptCount val="1"/>
                <c:pt idx="0">
                  <c:v>峨边城镇居民人均可支配收入增速%</c:v>
                </c:pt>
              </c:strCache>
            </c:strRef>
          </c:tx>
          <c:spPr>
            <a:ln w="9514" cap="rnd" cmpd="sng" algn="ctr">
              <a:solidFill>
                <a:srgbClr val="000080"/>
              </a:solidFill>
              <a:prstDash val="solid"/>
              <a:round/>
            </a:ln>
          </c:spPr>
          <c:marker>
            <c:symbol val="diamond"/>
            <c:size val="5"/>
            <c:spPr>
              <a:solidFill>
                <a:srgbClr val="000080"/>
              </a:solidFill>
              <a:ln w="6350" cap="flat" cmpd="sng" algn="ctr">
                <a:solidFill>
                  <a:srgbClr val="000080"/>
                </a:solidFill>
                <a:prstDash val="solid"/>
                <a:round/>
              </a:ln>
            </c:spPr>
          </c:marker>
          <c:dLbls>
            <c:dLbl>
              <c:idx val="0"/>
              <c:layout>
                <c:manualLayout>
                  <c:x val="-0.0573618213313014"/>
                  <c:y val="0.07798701803264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0323004137285"/>
                  <c:y val="0.04998475046413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91526479085247"/>
                  <c:y val="-0.081179211049025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0320776212941"/>
                  <c:y val="0.043992461931504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504532860793"/>
                  <c:y val="-0.06693331371025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19028">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8.8</c:v>
                </c:pt>
                <c:pt idx="1">
                  <c:v>4.8</c:v>
                </c:pt>
                <c:pt idx="2">
                  <c:v>5</c:v>
                </c:pt>
                <c:pt idx="3">
                  <c:v>4.8</c:v>
                </c:pt>
                <c:pt idx="4">
                  <c:v>4.8</c:v>
                </c:pt>
              </c:numCache>
            </c:numRef>
          </c:val>
          <c:smooth val="0"/>
        </c:ser>
        <c:dLbls>
          <c:showLegendKey val="0"/>
          <c:showVal val="1"/>
          <c:showCatName val="0"/>
          <c:showSerName val="0"/>
          <c:showPercent val="0"/>
          <c:showBubbleSize val="0"/>
        </c:dLbls>
        <c:marker val="1"/>
        <c:smooth val="0"/>
        <c:axId val="704789000"/>
        <c:axId val="704810560"/>
      </c:lineChart>
      <c:catAx>
        <c:axId val="704789000"/>
        <c:scaling>
          <c:orientation val="minMax"/>
        </c:scaling>
        <c:delete val="0"/>
        <c:axPos val="b"/>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810560"/>
        <c:crosses val="autoZero"/>
        <c:auto val="0"/>
        <c:lblAlgn val="ctr"/>
        <c:lblOffset val="100"/>
        <c:tickLblSkip val="1"/>
        <c:noMultiLvlLbl val="0"/>
      </c:catAx>
      <c:valAx>
        <c:axId val="704810560"/>
        <c:scaling>
          <c:orientation val="minMax"/>
          <c:max val="15"/>
          <c:min val="0"/>
        </c:scaling>
        <c:delete val="0"/>
        <c:axPos val="l"/>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789000"/>
        <c:crosses val="autoZero"/>
        <c:crossBetween val="between"/>
        <c:majorUnit val="3"/>
      </c:valAx>
      <c:spPr>
        <a:solidFill>
          <a:srgbClr val="FFFFFF"/>
        </a:solidFill>
        <a:ln w="2378">
          <a:solidFill>
            <a:srgbClr val="000000"/>
          </a:solidFill>
          <a:prstDash val="solid"/>
        </a:ln>
      </c:spPr>
    </c:plotArea>
    <c:legend>
      <c:legendPos val="r"/>
      <c:layout>
        <c:manualLayout>
          <c:xMode val="edge"/>
          <c:yMode val="edge"/>
          <c:x val="0.162706214939524"/>
          <c:y val="0.0258691902740841"/>
          <c:w val="0.72132778970577"/>
          <c:h val="0.120097436938429"/>
        </c:manualLayout>
      </c:layout>
      <c:overlay val="0"/>
      <c:spPr>
        <a:solidFill>
          <a:srgbClr val="FFFFFF"/>
        </a:solidFill>
        <a:ln w="2378">
          <a:noFill/>
          <a:prstDash val="soli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extLst>
      <c:ext uri="{0b15fc19-7d7d-44ad-8c2d-2c3a37ce22c3}">
        <chartProps xmlns="https://web.wps.cn/et/2018/main" chartId="{a1de0bc9-2318-4a52-ad77-98839546c951}"/>
      </c:ext>
    </c:extLst>
  </c:chart>
  <c:spPr>
    <a:noFill/>
    <a:ln w="2378" cap="flat" cmpd="sng" algn="ctr">
      <a:solidFill>
        <a:srgbClr val="000000"/>
      </a:solidFill>
      <a:prstDash val="solid"/>
      <a:round/>
    </a:ln>
    <a:effectLst>
      <a:outerShdw dist="35921" dir="2700000" algn="br">
        <a:srgbClr val="000000"/>
      </a:outerShdw>
    </a:effectLst>
  </c:spPr>
  <c:txPr>
    <a:bodyPr/>
    <a:lstStyle/>
    <a:p>
      <a:pPr>
        <a:defRPr lang="zh-CN" sz="10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556464577168"/>
          <c:y val="0.196283379238737"/>
          <c:w val="0.724288087817076"/>
          <c:h val="0.623371620243195"/>
        </c:manualLayout>
      </c:layout>
      <c:lineChart>
        <c:grouping val="standard"/>
        <c:varyColors val="0"/>
        <c:ser>
          <c:idx val="0"/>
          <c:order val="0"/>
          <c:tx>
            <c:strRef>
              <c:f>Sheet1!$A$2</c:f>
              <c:strCache>
                <c:ptCount val="1"/>
                <c:pt idx="0">
                  <c:v>峨边农村居民人均可支配收入增速%</c:v>
                </c:pt>
              </c:strCache>
            </c:strRef>
          </c:tx>
          <c:spPr>
            <a:ln w="9514" cap="rnd" cmpd="sng" algn="ctr">
              <a:solidFill>
                <a:srgbClr val="000080"/>
              </a:solidFill>
              <a:prstDash val="solid"/>
              <a:round/>
            </a:ln>
          </c:spPr>
          <c:marker>
            <c:symbol val="diamond"/>
            <c:size val="5"/>
            <c:spPr>
              <a:solidFill>
                <a:srgbClr val="000080"/>
              </a:solidFill>
              <a:ln w="6350" cap="flat" cmpd="sng" algn="ctr">
                <a:solidFill>
                  <a:srgbClr val="000080"/>
                </a:solidFill>
                <a:prstDash val="solid"/>
                <a:round/>
              </a:ln>
            </c:spPr>
          </c:marker>
          <c:dLbls>
            <c:dLbl>
              <c:idx val="0"/>
              <c:layout>
                <c:manualLayout>
                  <c:x val="-0.0573618213313014"/>
                  <c:y val="0.07798701803264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0323004137285"/>
                  <c:y val="0.04998475046413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91526479085247"/>
                  <c:y val="-0.081179211049025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0320776212941"/>
                  <c:y val="0.043992461931504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1504532860793"/>
                  <c:y val="-0.06693331371025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19028">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Sheet1!$B$1:$F$1</c:f>
              <c:strCache>
                <c:ptCount val="5"/>
                <c:pt idx="0">
                  <c:v>2021年</c:v>
                </c:pt>
                <c:pt idx="1">
                  <c:v>2022年</c:v>
                </c:pt>
                <c:pt idx="2">
                  <c:v>2023年</c:v>
                </c:pt>
                <c:pt idx="3">
                  <c:v>2024年</c:v>
                </c:pt>
                <c:pt idx="4">
                  <c:v>2025年</c:v>
                </c:pt>
              </c:strCache>
            </c:strRef>
          </c:cat>
          <c:val>
            <c:numRef>
              <c:f>Sheet1!$B$2:$F$2</c:f>
              <c:numCache>
                <c:formatCode>General</c:formatCode>
                <c:ptCount val="5"/>
                <c:pt idx="0">
                  <c:v>10.6</c:v>
                </c:pt>
                <c:pt idx="1">
                  <c:v>6.9</c:v>
                </c:pt>
                <c:pt idx="2">
                  <c:v>8</c:v>
                </c:pt>
                <c:pt idx="3">
                  <c:v>7.1</c:v>
                </c:pt>
                <c:pt idx="4">
                  <c:v>5.9</c:v>
                </c:pt>
              </c:numCache>
            </c:numRef>
          </c:val>
          <c:smooth val="0"/>
        </c:ser>
        <c:dLbls>
          <c:showLegendKey val="0"/>
          <c:showVal val="1"/>
          <c:showCatName val="0"/>
          <c:showSerName val="0"/>
          <c:showPercent val="0"/>
          <c:showBubbleSize val="0"/>
        </c:dLbls>
        <c:marker val="1"/>
        <c:smooth val="0"/>
        <c:axId val="704789000"/>
        <c:axId val="704810560"/>
      </c:lineChart>
      <c:catAx>
        <c:axId val="704789000"/>
        <c:scaling>
          <c:orientation val="minMax"/>
        </c:scaling>
        <c:delete val="0"/>
        <c:axPos val="b"/>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810560"/>
        <c:crosses val="autoZero"/>
        <c:auto val="0"/>
        <c:lblAlgn val="ctr"/>
        <c:lblOffset val="100"/>
        <c:tickLblSkip val="1"/>
        <c:noMultiLvlLbl val="0"/>
      </c:catAx>
      <c:valAx>
        <c:axId val="704810560"/>
        <c:scaling>
          <c:orientation val="minMax"/>
          <c:max val="15"/>
          <c:min val="0"/>
        </c:scaling>
        <c:delete val="0"/>
        <c:axPos val="l"/>
        <c:numFmt formatCode="General" sourceLinked="1"/>
        <c:majorTickMark val="in"/>
        <c:minorTickMark val="none"/>
        <c:tickLblPos val="nextTo"/>
        <c:spPr>
          <a:ln w="2378"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704789000"/>
        <c:crosses val="autoZero"/>
        <c:crossBetween val="between"/>
        <c:majorUnit val="3"/>
      </c:valAx>
      <c:spPr>
        <a:solidFill>
          <a:srgbClr val="FFFFFF"/>
        </a:solidFill>
        <a:ln w="2378">
          <a:solidFill>
            <a:srgbClr val="000000"/>
          </a:solidFill>
          <a:prstDash val="solid"/>
        </a:ln>
      </c:spPr>
    </c:plotArea>
    <c:legend>
      <c:legendPos val="r"/>
      <c:layout>
        <c:manualLayout>
          <c:xMode val="edge"/>
          <c:yMode val="edge"/>
          <c:x val="0.162706214939524"/>
          <c:y val="0.0258691902740841"/>
          <c:w val="0.72132778970577"/>
          <c:h val="0.120097436938429"/>
        </c:manualLayout>
      </c:layout>
      <c:overlay val="0"/>
      <c:spPr>
        <a:solidFill>
          <a:srgbClr val="FFFFFF"/>
        </a:solidFill>
        <a:ln w="2378">
          <a:noFill/>
          <a:prstDash val="soli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extLst>
      <c:ext uri="{0b15fc19-7d7d-44ad-8c2d-2c3a37ce22c3}">
        <chartProps xmlns="https://web.wps.cn/et/2018/main" chartId="{ec930c22-6b88-4ec5-99ce-61e64872ccc2}"/>
      </c:ext>
    </c:extLst>
  </c:chart>
  <c:spPr>
    <a:noFill/>
    <a:ln w="2378" cap="flat" cmpd="sng" algn="ctr">
      <a:solidFill>
        <a:srgbClr val="000000"/>
      </a:solidFill>
      <a:prstDash val="solid"/>
      <a:round/>
    </a:ln>
    <a:effectLst>
      <a:outerShdw dist="35921" dir="2700000" algn="br">
        <a:srgbClr val="000000"/>
      </a:outerShdw>
    </a:effectLst>
  </c:spPr>
  <c:txPr>
    <a:bodyPr/>
    <a:lstStyle/>
    <a:p>
      <a:pPr>
        <a:defRPr lang="zh-CN" sz="10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62fc5403-74c8-471f-9178-df0bbf838736</errorID>
      <errorWord>企业基本养老保险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词汇“企业职工基本养老保险”在特定场景下为固定表述形式，请确认此处的“企业基本养老保险”是否存在不当。</explain>
      <paraID>3585EDBA</paraID>
      <start>6</start>
      <end>14</end>
      <status>ignored</status>
      <modifiedWord/>
      <trackRevisions>false</trackRevisions>
    </reviewItem>
  </reviewItems>
  <config/>
</contractReview>
</file>

<file path=customXml/itemProps1.xml><?xml version="1.0" encoding="utf-8"?>
<ds:datastoreItem xmlns:ds="http://schemas.openxmlformats.org/officeDocument/2006/customXml" ds:itemID="{b77daac3-c81b-4f92-a036-23d502f1ef8e}">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3995</Words>
  <Characters>5084</Characters>
  <Lines>39</Lines>
  <Paragraphs>11</Paragraphs>
  <TotalTime>64</TotalTime>
  <ScaleCrop>false</ScaleCrop>
  <LinksUpToDate>false</LinksUpToDate>
  <CharactersWithSpaces>5238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2021-04-24T17:27:00Z</dcterms:created>
  <dc:creator>Administrator</dc:creator>
  <cp:lastModifiedBy>碧云天</cp:lastModifiedBy>
  <cp:lastPrinted>2026-04-28T08:45:16Z</cp:lastPrinted>
  <dcterms:modified xsi:type="dcterms:W3CDTF">2026-04-28T08:55:22Z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DE7FD22741B045FDA00AA0F511D08453</vt:lpwstr>
  </property>
  <property fmtid="{D5CDD505-2E9C-101B-9397-08002B2CF9AE}" pid="4" name="KSOTemplateDocerSaveRecord">
    <vt:lpwstr>eyJoZGlkIjoiNzI2ZGI0OGUzMDAzMzk0YmE1OTYyMDVlZGMwMmYyODYiLCJ1c2VySWQiOiIxMTM5NjM2MTk5In0=</vt:lpwstr>
  </property>
</Properties>
</file>