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CD9D8">
      <w:pPr>
        <w:widowControl/>
        <w:spacing w:line="580" w:lineRule="exact"/>
        <w:contextualSpacing/>
        <w:jc w:val="center"/>
        <w:rPr>
          <w:rFonts w:hint="default"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统计局</w:t>
      </w:r>
    </w:p>
    <w:p w14:paraId="3D8935EE">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24</w:t>
      </w:r>
      <w:r>
        <w:rPr>
          <w:rFonts w:hint="eastAsia" w:ascii="宋体" w:hAnsi="宋体" w:eastAsia="宋体"/>
          <w:b/>
          <w:sz w:val="44"/>
          <w:szCs w:val="44"/>
          <w:shd w:val="clear" w:color="auto" w:fill="FFFFFF"/>
        </w:rPr>
        <w:t>年度部门整体支出绩效评价</w:t>
      </w:r>
    </w:p>
    <w:p w14:paraId="2C19069C">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14:paraId="318F93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宋体" w:hAnsi="宋体" w:eastAsia="宋体" w:cs="宋体"/>
          <w:b w:val="0"/>
          <w:bCs w:val="0"/>
          <w:i w:val="0"/>
          <w:iCs w:val="0"/>
          <w:caps w:val="0"/>
          <w:color w:val="333333"/>
          <w:spacing w:val="0"/>
          <w:sz w:val="32"/>
          <w:szCs w:val="32"/>
          <w:shd w:val="clear" w:fill="FFFFFF"/>
        </w:rPr>
      </w:pPr>
    </w:p>
    <w:p w14:paraId="05A500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宋体" w:hAnsi="宋体" w:eastAsia="宋体" w:cs="宋体"/>
          <w:b w:val="0"/>
          <w:bCs w:val="0"/>
          <w:i w:val="0"/>
          <w:iCs w:val="0"/>
          <w:caps w:val="0"/>
          <w:color w:val="333333"/>
          <w:spacing w:val="0"/>
          <w:sz w:val="32"/>
          <w:szCs w:val="32"/>
          <w:shd w:val="clear" w:fill="FFFFFF"/>
        </w:rPr>
      </w:pPr>
    </w:p>
    <w:p w14:paraId="6BA11A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bCs/>
          <w:i w:val="0"/>
          <w:iCs w:val="0"/>
          <w:caps w:val="0"/>
          <w:color w:val="333333"/>
          <w:spacing w:val="0"/>
          <w:sz w:val="30"/>
          <w:szCs w:val="30"/>
          <w:lang w:eastAsia="zh-CN"/>
        </w:rPr>
      </w:pPr>
      <w:r>
        <w:rPr>
          <w:rStyle w:val="9"/>
          <w:rFonts w:hint="eastAsia" w:ascii="仿宋_GB2312" w:hAnsi="仿宋_GB2312" w:eastAsia="仿宋_GB2312" w:cs="仿宋_GB2312"/>
          <w:b/>
          <w:bCs/>
          <w:i w:val="0"/>
          <w:iCs w:val="0"/>
          <w:caps w:val="0"/>
          <w:color w:val="333333"/>
          <w:spacing w:val="0"/>
          <w:sz w:val="30"/>
          <w:szCs w:val="30"/>
          <w:shd w:val="clear" w:fill="FFFFFF"/>
        </w:rPr>
        <w:t>一、部门</w:t>
      </w:r>
      <w:r>
        <w:rPr>
          <w:rStyle w:val="9"/>
          <w:rFonts w:hint="eastAsia" w:ascii="仿宋_GB2312" w:hAnsi="仿宋_GB2312" w:eastAsia="仿宋_GB2312" w:cs="仿宋_GB2312"/>
          <w:b/>
          <w:bCs/>
          <w:i w:val="0"/>
          <w:iCs w:val="0"/>
          <w:caps w:val="0"/>
          <w:color w:val="333333"/>
          <w:spacing w:val="0"/>
          <w:sz w:val="30"/>
          <w:szCs w:val="30"/>
          <w:shd w:val="clear" w:fill="FFFFFF"/>
          <w:lang w:eastAsia="zh-CN"/>
        </w:rPr>
        <w:t>基本情况</w:t>
      </w:r>
    </w:p>
    <w:p w14:paraId="5CB4C3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val="0"/>
          <w:bCs w:val="0"/>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t>（一）</w:t>
      </w:r>
      <w:r>
        <w:rPr>
          <w:rStyle w:val="9"/>
          <w:rFonts w:hint="eastAsia" w:ascii="仿宋_GB2312" w:hAnsi="仿宋_GB2312" w:eastAsia="仿宋_GB2312" w:cs="仿宋_GB2312"/>
          <w:b w:val="0"/>
          <w:bCs w:val="0"/>
          <w:i w:val="0"/>
          <w:iCs w:val="0"/>
          <w:caps w:val="0"/>
          <w:color w:val="333333"/>
          <w:spacing w:val="0"/>
          <w:sz w:val="30"/>
          <w:szCs w:val="30"/>
          <w:shd w:val="clear" w:fill="FFFFFF"/>
        </w:rPr>
        <w:t>机构组成</w:t>
      </w:r>
    </w:p>
    <w:p w14:paraId="0CDFC0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333333"/>
          <w:spacing w:val="0"/>
          <w:sz w:val="30"/>
          <w:szCs w:val="30"/>
          <w:shd w:val="clear" w:fill="FFFFFF"/>
        </w:rPr>
        <w:t>峨边彝族自治县统计局属一级预算单位</w:t>
      </w:r>
      <w:r>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333333"/>
          <w:spacing w:val="0"/>
          <w:sz w:val="30"/>
          <w:szCs w:val="30"/>
          <w:shd w:val="clear" w:fill="FFFFFF"/>
        </w:rPr>
        <w:t>下设一个普查中心</w:t>
      </w:r>
      <w:r>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333333"/>
          <w:spacing w:val="0"/>
          <w:sz w:val="30"/>
          <w:szCs w:val="30"/>
          <w:shd w:val="clear" w:fill="FFFFFF"/>
        </w:rPr>
        <w:t>一个社情民意调查中心。单位性质为行政单位。</w:t>
      </w:r>
    </w:p>
    <w:p w14:paraId="569BCAA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t>（二）</w:t>
      </w:r>
      <w:r>
        <w:rPr>
          <w:rStyle w:val="9"/>
          <w:rFonts w:hint="eastAsia" w:ascii="仿宋_GB2312" w:hAnsi="仿宋_GB2312" w:eastAsia="仿宋_GB2312" w:cs="仿宋_GB2312"/>
          <w:b w:val="0"/>
          <w:bCs w:val="0"/>
          <w:i w:val="0"/>
          <w:iCs w:val="0"/>
          <w:caps w:val="0"/>
          <w:color w:val="333333"/>
          <w:spacing w:val="0"/>
          <w:sz w:val="30"/>
          <w:szCs w:val="30"/>
          <w:shd w:val="clear" w:fill="FFFFFF"/>
        </w:rPr>
        <w:t>机构职能</w:t>
      </w:r>
      <w:r>
        <w:rPr>
          <w:rStyle w:val="9"/>
          <w:rFonts w:hint="eastAsia" w:ascii="仿宋_GB2312" w:hAnsi="仿宋_GB2312" w:eastAsia="仿宋_GB2312" w:cs="仿宋_GB2312"/>
          <w:b w:val="0"/>
          <w:bCs w:val="0"/>
          <w:i w:val="0"/>
          <w:iCs w:val="0"/>
          <w:caps w:val="0"/>
          <w:color w:val="333333"/>
          <w:spacing w:val="0"/>
          <w:sz w:val="30"/>
          <w:szCs w:val="30"/>
          <w:shd w:val="clear" w:fill="FFFFFF"/>
          <w:lang w:eastAsia="zh-CN"/>
        </w:rPr>
        <w:t>和人员概况</w:t>
      </w:r>
    </w:p>
    <w:p w14:paraId="36A4B85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9"/>
          <w:rFonts w:hint="eastAsia" w:ascii="仿宋_GB2312" w:hAnsi="仿宋_GB2312" w:eastAsia="仿宋_GB2312" w:cs="仿宋_GB2312"/>
          <w:b w:val="0"/>
          <w:bCs w:val="0"/>
          <w:i w:val="0"/>
          <w:iCs w:val="0"/>
          <w:caps w:val="0"/>
          <w:color w:val="333333"/>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333333"/>
          <w:spacing w:val="0"/>
          <w:sz w:val="30"/>
          <w:szCs w:val="30"/>
          <w:shd w:val="clear" w:fill="FFFFFF"/>
          <w:lang w:val="en-US" w:eastAsia="zh-CN"/>
        </w:rPr>
        <w:t>1.机构职能</w:t>
      </w:r>
    </w:p>
    <w:p w14:paraId="08137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00" w:firstLineChars="10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1</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贯彻执行国家有关统计工作的</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9"/>
          <w:rFonts w:hint="eastAsia" w:ascii="仿宋_GB2312" w:hAnsi="仿宋_GB2312" w:eastAsia="仿宋_GB2312" w:cs="仿宋_GB2312"/>
          <w:b w:val="0"/>
          <w:bCs w:val="0"/>
          <w:i w:val="0"/>
          <w:iCs w:val="0"/>
          <w:caps w:val="0"/>
          <w:color w:val="000000"/>
          <w:spacing w:val="0"/>
          <w:sz w:val="30"/>
          <w:szCs w:val="30"/>
          <w:shd w:val="clear" w:fill="FFFFFF"/>
        </w:rPr>
        <w:t>、草拟全县统计现代化建设规划和统计调查计划</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组织领导和监督全县各乡镇、各部门的统计和国民经济核算工作</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监督检查统计</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9"/>
          <w:rFonts w:hint="eastAsia" w:ascii="仿宋_GB2312" w:hAnsi="仿宋_GB2312" w:eastAsia="仿宋_GB2312" w:cs="仿宋_GB2312"/>
          <w:b w:val="0"/>
          <w:bCs w:val="0"/>
          <w:i w:val="0"/>
          <w:iCs w:val="0"/>
          <w:caps w:val="0"/>
          <w:color w:val="000000"/>
          <w:spacing w:val="0"/>
          <w:sz w:val="30"/>
          <w:szCs w:val="30"/>
          <w:shd w:val="clear" w:fill="FFFFFF"/>
        </w:rPr>
        <w:t>的实施。</w:t>
      </w:r>
    </w:p>
    <w:p w14:paraId="0B768D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2</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负责建立健全全县国民经济核算体系</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建立和管理全县基本统计报表。</w:t>
      </w:r>
    </w:p>
    <w:p w14:paraId="30FA51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3</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负责组织实施全县农林牧渔业、工业、建筑业、批发和零售业、住宿和餐饮业、房地产业等国民经济行业以及能源、投资、人口、收入、社会发展基本情况等领域的统计调查。</w:t>
      </w:r>
    </w:p>
    <w:p w14:paraId="64A1DE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4</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监督检查统计</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法律法规</w:t>
      </w:r>
      <w:r>
        <w:rPr>
          <w:rStyle w:val="9"/>
          <w:rFonts w:hint="eastAsia" w:ascii="仿宋_GB2312" w:hAnsi="仿宋_GB2312" w:eastAsia="仿宋_GB2312" w:cs="仿宋_GB2312"/>
          <w:b w:val="0"/>
          <w:bCs w:val="0"/>
          <w:i w:val="0"/>
          <w:iCs w:val="0"/>
          <w:caps w:val="0"/>
          <w:color w:val="000000"/>
          <w:spacing w:val="0"/>
          <w:sz w:val="30"/>
          <w:szCs w:val="30"/>
          <w:shd w:val="clear" w:fill="FFFFFF"/>
        </w:rPr>
        <w:t>的贯彻执行</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组织开展全县性的统计法规大检查。</w:t>
      </w:r>
    </w:p>
    <w:p w14:paraId="4CFAAD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5</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负责组织实施全县人口普查、经济普查、农业普查、重大国情国力专项调查、投入产出调查以及社情民意调查</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汇总、整理全县的基本统计资料</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对全县国民经济、社会发展等情况进行统计分析和预测</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向市统计局和自治县委、自治县政府及有关部门提供统计信息和咨询建议</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向社会公众提供统计信息服务。</w:t>
      </w:r>
    </w:p>
    <w:p w14:paraId="06C3B6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6</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负责管理和组织峨边彝族自治县统计局普查中心和峨边彝族自治县统计局社情民意调查中心的相应工作</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组织管理全县统计专业资格考试和职务评审。</w:t>
      </w:r>
    </w:p>
    <w:p w14:paraId="4E87FB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7</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负责全县统计信息化管理</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建立健全和管理全县基本单位名录库</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牵头构建全县信息化网络体系</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建立健全全县统计数据库系统、统计信息自动化系统和县级部门统计信息共享制度</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指导地方统计信息化建设。</w:t>
      </w:r>
    </w:p>
    <w:p w14:paraId="108FC0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00" w:firstLineChars="10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8</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承担自治县政府公布的有关行政审批事项。</w:t>
      </w:r>
    </w:p>
    <w:p w14:paraId="0D7E38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9</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承办自治县委、自治县政府交办的其他事项。</w:t>
      </w:r>
    </w:p>
    <w:p w14:paraId="61337B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b w:val="0"/>
          <w:bCs w:val="0"/>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333333"/>
          <w:spacing w:val="0"/>
          <w:sz w:val="30"/>
          <w:szCs w:val="30"/>
          <w:shd w:val="clear" w:fill="FFFFFF"/>
          <w:lang w:val="en-US" w:eastAsia="zh-CN"/>
        </w:rPr>
        <w:t>2.</w:t>
      </w:r>
      <w:r>
        <w:rPr>
          <w:rStyle w:val="9"/>
          <w:rFonts w:hint="eastAsia" w:ascii="仿宋_GB2312" w:hAnsi="仿宋_GB2312" w:eastAsia="仿宋_GB2312" w:cs="仿宋_GB2312"/>
          <w:b w:val="0"/>
          <w:bCs w:val="0"/>
          <w:i w:val="0"/>
          <w:iCs w:val="0"/>
          <w:caps w:val="0"/>
          <w:color w:val="333333"/>
          <w:spacing w:val="0"/>
          <w:sz w:val="30"/>
          <w:szCs w:val="30"/>
          <w:shd w:val="clear" w:fill="FFFFFF"/>
        </w:rPr>
        <w:t>人员概况</w:t>
      </w:r>
    </w:p>
    <w:p w14:paraId="3540D9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rPr>
      </w:pPr>
      <w:r>
        <w:rPr>
          <w:rStyle w:val="9"/>
          <w:rFonts w:hint="eastAsia" w:ascii="仿宋_GB2312" w:hAnsi="仿宋_GB2312" w:eastAsia="仿宋_GB2312" w:cs="仿宋_GB2312"/>
          <w:b w:val="0"/>
          <w:bCs w:val="0"/>
          <w:i w:val="0"/>
          <w:iCs w:val="0"/>
          <w:caps w:val="0"/>
          <w:color w:val="000000"/>
          <w:spacing w:val="0"/>
          <w:sz w:val="30"/>
          <w:szCs w:val="30"/>
          <w:shd w:val="clear" w:fill="FFFFFF"/>
        </w:rPr>
        <w:t>202</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4</w:t>
      </w:r>
      <w:r>
        <w:rPr>
          <w:rStyle w:val="9"/>
          <w:rFonts w:hint="eastAsia" w:ascii="仿宋_GB2312" w:hAnsi="仿宋_GB2312" w:eastAsia="仿宋_GB2312" w:cs="仿宋_GB2312"/>
          <w:b w:val="0"/>
          <w:bCs w:val="0"/>
          <w:i w:val="0"/>
          <w:iCs w:val="0"/>
          <w:caps w:val="0"/>
          <w:color w:val="000000"/>
          <w:spacing w:val="0"/>
          <w:sz w:val="30"/>
          <w:szCs w:val="30"/>
          <w:shd w:val="clear" w:fill="FFFFFF"/>
        </w:rPr>
        <w:t>年末</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统计局在职人员总数1</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6</w:t>
      </w:r>
      <w:r>
        <w:rPr>
          <w:rStyle w:val="9"/>
          <w:rFonts w:hint="eastAsia" w:ascii="仿宋_GB2312" w:hAnsi="仿宋_GB2312" w:eastAsia="仿宋_GB2312" w:cs="仿宋_GB2312"/>
          <w:b w:val="0"/>
          <w:bCs w:val="0"/>
          <w:i w:val="0"/>
          <w:iCs w:val="0"/>
          <w:caps w:val="0"/>
          <w:color w:val="000000"/>
          <w:spacing w:val="0"/>
          <w:sz w:val="30"/>
          <w:szCs w:val="30"/>
          <w:shd w:val="clear" w:fill="FFFFFF"/>
        </w:rPr>
        <w:t>名</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其中</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公务员及参照公务员管理人员</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10</w:t>
      </w:r>
      <w:r>
        <w:rPr>
          <w:rStyle w:val="9"/>
          <w:rFonts w:hint="eastAsia" w:ascii="仿宋_GB2312" w:hAnsi="仿宋_GB2312" w:eastAsia="仿宋_GB2312" w:cs="仿宋_GB2312"/>
          <w:b w:val="0"/>
          <w:bCs w:val="0"/>
          <w:i w:val="0"/>
          <w:iCs w:val="0"/>
          <w:caps w:val="0"/>
          <w:color w:val="000000"/>
          <w:spacing w:val="0"/>
          <w:sz w:val="30"/>
          <w:szCs w:val="30"/>
          <w:shd w:val="clear" w:fill="FFFFFF"/>
        </w:rPr>
        <w:t>名</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事业</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6</w:t>
      </w:r>
      <w:r>
        <w:rPr>
          <w:rStyle w:val="9"/>
          <w:rFonts w:hint="eastAsia" w:ascii="仿宋_GB2312" w:hAnsi="仿宋_GB2312" w:eastAsia="仿宋_GB2312" w:cs="仿宋_GB2312"/>
          <w:b w:val="0"/>
          <w:bCs w:val="0"/>
          <w:i w:val="0"/>
          <w:iCs w:val="0"/>
          <w:caps w:val="0"/>
          <w:color w:val="000000"/>
          <w:spacing w:val="0"/>
          <w:sz w:val="30"/>
          <w:szCs w:val="30"/>
          <w:shd w:val="clear" w:fill="FFFFFF"/>
        </w:rPr>
        <w:t>名。</w:t>
      </w:r>
    </w:p>
    <w:p w14:paraId="0A88E8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三、年度主要工作任务</w:t>
      </w:r>
    </w:p>
    <w:p w14:paraId="4860A4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（一）强化党建引领，锻造过硬统计队伍</w:t>
      </w:r>
    </w:p>
    <w:p w14:paraId="55611B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以“党建红”引领“统计蓝”，全年研究部署党风廉政建设、意识形态等工作13次，开展党组中心组学习12次，深入学习贯彻党的二十大精神及习近平总书记关于统计工作重要论述。全年组织干部以集中收看警示片、开展主题党日活动、参观廉洁文化馆等方式开展廉政警示教育4次。不断优化干部成长路径，聚焦于统计队伍建设。一是针对统计工作专业性强的问题，积极开展多层次统计业务知识、法律知识培训活动，实现乡镇、企业“全覆盖”。二是在全局干部中“优中选优”，选派1名优秀干部参加我县组织的“百日炼钢”培训。</w:t>
      </w:r>
    </w:p>
    <w:p w14:paraId="2E660E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（二）深耕主责主业，提升统计服务质效</w:t>
      </w:r>
    </w:p>
    <w:p w14:paraId="034545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一是凸显统计的经济运行“晴雨表”作用。持续执行“周监测、月分析、季研判”工作机制，编发《统计月报》11期，《统计专报》2期，</w:t>
      </w:r>
      <w:bookmarkStart w:id="0" w:name="OLE_LINK1"/>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每季度按时</w:t>
      </w:r>
      <w:bookmarkEnd w:id="0"/>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撰写经济运行情况分析，做好各行业经济指标的横向对比与纵向对比，预警经济波动风险点，及时向</w:t>
      </w:r>
      <w:bookmarkStart w:id="1" w:name="_GoBack"/>
      <w:bookmarkEnd w:id="1"/>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县领导汇报分析情况。</w:t>
      </w:r>
    </w:p>
    <w:p w14:paraId="2EF0D2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二是高质量完成重大普查调查工作。扛牢行业主管责任，严谨细致、科学精准开展普查，按照各时间节点高质量完成第五次全国经济普查入户登记阶段工作。共完成全县2248个从事二、三产业普查对象单位以及330户抽样个体户入户登记工作，坚持做到查清、查全、查准、查实，确保普查数据全面真实准确反映峨边发展，助力推进建设现代化峨边。</w:t>
      </w:r>
    </w:p>
    <w:p w14:paraId="3923D8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pPr>
    </w:p>
    <w:p w14:paraId="3A5F3E5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（四）部门整体支出绩效目标</w:t>
      </w:r>
    </w:p>
    <w:p w14:paraId="506A44FE">
      <w:pPr>
        <w:keepNext w:val="0"/>
        <w:keepLines w:val="0"/>
        <w:pageBreakBefore w:val="0"/>
        <w:widowControl/>
        <w:kinsoku/>
        <w:wordWrap/>
        <w:overflowPunct/>
        <w:topLinePunct w:val="0"/>
        <w:bidi w:val="0"/>
        <w:adjustRightInd w:val="0"/>
        <w:snapToGrid w:val="0"/>
        <w:spacing w:line="600" w:lineRule="exact"/>
        <w:ind w:firstLine="600" w:firstLineChars="200"/>
        <w:contextualSpacing/>
        <w:jc w:val="both"/>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zh-CN"/>
        </w:rPr>
        <w:t>通过年初</w:t>
      </w:r>
      <w:r>
        <w:rPr>
          <w:rFonts w:hint="eastAsia" w:ascii="仿宋_GB2312" w:hAnsi="仿宋_GB2312" w:eastAsia="仿宋_GB2312" w:cs="仿宋_GB2312"/>
          <w:color w:val="000000"/>
          <w:kern w:val="0"/>
          <w:sz w:val="30"/>
          <w:szCs w:val="30"/>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79D24C3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Fonts w:hint="eastAsia" w:ascii="仿宋_GB2312" w:hAnsi="仿宋_GB2312" w:eastAsia="仿宋_GB2312" w:cs="仿宋_GB2312"/>
          <w:b/>
          <w:bCs/>
          <w:i w:val="0"/>
          <w:iCs w:val="0"/>
          <w:caps w:val="0"/>
          <w:color w:val="333333"/>
          <w:spacing w:val="0"/>
          <w:sz w:val="30"/>
          <w:szCs w:val="30"/>
        </w:rPr>
      </w:pPr>
      <w:r>
        <w:rPr>
          <w:rStyle w:val="9"/>
          <w:rFonts w:hint="eastAsia" w:ascii="仿宋_GB2312" w:hAnsi="仿宋_GB2312" w:eastAsia="仿宋_GB2312" w:cs="仿宋_GB2312"/>
          <w:b/>
          <w:bCs/>
          <w:i w:val="0"/>
          <w:iCs w:val="0"/>
          <w:caps w:val="0"/>
          <w:color w:val="000000"/>
          <w:spacing w:val="0"/>
          <w:sz w:val="30"/>
          <w:szCs w:val="30"/>
          <w:shd w:val="clear" w:fill="FFFFFF"/>
        </w:rPr>
        <w:t>二、部门财政资金收支情况</w:t>
      </w:r>
    </w:p>
    <w:p w14:paraId="2AFC6C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（一）</w:t>
      </w:r>
      <w:r>
        <w:rPr>
          <w:rStyle w:val="9"/>
          <w:rFonts w:hint="eastAsia" w:ascii="仿宋_GB2312" w:hAnsi="仿宋_GB2312" w:eastAsia="仿宋_GB2312" w:cs="仿宋_GB2312"/>
          <w:b w:val="0"/>
          <w:bCs w:val="0"/>
          <w:i w:val="0"/>
          <w:iCs w:val="0"/>
          <w:caps w:val="0"/>
          <w:color w:val="000000"/>
          <w:spacing w:val="0"/>
          <w:sz w:val="30"/>
          <w:szCs w:val="30"/>
          <w:shd w:val="clear" w:fill="FFFFFF"/>
        </w:rPr>
        <w:t>部门财政资金收入情况。</w:t>
      </w:r>
    </w:p>
    <w:p w14:paraId="17705E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eastAsia" w:ascii="仿宋_GB2312" w:hAnsi="仿宋_GB2312" w:eastAsia="仿宋_GB2312" w:cs="仿宋_GB2312"/>
          <w:i w:val="0"/>
          <w:iCs w:val="0"/>
          <w:caps w:val="0"/>
          <w:color w:val="333333"/>
          <w:spacing w:val="0"/>
          <w:sz w:val="30"/>
          <w:szCs w:val="30"/>
        </w:rPr>
      </w:pPr>
      <w:r>
        <w:rPr>
          <w:rStyle w:val="9"/>
          <w:rFonts w:hint="eastAsia" w:ascii="仿宋_GB2312" w:hAnsi="仿宋_GB2312" w:eastAsia="仿宋_GB2312" w:cs="仿宋_GB2312"/>
          <w:b w:val="0"/>
          <w:bCs w:val="0"/>
          <w:i w:val="0"/>
          <w:iCs w:val="0"/>
          <w:caps w:val="0"/>
          <w:color w:val="000000"/>
          <w:spacing w:val="0"/>
          <w:sz w:val="30"/>
          <w:szCs w:val="30"/>
          <w:shd w:val="clear" w:fill="FFFFFF"/>
        </w:rPr>
        <w:t>统计局202</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4</w:t>
      </w:r>
      <w:r>
        <w:rPr>
          <w:rStyle w:val="9"/>
          <w:rFonts w:hint="eastAsia" w:ascii="仿宋_GB2312" w:hAnsi="仿宋_GB2312" w:eastAsia="仿宋_GB2312" w:cs="仿宋_GB2312"/>
          <w:b w:val="0"/>
          <w:bCs w:val="0"/>
          <w:i w:val="0"/>
          <w:iCs w:val="0"/>
          <w:caps w:val="0"/>
          <w:color w:val="000000"/>
          <w:spacing w:val="0"/>
          <w:sz w:val="30"/>
          <w:szCs w:val="30"/>
          <w:shd w:val="clear" w:fill="FFFFFF"/>
        </w:rPr>
        <w:t>年财政拨款预算收入</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501.95</w:t>
      </w:r>
      <w:r>
        <w:rPr>
          <w:rStyle w:val="9"/>
          <w:rFonts w:hint="eastAsia" w:ascii="仿宋_GB2312" w:hAnsi="仿宋_GB2312" w:eastAsia="仿宋_GB2312" w:cs="仿宋_GB2312"/>
          <w:b w:val="0"/>
          <w:bCs w:val="0"/>
          <w:i w:val="0"/>
          <w:iCs w:val="0"/>
          <w:caps w:val="0"/>
          <w:color w:val="000000"/>
          <w:spacing w:val="0"/>
          <w:sz w:val="30"/>
          <w:szCs w:val="30"/>
          <w:shd w:val="clear" w:fill="FFFFFF"/>
        </w:rPr>
        <w:t>万元。其中上级资金</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0</w:t>
      </w:r>
      <w:r>
        <w:rPr>
          <w:rStyle w:val="9"/>
          <w:rFonts w:hint="eastAsia" w:ascii="仿宋_GB2312" w:hAnsi="仿宋_GB2312" w:eastAsia="仿宋_GB2312" w:cs="仿宋_GB2312"/>
          <w:b w:val="0"/>
          <w:bCs w:val="0"/>
          <w:i w:val="0"/>
          <w:iCs w:val="0"/>
          <w:caps w:val="0"/>
          <w:color w:val="000000"/>
          <w:spacing w:val="0"/>
          <w:sz w:val="30"/>
          <w:szCs w:val="30"/>
          <w:shd w:val="clear" w:fill="FFFFFF"/>
        </w:rPr>
        <w:t>万元</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000000"/>
          <w:spacing w:val="0"/>
          <w:sz w:val="30"/>
          <w:szCs w:val="30"/>
          <w:shd w:val="clear" w:fill="FFFFFF"/>
        </w:rPr>
        <w:t>县级资金</w:t>
      </w:r>
      <w:r>
        <w:rPr>
          <w:rStyle w:val="9"/>
          <w:rFonts w:hint="eastAsia" w:ascii="仿宋_GB2312" w:hAnsi="仿宋_GB2312" w:eastAsia="仿宋_GB2312" w:cs="仿宋_GB2312"/>
          <w:b w:val="0"/>
          <w:bCs w:val="0"/>
          <w:i w:val="0"/>
          <w:iCs w:val="0"/>
          <w:caps w:val="0"/>
          <w:color w:val="000000"/>
          <w:spacing w:val="0"/>
          <w:sz w:val="30"/>
          <w:szCs w:val="30"/>
          <w:shd w:val="clear" w:fill="FFFFFF"/>
          <w:lang w:val="en-US" w:eastAsia="zh-CN"/>
        </w:rPr>
        <w:t>501.95</w:t>
      </w:r>
      <w:r>
        <w:rPr>
          <w:rStyle w:val="9"/>
          <w:rFonts w:hint="eastAsia" w:ascii="仿宋_GB2312" w:hAnsi="仿宋_GB2312" w:eastAsia="仿宋_GB2312" w:cs="仿宋_GB2312"/>
          <w:b w:val="0"/>
          <w:bCs w:val="0"/>
          <w:i w:val="0"/>
          <w:iCs w:val="0"/>
          <w:caps w:val="0"/>
          <w:color w:val="000000"/>
          <w:spacing w:val="0"/>
          <w:sz w:val="30"/>
          <w:szCs w:val="30"/>
          <w:shd w:val="clear" w:fill="FFFFFF"/>
        </w:rPr>
        <w:t>万元。</w:t>
      </w:r>
    </w:p>
    <w:p w14:paraId="4D041DCE">
      <w:pPr>
        <w:keepNext w:val="0"/>
        <w:keepLines w:val="0"/>
        <w:pageBreakBefore w:val="0"/>
        <w:widowControl/>
        <w:numPr>
          <w:ilvl w:val="0"/>
          <w:numId w:val="1"/>
        </w:numPr>
        <w:kinsoku/>
        <w:wordWrap/>
        <w:overflowPunct/>
        <w:topLinePunct w:val="0"/>
        <w:bidi w:val="0"/>
        <w:adjustRightInd w:val="0"/>
        <w:snapToGrid w:val="0"/>
        <w:spacing w:line="600" w:lineRule="exact"/>
        <w:ind w:firstLine="600" w:firstLineChars="200"/>
        <w:contextualSpacing/>
        <w:jc w:val="both"/>
        <w:rPr>
          <w:rStyle w:val="9"/>
          <w:rFonts w:hint="eastAsia" w:ascii="仿宋_GB2312" w:hAnsi="仿宋_GB2312" w:eastAsia="仿宋_GB2312" w:cs="仿宋_GB2312"/>
          <w:b w:val="0"/>
          <w:bCs w:val="0"/>
          <w:i w:val="0"/>
          <w:iCs w:val="0"/>
          <w:caps w:val="0"/>
          <w:color w:val="000000"/>
          <w:spacing w:val="0"/>
          <w:sz w:val="30"/>
          <w:szCs w:val="30"/>
          <w:shd w:val="clear" w:fill="FFFFFF"/>
        </w:rPr>
      </w:pPr>
      <w:r>
        <w:rPr>
          <w:rStyle w:val="9"/>
          <w:rFonts w:hint="eastAsia" w:ascii="仿宋_GB2312" w:hAnsi="仿宋_GB2312" w:eastAsia="仿宋_GB2312" w:cs="仿宋_GB2312"/>
          <w:b w:val="0"/>
          <w:bCs w:val="0"/>
          <w:i w:val="0"/>
          <w:iCs w:val="0"/>
          <w:caps w:val="0"/>
          <w:color w:val="000000"/>
          <w:spacing w:val="0"/>
          <w:sz w:val="30"/>
          <w:szCs w:val="30"/>
          <w:shd w:val="clear" w:fill="FFFFFF"/>
        </w:rPr>
        <w:t>部门财政资金支出情况</w:t>
      </w:r>
    </w:p>
    <w:p w14:paraId="327BB273">
      <w:pPr>
        <w:keepNext w:val="0"/>
        <w:keepLines w:val="0"/>
        <w:pageBreakBefore w:val="0"/>
        <w:widowControl/>
        <w:numPr>
          <w:ilvl w:val="0"/>
          <w:numId w:val="0"/>
        </w:numPr>
        <w:kinsoku/>
        <w:wordWrap/>
        <w:overflowPunct/>
        <w:topLinePunct w:val="0"/>
        <w:bidi w:val="0"/>
        <w:adjustRightInd w:val="0"/>
        <w:snapToGrid w:val="0"/>
        <w:spacing w:line="600" w:lineRule="exact"/>
        <w:ind w:firstLine="600" w:firstLineChars="200"/>
        <w:contextualSpacing/>
        <w:jc w:val="both"/>
        <w:rPr>
          <w:rFonts w:hint="eastAsia" w:ascii="仿宋_GB2312" w:hAnsi="仿宋_GB2312" w:eastAsia="仿宋_GB2312" w:cs="仿宋_GB2312"/>
          <w:kern w:val="0"/>
          <w:sz w:val="30"/>
          <w:szCs w:val="30"/>
          <w:lang w:val="zh-CN"/>
        </w:rPr>
      </w:pPr>
      <w:r>
        <w:rPr>
          <w:rFonts w:hint="eastAsia" w:ascii="仿宋_GB2312" w:hAnsi="仿宋_GB2312" w:eastAsia="仿宋_GB2312" w:cs="仿宋_GB2312"/>
          <w:kern w:val="0"/>
          <w:sz w:val="30"/>
          <w:szCs w:val="30"/>
          <w:lang w:val="en-US" w:eastAsia="zh-CN"/>
        </w:rPr>
        <w:t>2024年我单位财政资金支出501.95万元，其中基本支出</w:t>
      </w:r>
      <w:r>
        <w:rPr>
          <w:rFonts w:hint="eastAsia" w:ascii="仿宋_GB2312" w:hAnsi="仿宋_GB2312" w:eastAsia="仿宋_GB2312" w:cs="仿宋_GB2312"/>
          <w:sz w:val="30"/>
          <w:szCs w:val="30"/>
          <w:lang w:val="en-US" w:eastAsia="zh-CN"/>
        </w:rPr>
        <w:t>314.08</w:t>
      </w:r>
      <w:r>
        <w:rPr>
          <w:rFonts w:hint="eastAsia" w:ascii="仿宋_GB2312" w:hAnsi="仿宋_GB2312" w:eastAsia="仿宋_GB2312" w:cs="仿宋_GB2312"/>
          <w:kern w:val="0"/>
          <w:sz w:val="30"/>
          <w:szCs w:val="30"/>
          <w:lang w:val="en-US" w:eastAsia="zh-CN"/>
        </w:rPr>
        <w:t>万元，项目支出</w:t>
      </w:r>
      <w:r>
        <w:rPr>
          <w:rFonts w:hint="eastAsia" w:ascii="仿宋_GB2312" w:hAnsi="仿宋_GB2312" w:eastAsia="仿宋_GB2312" w:cs="仿宋_GB2312"/>
          <w:sz w:val="30"/>
          <w:szCs w:val="30"/>
          <w:lang w:val="en-US" w:eastAsia="zh-CN"/>
        </w:rPr>
        <w:t>187.87</w:t>
      </w:r>
      <w:r>
        <w:rPr>
          <w:rFonts w:hint="eastAsia" w:ascii="仿宋_GB2312" w:hAnsi="仿宋_GB2312" w:eastAsia="仿宋_GB2312" w:cs="仿宋_GB2312"/>
          <w:kern w:val="0"/>
          <w:sz w:val="30"/>
          <w:szCs w:val="30"/>
          <w:lang w:val="en-US" w:eastAsia="zh-CN"/>
        </w:rPr>
        <w:t>万元，我单位</w:t>
      </w:r>
      <w:r>
        <w:rPr>
          <w:rFonts w:hint="eastAsia" w:ascii="仿宋_GB2312" w:hAnsi="仿宋_GB2312" w:eastAsia="仿宋_GB2312" w:cs="仿宋_GB2312"/>
          <w:kern w:val="0"/>
          <w:sz w:val="30"/>
          <w:szCs w:val="30"/>
          <w:lang w:val="zh-CN"/>
        </w:rPr>
        <w:t>遵循不超预算、不超范围支出原则，每年按照年初预算指标结合单位工作开展实际需要向县财政提交用款计划表，财政审核过后下达资金给各单位，各单位再按实际需要列支，在列支每一笔经费时都按照专款专用、按实列支、</w:t>
      </w:r>
      <w:r>
        <w:rPr>
          <w:rFonts w:hint="eastAsia" w:ascii="仿宋_GB2312" w:hAnsi="仿宋_GB2312" w:eastAsia="仿宋_GB2312" w:cs="仿宋_GB2312"/>
          <w:b w:val="0"/>
          <w:bCs w:val="0"/>
          <w:kern w:val="0"/>
          <w:sz w:val="30"/>
          <w:szCs w:val="30"/>
          <w:lang w:val="zh-CN"/>
        </w:rPr>
        <w:t>票据齐全等要求进行支付，不浪费、不违规使用资金。确保营造一个健康、有序的财政资</w:t>
      </w:r>
      <w:r>
        <w:rPr>
          <w:rFonts w:hint="eastAsia" w:ascii="仿宋_GB2312" w:hAnsi="仿宋_GB2312" w:eastAsia="仿宋_GB2312" w:cs="仿宋_GB2312"/>
          <w:kern w:val="0"/>
          <w:sz w:val="30"/>
          <w:szCs w:val="30"/>
          <w:lang w:val="zh-CN"/>
        </w:rPr>
        <w:t>金支出环境。</w:t>
      </w:r>
    </w:p>
    <w:p w14:paraId="0CA797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600" w:firstLineChars="200"/>
        <w:jc w:val="both"/>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（三）部门财政资金结转结余情况。无</w:t>
      </w:r>
    </w:p>
    <w:p w14:paraId="3211EC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2"/>
        </w:tabs>
        <w:spacing w:before="0" w:beforeAutospacing="0" w:after="105" w:afterAutospacing="0" w:line="23" w:lineRule="atLeast"/>
        <w:ind w:right="0" w:firstLine="301" w:firstLineChars="100"/>
        <w:jc w:val="both"/>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9"/>
          <w:rFonts w:hint="eastAsia" w:ascii="仿宋_GB2312" w:hAnsi="仿宋_GB2312" w:eastAsia="仿宋_GB2312" w:cs="仿宋_GB2312"/>
          <w:b/>
          <w:bCs/>
          <w:i w:val="0"/>
          <w:iCs w:val="0"/>
          <w:caps w:val="0"/>
          <w:color w:val="000000"/>
          <w:spacing w:val="0"/>
          <w:sz w:val="30"/>
          <w:szCs w:val="30"/>
          <w:shd w:val="clear" w:fill="FFFFFF"/>
        </w:rPr>
        <w:t>三、部门整体</w:t>
      </w:r>
      <w:r>
        <w:rPr>
          <w:rStyle w:val="9"/>
          <w:rFonts w:hint="eastAsia" w:ascii="仿宋_GB2312" w:hAnsi="仿宋_GB2312" w:eastAsia="仿宋_GB2312" w:cs="仿宋_GB2312"/>
          <w:b/>
          <w:bCs/>
          <w:i w:val="0"/>
          <w:iCs w:val="0"/>
          <w:caps w:val="0"/>
          <w:color w:val="000000"/>
          <w:spacing w:val="0"/>
          <w:sz w:val="30"/>
          <w:szCs w:val="30"/>
          <w:shd w:val="clear" w:fill="FFFFFF"/>
          <w:lang w:eastAsia="zh-CN"/>
        </w:rPr>
        <w:t>绩效管理情况</w:t>
      </w:r>
    </w:p>
    <w:p w14:paraId="70F273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spacing w:before="0" w:beforeAutospacing="0" w:after="105" w:afterAutospacing="0" w:line="23" w:lineRule="atLeast"/>
        <w:ind w:left="0" w:right="0" w:firstLine="420"/>
        <w:jc w:val="both"/>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（一）部门整体履职绩效分析</w:t>
      </w:r>
      <w:r>
        <w:rPr>
          <w:rStyle w:val="9"/>
          <w:rFonts w:hint="eastAsia" w:ascii="仿宋_GB2312" w:hAnsi="仿宋_GB2312" w:eastAsia="仿宋_GB2312" w:cs="仿宋_GB2312"/>
          <w:b w:val="0"/>
          <w:bCs w:val="0"/>
          <w:i w:val="0"/>
          <w:iCs w:val="0"/>
          <w:caps w:val="0"/>
          <w:color w:val="000000"/>
          <w:spacing w:val="0"/>
          <w:sz w:val="30"/>
          <w:szCs w:val="30"/>
          <w:shd w:val="clear" w:fill="FFFFFF"/>
          <w:lang w:eastAsia="zh-CN"/>
        </w:rPr>
        <w:tab/>
      </w:r>
    </w:p>
    <w:p w14:paraId="5FCDDF70">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2024年县统计局根据历年单位工作需要以及人员经费进行了资金预算，并对除人员基本经费以外的资金依照其使用作用进行细化编制。还制定保运转的行政指标体系专项预算管理项目1个，确保2024年度全局工作顺利开展和完成。</w:t>
      </w:r>
    </w:p>
    <w:p w14:paraId="5F51363E">
      <w:pPr>
        <w:widowControl/>
        <w:numPr>
          <w:ilvl w:val="0"/>
          <w:numId w:val="2"/>
        </w:numPr>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特定目标类项目绩效分析</w:t>
      </w:r>
    </w:p>
    <w:p w14:paraId="19E075BF">
      <w:pPr>
        <w:widowControl/>
        <w:numPr>
          <w:ilvl w:val="0"/>
          <w:numId w:val="0"/>
        </w:numPr>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b w:val="0"/>
          <w:bCs w:val="0"/>
          <w:color w:val="auto"/>
          <w:kern w:val="0"/>
          <w:sz w:val="30"/>
          <w:szCs w:val="30"/>
          <w:lang w:val="en-US" w:eastAsia="zh-CN"/>
        </w:rPr>
        <w:t>2024年我单位结合业务工作需要制定了特定目标类项目年初预算，各项目按照计划有序实施，在实施过程中进行了事前、事中及事后自查和监督，确保了所有项目有序、规范开展，按照项目实施进度支付经费，项目实际完成任务量和效果达到规划预期情况。</w:t>
      </w:r>
      <w:r>
        <w:rPr>
          <w:rFonts w:hint="eastAsia" w:ascii="仿宋_GB2312" w:hAnsi="仿宋_GB2312" w:eastAsia="仿宋_GB2312" w:cs="仿宋_GB2312"/>
          <w:color w:val="000000"/>
          <w:kern w:val="0"/>
          <w:sz w:val="30"/>
          <w:szCs w:val="30"/>
          <w:shd w:val="clear" w:color="auto" w:fill="FFFFFF"/>
          <w:lang w:val="en-US" w:eastAsia="zh-CN"/>
        </w:rPr>
        <w:t>资金支出无违规、预警记录现象。</w:t>
      </w:r>
    </w:p>
    <w:p w14:paraId="1D378C23">
      <w:pPr>
        <w:widowControl/>
        <w:numPr>
          <w:ilvl w:val="0"/>
          <w:numId w:val="0"/>
        </w:numPr>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eastAsia="zh-CN"/>
        </w:rPr>
      </w:pPr>
      <w:r>
        <w:rPr>
          <w:rFonts w:hint="eastAsia" w:ascii="仿宋_GB2312" w:hAnsi="仿宋_GB2312" w:eastAsia="仿宋_GB2312" w:cs="仿宋_GB2312"/>
          <w:color w:val="000000"/>
          <w:kern w:val="0"/>
          <w:sz w:val="30"/>
          <w:szCs w:val="30"/>
          <w:shd w:val="clear" w:color="auto" w:fill="FFFFFF"/>
          <w:lang w:val="zh-CN" w:eastAsia="zh-CN"/>
        </w:rPr>
        <w:t>（三）部门预算项目支出情况分析。根据《部门预算项目支出绩效自评表》</w:t>
      </w:r>
      <w:r>
        <w:rPr>
          <w:rFonts w:hint="eastAsia" w:ascii="仿宋_GB2312" w:hAnsi="仿宋_GB2312" w:eastAsia="仿宋_GB2312" w:cs="仿宋_GB2312"/>
          <w:color w:val="000000"/>
          <w:kern w:val="0"/>
          <w:sz w:val="30"/>
          <w:szCs w:val="30"/>
          <w:shd w:val="clear" w:color="auto" w:fill="FFFFFF"/>
          <w:lang w:val="en-US" w:eastAsia="zh-CN"/>
        </w:rPr>
        <w:t>自评结果逐项描述自评情况。（多个项目请分别描述</w:t>
      </w:r>
      <w:r>
        <w:rPr>
          <w:rFonts w:hint="eastAsia" w:ascii="仿宋_GB2312" w:hAnsi="仿宋_GB2312" w:eastAsia="仿宋_GB2312" w:cs="仿宋_GB2312"/>
          <w:color w:val="000000"/>
          <w:kern w:val="0"/>
          <w:sz w:val="30"/>
          <w:szCs w:val="30"/>
          <w:shd w:val="clear" w:color="auto" w:fill="FFFFFF"/>
          <w:lang w:val="zh-CN" w:eastAsia="zh-CN"/>
        </w:rPr>
        <w:t>）</w:t>
      </w:r>
    </w:p>
    <w:p w14:paraId="5FF57455">
      <w:pPr>
        <w:widowControl/>
        <w:numPr>
          <w:ilvl w:val="0"/>
          <w:numId w:val="0"/>
        </w:numPr>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1.五经普和专项统计工作经费173.87万元，支付173.87万元：用于第五次全国经济普查经费、住户调查记账补贴、四上企业统计人员绩效考核及四下企业抽样调查补助、粮食监测调查补助及畜禽养殖规模户补贴、社情民意调查、劳动力调查、1%人口抽样调查、统计年鉴编印等。</w:t>
      </w:r>
    </w:p>
    <w:p w14:paraId="46BEDFB3">
      <w:pPr>
        <w:pStyle w:val="2"/>
        <w:ind w:firstLine="300" w:firstLineChars="100"/>
        <w:rPr>
          <w:rFonts w:hint="default"/>
          <w:lang w:val="en-US" w:eastAsia="zh-CN"/>
        </w:rPr>
      </w:pPr>
      <w:r>
        <w:rPr>
          <w:rFonts w:hint="eastAsia" w:ascii="仿宋_GB2312" w:hAnsi="仿宋_GB2312" w:eastAsia="仿宋_GB2312" w:cs="仿宋_GB2312"/>
          <w:color w:val="000000"/>
          <w:kern w:val="0"/>
          <w:sz w:val="30"/>
          <w:szCs w:val="30"/>
          <w:shd w:val="clear" w:color="auto" w:fill="FFFFFF"/>
          <w:lang w:val="en-US" w:eastAsia="zh-CN"/>
        </w:rPr>
        <w:t>2.省财政厅预拨第五次全国经济普查“两员劳动报酬补助”14万元，支付14万元：用于支付第五次全国经济普查“两员劳动报酬补助”。</w:t>
      </w:r>
    </w:p>
    <w:p w14:paraId="5031CF82">
      <w:pPr>
        <w:pStyle w:val="6"/>
        <w:rPr>
          <w:rFonts w:hint="eastAsia"/>
          <w:lang w:val="en-US" w:eastAsia="zh-CN"/>
        </w:rPr>
      </w:pPr>
    </w:p>
    <w:p w14:paraId="4A75C0C1">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color w:val="000000"/>
          <w:kern w:val="0"/>
          <w:sz w:val="30"/>
          <w:szCs w:val="30"/>
          <w:shd w:val="clear" w:color="auto" w:fill="FFFFFF"/>
          <w:lang w:val="en-US" w:eastAsia="zh-CN"/>
        </w:rPr>
      </w:pPr>
      <w:r>
        <w:rPr>
          <w:rFonts w:hint="eastAsia" w:ascii="仿宋_GB2312" w:hAnsi="仿宋_GB2312" w:eastAsia="仿宋_GB2312" w:cs="仿宋_GB2312"/>
          <w:color w:val="000000"/>
          <w:kern w:val="0"/>
          <w:sz w:val="30"/>
          <w:szCs w:val="30"/>
          <w:shd w:val="clear" w:color="auto" w:fill="FFFFFF"/>
          <w:lang w:val="en-US" w:eastAsia="zh-CN"/>
        </w:rPr>
        <w:t>（四）结果运用情况</w:t>
      </w:r>
    </w:p>
    <w:p w14:paraId="008DC764">
      <w:pPr>
        <w:widowControl/>
        <w:adjustRightInd w:val="0"/>
        <w:snapToGrid w:val="0"/>
        <w:spacing w:line="580" w:lineRule="exact"/>
        <w:ind w:firstLine="900" w:firstLineChars="300"/>
        <w:contextualSpacing/>
        <w:jc w:val="left"/>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pPr>
      <w:r>
        <w:rPr>
          <w:rStyle w:val="9"/>
          <w:rFonts w:hint="eastAsia" w:ascii="仿宋_GB2312" w:hAnsi="仿宋_GB2312" w:eastAsia="仿宋_GB2312" w:cs="仿宋_GB2312"/>
          <w:b w:val="0"/>
          <w:bCs w:val="0"/>
          <w:i w:val="0"/>
          <w:iCs w:val="0"/>
          <w:caps w:val="0"/>
          <w:color w:val="auto"/>
          <w:spacing w:val="0"/>
          <w:sz w:val="30"/>
          <w:szCs w:val="30"/>
          <w:shd w:val="clear" w:fill="FFFFFF"/>
        </w:rPr>
        <w:t>严格按照预算管理的相关规定和部门预算编制要求</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Fonts w:hint="eastAsia" w:ascii="仿宋_GB2312" w:hAnsi="仿宋_GB2312" w:eastAsia="仿宋_GB2312" w:cs="仿宋_GB2312"/>
          <w:i w:val="0"/>
          <w:iCs w:val="0"/>
          <w:caps w:val="0"/>
          <w:color w:val="auto"/>
          <w:spacing w:val="0"/>
          <w:sz w:val="30"/>
          <w:szCs w:val="30"/>
          <w:shd w:val="clear" w:fill="FFFFFF"/>
          <w:lang w:eastAsia="zh-CN"/>
        </w:rPr>
        <w:t>严格执行财经纪律，</w:t>
      </w:r>
      <w:r>
        <w:rPr>
          <w:rStyle w:val="9"/>
          <w:rFonts w:hint="eastAsia" w:ascii="仿宋_GB2312" w:hAnsi="仿宋_GB2312" w:eastAsia="仿宋_GB2312" w:cs="仿宋_GB2312"/>
          <w:b w:val="0"/>
          <w:bCs w:val="0"/>
          <w:i w:val="0"/>
          <w:iCs w:val="0"/>
          <w:caps w:val="0"/>
          <w:color w:val="auto"/>
          <w:spacing w:val="0"/>
          <w:sz w:val="30"/>
          <w:szCs w:val="30"/>
          <w:shd w:val="clear" w:fill="FFFFFF"/>
        </w:rPr>
        <w:t>量入为出</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auto"/>
          <w:spacing w:val="0"/>
          <w:sz w:val="30"/>
          <w:szCs w:val="30"/>
          <w:shd w:val="clear" w:fill="FFFFFF"/>
        </w:rPr>
        <w:t>统筹兼顾</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，收支平衡，</w:t>
      </w:r>
      <w:r>
        <w:rPr>
          <w:rStyle w:val="9"/>
          <w:rFonts w:hint="eastAsia" w:ascii="仿宋_GB2312" w:hAnsi="仿宋_GB2312" w:eastAsia="仿宋_GB2312" w:cs="仿宋_GB2312"/>
          <w:b w:val="0"/>
          <w:bCs w:val="0"/>
          <w:i w:val="0"/>
          <w:iCs w:val="0"/>
          <w:caps w:val="0"/>
          <w:color w:val="auto"/>
          <w:spacing w:val="0"/>
          <w:sz w:val="30"/>
          <w:szCs w:val="30"/>
          <w:shd w:val="clear" w:fill="FFFFFF"/>
        </w:rPr>
        <w:t>防范风险</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auto"/>
          <w:spacing w:val="0"/>
          <w:sz w:val="30"/>
          <w:szCs w:val="30"/>
          <w:shd w:val="clear" w:fill="FFFFFF"/>
        </w:rPr>
        <w:t>加强财务管理</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auto"/>
          <w:spacing w:val="0"/>
          <w:sz w:val="30"/>
          <w:szCs w:val="30"/>
          <w:shd w:val="clear" w:fill="FFFFFF"/>
        </w:rPr>
        <w:t>科学、合理实施</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w:t>
      </w:r>
      <w:r>
        <w:rPr>
          <w:rStyle w:val="9"/>
          <w:rFonts w:hint="eastAsia" w:ascii="仿宋_GB2312" w:hAnsi="仿宋_GB2312" w:eastAsia="仿宋_GB2312" w:cs="仿宋_GB2312"/>
          <w:b w:val="0"/>
          <w:bCs w:val="0"/>
          <w:i w:val="0"/>
          <w:iCs w:val="0"/>
          <w:caps w:val="0"/>
          <w:color w:val="auto"/>
          <w:spacing w:val="0"/>
          <w:sz w:val="30"/>
          <w:szCs w:val="30"/>
          <w:shd w:val="clear" w:fill="FFFFFF"/>
        </w:rPr>
        <w:t>实时对执行情况进行监督和调整</w:t>
      </w:r>
      <w:r>
        <w:rPr>
          <w:rStyle w:val="9"/>
          <w:rFonts w:hint="eastAsia" w:ascii="仿宋_GB2312" w:hAnsi="仿宋_GB2312" w:eastAsia="仿宋_GB2312" w:cs="仿宋_GB2312"/>
          <w:b w:val="0"/>
          <w:bCs w:val="0"/>
          <w:i w:val="0"/>
          <w:iCs w:val="0"/>
          <w:caps w:val="0"/>
          <w:color w:val="auto"/>
          <w:spacing w:val="0"/>
          <w:sz w:val="30"/>
          <w:szCs w:val="30"/>
          <w:shd w:val="clear" w:fill="FFFFFF"/>
          <w:lang w:eastAsia="zh-CN"/>
        </w:rPr>
        <w:t>，确保资金的安全，高效使用。</w:t>
      </w:r>
    </w:p>
    <w:p w14:paraId="17AEC774">
      <w:pPr>
        <w:widowControl/>
        <w:tabs>
          <w:tab w:val="left" w:pos="478"/>
        </w:tabs>
        <w:adjustRightInd w:val="0"/>
        <w:snapToGrid w:val="0"/>
        <w:spacing w:line="580" w:lineRule="exact"/>
        <w:ind w:firstLine="301" w:firstLineChars="100"/>
        <w:contextualSpacing/>
        <w:jc w:val="left"/>
        <w:rPr>
          <w:rFonts w:hint="eastAsia" w:ascii="仿宋_GB2312" w:hAnsi="仿宋_GB2312" w:eastAsia="仿宋_GB2312" w:cs="仿宋_GB2312"/>
          <w:b/>
          <w:bCs/>
          <w:color w:val="000000"/>
          <w:kern w:val="0"/>
          <w:sz w:val="30"/>
          <w:szCs w:val="30"/>
          <w:shd w:val="clear" w:color="auto" w:fill="FFFFFF"/>
        </w:rPr>
      </w:pPr>
      <w:r>
        <w:rPr>
          <w:rFonts w:hint="eastAsia" w:ascii="仿宋_GB2312" w:hAnsi="仿宋_GB2312" w:eastAsia="仿宋_GB2312" w:cs="仿宋_GB2312"/>
          <w:b/>
          <w:bCs/>
          <w:color w:val="000000"/>
          <w:kern w:val="0"/>
          <w:sz w:val="30"/>
          <w:szCs w:val="30"/>
          <w:shd w:val="clear" w:color="auto" w:fill="FFFFFF"/>
        </w:rPr>
        <w:t>四、评价结论及建议</w:t>
      </w:r>
    </w:p>
    <w:p w14:paraId="36EDC4F0">
      <w:pPr>
        <w:widowControl/>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（一）评价结论。</w:t>
      </w:r>
    </w:p>
    <w:p w14:paraId="3C7A1166">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zh-CN" w:eastAsia="zh-CN"/>
        </w:rPr>
      </w:pPr>
      <w:r>
        <w:rPr>
          <w:rFonts w:hint="eastAsia" w:ascii="仿宋_GB2312" w:hAnsi="仿宋_GB2312" w:eastAsia="仿宋_GB2312" w:cs="仿宋_GB2312"/>
          <w:color w:val="000000"/>
          <w:kern w:val="0"/>
          <w:sz w:val="30"/>
          <w:szCs w:val="30"/>
          <w:shd w:val="clear" w:color="auto" w:fill="FFFFFF"/>
          <w:lang w:val="zh-CN" w:eastAsia="zh-CN"/>
        </w:rPr>
        <w:t>县统计局根据《峨边彝族自治县财政局关于开展20</w:t>
      </w:r>
      <w:r>
        <w:rPr>
          <w:rFonts w:hint="eastAsia" w:ascii="仿宋_GB2312" w:hAnsi="仿宋_GB2312" w:eastAsia="仿宋_GB2312" w:cs="仿宋_GB2312"/>
          <w:color w:val="000000"/>
          <w:kern w:val="0"/>
          <w:sz w:val="30"/>
          <w:szCs w:val="30"/>
          <w:shd w:val="clear" w:color="auto" w:fill="FFFFFF"/>
          <w:lang w:val="en-US" w:eastAsia="zh-CN"/>
        </w:rPr>
        <w:t>24</w:t>
      </w:r>
      <w:r>
        <w:rPr>
          <w:rFonts w:hint="eastAsia" w:ascii="仿宋_GB2312" w:hAnsi="仿宋_GB2312" w:eastAsia="仿宋_GB2312" w:cs="仿宋_GB2312"/>
          <w:color w:val="000000"/>
          <w:kern w:val="0"/>
          <w:sz w:val="30"/>
          <w:szCs w:val="30"/>
          <w:shd w:val="clear" w:color="auto" w:fill="FFFFFF"/>
          <w:lang w:val="zh-CN" w:eastAsia="zh-CN"/>
        </w:rPr>
        <w:t>年部门整体、项目支出预算绩效评价工作的通知》文件精神，</w:t>
      </w:r>
      <w:r>
        <w:rPr>
          <w:rFonts w:hint="eastAsia" w:ascii="仿宋_GB2312" w:hAnsi="仿宋_GB2312" w:eastAsia="仿宋_GB2312" w:cs="仿宋_GB2312"/>
          <w:color w:val="000000"/>
          <w:kern w:val="0"/>
          <w:sz w:val="30"/>
          <w:szCs w:val="30"/>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000000"/>
          <w:kern w:val="0"/>
          <w:sz w:val="30"/>
          <w:szCs w:val="30"/>
          <w:shd w:val="clear" w:color="auto" w:fill="FFFFFF"/>
          <w:lang w:val="zh-CN" w:eastAsia="zh-CN"/>
        </w:rPr>
        <w:t>得分：</w:t>
      </w:r>
      <w:r>
        <w:rPr>
          <w:rFonts w:hint="eastAsia" w:ascii="仿宋_GB2312" w:hAnsi="仿宋_GB2312" w:eastAsia="仿宋_GB2312" w:cs="仿宋_GB2312"/>
          <w:color w:val="000000"/>
          <w:kern w:val="0"/>
          <w:sz w:val="30"/>
          <w:szCs w:val="30"/>
          <w:shd w:val="clear" w:color="auto" w:fill="FFFFFF"/>
          <w:lang w:val="en-US" w:eastAsia="zh-CN"/>
        </w:rPr>
        <w:t>95</w:t>
      </w:r>
      <w:r>
        <w:rPr>
          <w:rFonts w:hint="eastAsia" w:ascii="仿宋_GB2312" w:hAnsi="仿宋_GB2312" w:eastAsia="仿宋_GB2312" w:cs="仿宋_GB2312"/>
          <w:color w:val="000000"/>
          <w:kern w:val="0"/>
          <w:sz w:val="30"/>
          <w:szCs w:val="30"/>
          <w:shd w:val="clear" w:color="auto" w:fill="FFFFFF"/>
          <w:lang w:val="zh-CN" w:eastAsia="zh-CN"/>
        </w:rPr>
        <w:t>分。</w:t>
      </w:r>
    </w:p>
    <w:p w14:paraId="62495008">
      <w:pPr>
        <w:widowControl/>
        <w:numPr>
          <w:ilvl w:val="0"/>
          <w:numId w:val="0"/>
        </w:numPr>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（二）存在问题。</w:t>
      </w:r>
    </w:p>
    <w:p w14:paraId="1BB1C476">
      <w:pPr>
        <w:widowControl/>
        <w:adjustRightInd w:val="0"/>
        <w:snapToGrid w:val="0"/>
        <w:spacing w:line="580" w:lineRule="exact"/>
        <w:ind w:firstLine="600" w:firstLineChars="200"/>
        <w:contextualSpacing/>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进一步完善财务管理制度、固定资产管理制度、费用报销规程等制度</w:t>
      </w:r>
      <w:r>
        <w:rPr>
          <w:rFonts w:hint="eastAsia" w:ascii="仿宋_GB2312" w:hAnsi="仿宋_GB2312" w:eastAsia="仿宋_GB2312" w:cs="仿宋_GB2312"/>
          <w:b w:val="0"/>
          <w:bCs w:val="0"/>
          <w:sz w:val="30"/>
          <w:szCs w:val="30"/>
        </w:rPr>
        <w:t>。</w:t>
      </w:r>
    </w:p>
    <w:p w14:paraId="32989EAD">
      <w:pPr>
        <w:widowControl/>
        <w:adjustRightInd w:val="0"/>
        <w:snapToGrid w:val="0"/>
        <w:spacing w:line="580" w:lineRule="exact"/>
        <w:ind w:firstLine="300" w:firstLineChars="100"/>
        <w:contextualSpacing/>
        <w:jc w:val="left"/>
        <w:rPr>
          <w:rFonts w:hint="eastAsia" w:ascii="仿宋_GB2312" w:hAnsi="仿宋_GB2312" w:eastAsia="仿宋_GB2312" w:cs="仿宋_GB2312"/>
          <w:color w:val="000000"/>
          <w:kern w:val="0"/>
          <w:sz w:val="30"/>
          <w:szCs w:val="30"/>
          <w:shd w:val="clear" w:color="auto" w:fill="FFFFFF"/>
          <w:lang w:val="zh-CN" w:eastAsia="zh-CN"/>
        </w:rPr>
      </w:pPr>
      <w:r>
        <w:rPr>
          <w:rFonts w:hint="eastAsia" w:ascii="仿宋_GB2312" w:hAnsi="仿宋_GB2312" w:eastAsia="仿宋_GB2312" w:cs="仿宋_GB2312"/>
          <w:color w:val="000000"/>
          <w:kern w:val="0"/>
          <w:sz w:val="30"/>
          <w:szCs w:val="30"/>
          <w:shd w:val="clear" w:color="auto" w:fill="FFFFFF"/>
          <w:lang w:val="zh-CN" w:eastAsia="zh-CN"/>
        </w:rPr>
        <w:t>（三）改进建议。</w:t>
      </w:r>
    </w:p>
    <w:p w14:paraId="37DFAA24">
      <w:pPr>
        <w:adjustRightInd w:val="0"/>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规范单位财务制度</w:t>
      </w:r>
      <w:r>
        <w:rPr>
          <w:rFonts w:hint="eastAsia" w:ascii="仿宋_GB2312" w:hAnsi="仿宋_GB2312" w:eastAsia="仿宋_GB2312" w:cs="仿宋_GB2312"/>
          <w:sz w:val="30"/>
          <w:szCs w:val="30"/>
        </w:rPr>
        <w:t>，进一步提高预算编制的科学性，规范部门预算收支核算，切实提高部门预算收支管理水平。</w:t>
      </w:r>
    </w:p>
    <w:p w14:paraId="25F0D631">
      <w:pPr>
        <w:widowControl/>
        <w:adjustRightInd w:val="0"/>
        <w:snapToGrid w:val="0"/>
        <w:spacing w:line="580" w:lineRule="exact"/>
        <w:ind w:firstLine="600" w:firstLineChars="200"/>
        <w:contextualSpacing/>
        <w:jc w:val="left"/>
        <w:rPr>
          <w:rFonts w:hint="eastAsia" w:ascii="仿宋_GB2312" w:hAnsi="仿宋_GB2312" w:eastAsia="仿宋_GB2312" w:cs="仿宋_GB2312"/>
          <w:color w:val="000000"/>
          <w:kern w:val="0"/>
          <w:sz w:val="30"/>
          <w:szCs w:val="30"/>
          <w:shd w:val="clear" w:color="auto" w:fill="FFFFFF"/>
          <w:lang w:val="zh-CN" w:eastAsia="zh-CN"/>
        </w:rPr>
      </w:pPr>
    </w:p>
    <w:p w14:paraId="20B4ACD3">
      <w:pPr>
        <w:widowControl/>
        <w:numPr>
          <w:ilvl w:val="0"/>
          <w:numId w:val="0"/>
        </w:numPr>
        <w:adjustRightInd w:val="0"/>
        <w:snapToGrid w:val="0"/>
        <w:spacing w:line="580" w:lineRule="exact"/>
        <w:ind w:leftChars="200"/>
        <w:contextualSpacing/>
        <w:jc w:val="left"/>
        <w:rPr>
          <w:rFonts w:hint="eastAsia" w:ascii="仿宋_GB2312" w:hAnsi="仿宋_GB2312" w:eastAsia="仿宋_GB2312" w:cs="仿宋_GB2312"/>
          <w:color w:val="000000"/>
          <w:kern w:val="0"/>
          <w:sz w:val="30"/>
          <w:szCs w:val="30"/>
          <w:shd w:val="clear" w:color="auto" w:fill="FFFFFF"/>
          <w:lang w:val="zh-CN"/>
        </w:rPr>
      </w:pPr>
    </w:p>
    <w:p w14:paraId="0142D552">
      <w:pPr>
        <w:rPr>
          <w:rFonts w:hint="eastAsia" w:ascii="仿宋_GB2312" w:hAnsi="仿宋_GB2312" w:eastAsia="仿宋_GB2312" w:cs="仿宋_GB2312"/>
          <w:color w:val="FF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E4C77"/>
    <w:multiLevelType w:val="singleLevel"/>
    <w:tmpl w:val="97CE4C77"/>
    <w:lvl w:ilvl="0" w:tentative="0">
      <w:start w:val="2"/>
      <w:numFmt w:val="chineseCounting"/>
      <w:lvlText w:val="(%1)"/>
      <w:lvlJc w:val="left"/>
      <w:pPr>
        <w:tabs>
          <w:tab w:val="left" w:pos="312"/>
        </w:tabs>
      </w:pPr>
      <w:rPr>
        <w:rFonts w:hint="eastAsia"/>
      </w:rPr>
    </w:lvl>
  </w:abstractNum>
  <w:abstractNum w:abstractNumId="1">
    <w:nsid w:val="7CB98768"/>
    <w:multiLevelType w:val="singleLevel"/>
    <w:tmpl w:val="7CB9876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ZmU0MGNmMmVlM2E3MTE5NDY5YzkyNWI5NDQ2NjQifQ=="/>
  </w:docVars>
  <w:rsids>
    <w:rsidRoot w:val="14E00979"/>
    <w:rsid w:val="00F9257D"/>
    <w:rsid w:val="05544C35"/>
    <w:rsid w:val="08E8160A"/>
    <w:rsid w:val="090E45BF"/>
    <w:rsid w:val="10B4026F"/>
    <w:rsid w:val="12980C21"/>
    <w:rsid w:val="12DB5F87"/>
    <w:rsid w:val="138572E3"/>
    <w:rsid w:val="14E00979"/>
    <w:rsid w:val="16943A91"/>
    <w:rsid w:val="1A5830D8"/>
    <w:rsid w:val="1B807AEA"/>
    <w:rsid w:val="1CC43150"/>
    <w:rsid w:val="1F5A46D7"/>
    <w:rsid w:val="26321F0A"/>
    <w:rsid w:val="28024BFA"/>
    <w:rsid w:val="2D6B7B1F"/>
    <w:rsid w:val="2DEF6B20"/>
    <w:rsid w:val="306F0DBB"/>
    <w:rsid w:val="3FE151FA"/>
    <w:rsid w:val="4070294B"/>
    <w:rsid w:val="45DF06EC"/>
    <w:rsid w:val="4F743661"/>
    <w:rsid w:val="50CF3D2E"/>
    <w:rsid w:val="518C235E"/>
    <w:rsid w:val="55FC1EE9"/>
    <w:rsid w:val="60CF7336"/>
    <w:rsid w:val="626F39F9"/>
    <w:rsid w:val="62B9046A"/>
    <w:rsid w:val="69EC2361"/>
    <w:rsid w:val="6E733541"/>
    <w:rsid w:val="7AC5252C"/>
    <w:rsid w:val="7D5B7F1F"/>
    <w:rsid w:val="7E1B429F"/>
    <w:rsid w:val="7EDB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1"/>
    <w:autoRedefine/>
    <w:qFormat/>
    <w:uiPriority w:val="99"/>
    <w:pPr>
      <w:spacing w:before="100" w:beforeAutospacing="1" w:after="120" w:line="480" w:lineRule="auto"/>
      <w:ind w:left="420" w:leftChars="200"/>
      <w:textAlignment w:val="baseline"/>
    </w:pPr>
    <w:rPr>
      <w:rFonts w:ascii="Times New Roman" w:hAnsi="Times New Roman" w:cs="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Arial" w:hAnsi="Arial" w:cs="Arial"/>
      <w:b/>
      <w:bCs/>
      <w:sz w:val="32"/>
      <w:szCs w:val="32"/>
    </w:rPr>
  </w:style>
  <w:style w:type="character" w:styleId="9">
    <w:name w:val="Emphasis"/>
    <w:basedOn w:val="8"/>
    <w:qFormat/>
    <w:uiPriority w:val="0"/>
    <w:rPr>
      <w:i/>
    </w:rPr>
  </w:style>
  <w:style w:type="paragraph" w:customStyle="1" w:styleId="10">
    <w:name w:val="Normal Indent1"/>
    <w:basedOn w:val="1"/>
    <w:qFormat/>
    <w:uiPriority w:val="0"/>
    <w:pPr>
      <w:spacing w:line="660" w:lineRule="exact"/>
      <w:ind w:firstLine="720" w:firstLineChars="200"/>
    </w:pPr>
    <w:rPr>
      <w:rFonts w:ascii="Calibri" w:hAnsi="Calibri" w:eastAsia="楷体_GB2312" w:cs="Calibri"/>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523ee2a4-d776-4e3c-83b7-997a06177cdb</errorID>
      <errorWord>抗</errorWord>
      <group>L1_Word</group>
      <groupName>字词问题</groupName>
      <ability>L2_Typo</ability>
      <abilityName>字词错误</abilityName>
      <candidateList>
        <item>扛</item>
      </candidateList>
      <explain>〈动〉❶用肩膀承担物体：～枪｜～着锄头◇这个任务你一定要～起来。❷〈口〉支撑；忍耐：冷得～不住了。</explain>
      <paraID>2EF0D24A</paraID>
      <start>16</start>
      <end>17</end>
      <status>modified</status>
      <modifiedWord>扛</modifiedWord>
      <trackRevisions>false</trackRevisions>
    </reviewItem>
  </reviewItems>
  <config/>
</contractReview>
</file>

<file path=customXml/itemProps1.xml><?xml version="1.0" encoding="utf-8"?>
<ds:datastoreItem xmlns:ds="http://schemas.openxmlformats.org/officeDocument/2006/customXml" ds:itemID="{c0f4bd42-e292-4823-bb81-7edf3bfe39c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2514</Words>
  <Characters>2591</Characters>
  <Lines>0</Lines>
  <Paragraphs>0</Paragraphs>
  <TotalTime>9</TotalTime>
  <ScaleCrop>false</ScaleCrop>
  <LinksUpToDate>false</LinksUpToDate>
  <CharactersWithSpaces>2593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2022-07-20T01:53:00Z</dcterms:created>
  <dc:creator>Administrator</dc:creator>
  <cp:lastModifiedBy>碧云天</cp:lastModifiedBy>
  <dcterms:modified xsi:type="dcterms:W3CDTF">2025-12-04T09:25:00Z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B1872CACC63C40B28BD68EDFB0139701</vt:lpwstr>
  </property>
  <property fmtid="{D5CDD505-2E9C-101B-9397-08002B2CF9AE}" pid="4" name="KSOTemplateDocerSaveRecord">
    <vt:lpwstr>eyJoZGlkIjoiNzI2ZGI0OGUzMDAzMzk0YmE1OTYyMDVlZGMwMmYyODYiLCJ1c2VySWQiOiIxMTM5NjM2MTk5In0=</vt:lpwstr>
  </property>
</Properties>
</file>