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294395"/>
    <w:p w14:paraId="6F7B8EA6"/>
    <w:p w14:paraId="5683DDCE"/>
    <w:p w14:paraId="47AD4DD2"/>
    <w:p w14:paraId="0E5D8EA5"/>
    <w:p w14:paraId="1ADDDEC8"/>
    <w:p w14:paraId="2BFF459D"/>
    <w:p w14:paraId="5365CEFF"/>
    <w:p w14:paraId="254094D7">
      <w:pPr>
        <w:rPr>
          <w:sz w:val="52"/>
          <w:szCs w:val="52"/>
        </w:rPr>
      </w:pPr>
    </w:p>
    <w:p w14:paraId="3B786A79">
      <w:pPr>
        <w:rPr>
          <w:sz w:val="52"/>
          <w:szCs w:val="52"/>
        </w:rPr>
      </w:pPr>
    </w:p>
    <w:p w14:paraId="7E4F0352">
      <w:pPr>
        <w:jc w:val="center"/>
        <w:rPr>
          <w:rFonts w:hint="eastAsia"/>
          <w:b/>
          <w:bCs/>
          <w:sz w:val="52"/>
          <w:szCs w:val="52"/>
          <w:lang w:val="en-US" w:eastAsia="zh-CN"/>
        </w:rPr>
      </w:pPr>
      <w:r>
        <w:rPr>
          <w:rFonts w:hint="eastAsia"/>
          <w:b/>
          <w:bCs/>
          <w:sz w:val="52"/>
          <w:szCs w:val="52"/>
          <w:lang w:val="en-US" w:eastAsia="zh-CN"/>
        </w:rPr>
        <w:t>峨边彝族自治县统计局</w:t>
      </w:r>
    </w:p>
    <w:p w14:paraId="79188D54">
      <w:pPr>
        <w:jc w:val="center"/>
        <w:rPr>
          <w:rFonts w:hint="eastAsia"/>
          <w:b/>
          <w:bCs/>
          <w:sz w:val="52"/>
          <w:szCs w:val="52"/>
          <w:lang w:val="en-US" w:eastAsia="zh-CN"/>
        </w:rPr>
      </w:pPr>
      <w:r>
        <w:rPr>
          <w:rFonts w:hint="eastAsia"/>
          <w:b/>
          <w:bCs/>
          <w:sz w:val="52"/>
          <w:szCs w:val="52"/>
          <w:lang w:val="en-US" w:eastAsia="zh-CN"/>
        </w:rPr>
        <w:t>2025年部门预算公开</w:t>
      </w:r>
    </w:p>
    <w:p w14:paraId="11427B52">
      <w:pPr>
        <w:jc w:val="center"/>
        <w:rPr>
          <w:rFonts w:hint="eastAsia"/>
          <w:b/>
          <w:bCs/>
          <w:sz w:val="52"/>
          <w:szCs w:val="52"/>
          <w:lang w:val="en-US" w:eastAsia="zh-CN"/>
        </w:rPr>
      </w:pPr>
    </w:p>
    <w:p w14:paraId="4F28285A">
      <w:pPr>
        <w:jc w:val="both"/>
        <w:rPr>
          <w:rFonts w:hint="default"/>
          <w:b/>
          <w:bCs/>
          <w:color w:val="auto"/>
          <w:sz w:val="52"/>
          <w:szCs w:val="52"/>
          <w:lang w:val="en-US" w:eastAsia="zh-CN"/>
        </w:rPr>
      </w:pPr>
    </w:p>
    <w:p w14:paraId="16D981D6">
      <w:pPr>
        <w:jc w:val="both"/>
        <w:rPr>
          <w:rFonts w:hint="default"/>
          <w:b/>
          <w:bCs/>
          <w:sz w:val="52"/>
          <w:szCs w:val="52"/>
          <w:lang w:val="en-US" w:eastAsia="zh-CN"/>
        </w:rPr>
      </w:pPr>
    </w:p>
    <w:p w14:paraId="6F99339B">
      <w:pPr>
        <w:jc w:val="both"/>
        <w:rPr>
          <w:rFonts w:hint="default"/>
          <w:b/>
          <w:bCs/>
          <w:sz w:val="52"/>
          <w:szCs w:val="52"/>
          <w:lang w:val="en-US" w:eastAsia="zh-CN"/>
        </w:rPr>
      </w:pPr>
    </w:p>
    <w:p w14:paraId="1A8110E0">
      <w:pPr>
        <w:jc w:val="both"/>
        <w:rPr>
          <w:rFonts w:hint="eastAsia"/>
          <w:b/>
          <w:bCs/>
          <w:sz w:val="32"/>
          <w:szCs w:val="32"/>
          <w:lang w:val="en-US" w:eastAsia="zh-CN"/>
        </w:rPr>
      </w:pPr>
      <w:r>
        <w:rPr>
          <w:rFonts w:hint="eastAsia"/>
          <w:b/>
          <w:bCs/>
          <w:sz w:val="52"/>
          <w:szCs w:val="52"/>
          <w:lang w:val="en-US" w:eastAsia="zh-CN"/>
        </w:rPr>
        <w:t xml:space="preserve">  </w:t>
      </w:r>
      <w:r>
        <w:rPr>
          <w:rFonts w:hint="eastAsia"/>
          <w:b/>
          <w:bCs/>
          <w:sz w:val="32"/>
          <w:szCs w:val="32"/>
          <w:lang w:val="en-US" w:eastAsia="zh-CN"/>
        </w:rPr>
        <w:t xml:space="preserve">    单位(签章) ：</w:t>
      </w:r>
      <w:r>
        <w:rPr>
          <w:rFonts w:hint="eastAsia"/>
          <w:b/>
          <w:bCs/>
          <w:sz w:val="32"/>
          <w:szCs w:val="32"/>
          <w:u w:val="single"/>
          <w:lang w:val="en-US" w:eastAsia="zh-CN"/>
        </w:rPr>
        <w:t>峨边彝族自治县统计局</w:t>
      </w:r>
    </w:p>
    <w:p w14:paraId="712B70E5">
      <w:pPr>
        <w:jc w:val="both"/>
        <w:rPr>
          <w:rFonts w:hint="default"/>
          <w:b/>
          <w:bCs/>
          <w:sz w:val="32"/>
          <w:szCs w:val="32"/>
          <w:lang w:val="en-US" w:eastAsia="zh-CN"/>
        </w:rPr>
      </w:pPr>
    </w:p>
    <w:p w14:paraId="7425E77C">
      <w:pPr>
        <w:jc w:val="center"/>
        <w:rPr>
          <w:rFonts w:hint="eastAsia"/>
          <w:b/>
          <w:bCs/>
          <w:sz w:val="32"/>
          <w:szCs w:val="32"/>
          <w:lang w:val="en-US" w:eastAsia="zh-CN"/>
        </w:rPr>
      </w:pPr>
      <w:r>
        <w:rPr>
          <w:rFonts w:hint="eastAsia"/>
          <w:b/>
          <w:bCs/>
          <w:sz w:val="32"/>
          <w:szCs w:val="32"/>
          <w:lang w:val="en-US" w:eastAsia="zh-CN"/>
        </w:rPr>
        <w:t>2025年 5月 14 日</w:t>
      </w:r>
    </w:p>
    <w:p w14:paraId="2FBD2979">
      <w:pPr>
        <w:jc w:val="both"/>
        <w:rPr>
          <w:rFonts w:hint="eastAsia"/>
          <w:b/>
          <w:bCs/>
          <w:sz w:val="32"/>
          <w:szCs w:val="32"/>
          <w:lang w:val="en-US" w:eastAsia="zh-CN"/>
        </w:rPr>
      </w:pPr>
    </w:p>
    <w:p w14:paraId="5FCDD517">
      <w:pPr>
        <w:jc w:val="center"/>
        <w:rPr>
          <w:rFonts w:hint="eastAsia"/>
          <w:b/>
          <w:bCs/>
          <w:sz w:val="32"/>
          <w:szCs w:val="32"/>
          <w:lang w:val="en-US" w:eastAsia="zh-CN"/>
        </w:rPr>
      </w:pPr>
    </w:p>
    <w:p w14:paraId="35EC2420">
      <w:pPr>
        <w:jc w:val="center"/>
        <w:rPr>
          <w:rFonts w:hint="eastAsia"/>
          <w:b/>
          <w:bCs/>
          <w:sz w:val="32"/>
          <w:szCs w:val="32"/>
          <w:lang w:val="en-US" w:eastAsia="zh-CN"/>
        </w:rPr>
      </w:pPr>
    </w:p>
    <w:p w14:paraId="4CE2CD3A">
      <w:pPr>
        <w:jc w:val="center"/>
        <w:rPr>
          <w:rFonts w:hint="default"/>
          <w:b/>
          <w:bCs/>
          <w:sz w:val="32"/>
          <w:szCs w:val="32"/>
          <w:lang w:val="en-US" w:eastAsia="zh-CN"/>
        </w:rPr>
      </w:pPr>
      <w:r>
        <w:rPr>
          <w:rFonts w:hint="default"/>
          <w:b/>
          <w:bCs/>
          <w:sz w:val="32"/>
          <w:szCs w:val="32"/>
          <w:lang w:val="en-US" w:eastAsia="zh-CN"/>
        </w:rPr>
        <w:t>目</w:t>
      </w:r>
      <w:r>
        <w:rPr>
          <w:rFonts w:hint="eastAsia"/>
          <w:b/>
          <w:bCs/>
          <w:sz w:val="32"/>
          <w:szCs w:val="32"/>
          <w:lang w:val="en-US" w:eastAsia="zh-CN"/>
        </w:rPr>
        <w:t xml:space="preserve"> </w:t>
      </w:r>
      <w:r>
        <w:rPr>
          <w:rFonts w:hint="default"/>
          <w:b/>
          <w:bCs/>
          <w:sz w:val="32"/>
          <w:szCs w:val="32"/>
          <w:lang w:val="en-US" w:eastAsia="zh-CN"/>
        </w:rPr>
        <w:t>录</w:t>
      </w:r>
    </w:p>
    <w:p w14:paraId="67FAAC8D">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第一部分 县统计局概况</w:t>
      </w:r>
    </w:p>
    <w:p w14:paraId="7B41F9AF">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一、基本职能及主要工作</w:t>
      </w:r>
    </w:p>
    <w:p w14:paraId="5466B483">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二、部门预算单位构成</w:t>
      </w:r>
    </w:p>
    <w:p w14:paraId="53214C9E">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第二部分 县统计局2025年部门预算表</w:t>
      </w:r>
    </w:p>
    <w:p w14:paraId="3E238A69">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一、部门收支总表</w:t>
      </w:r>
    </w:p>
    <w:p w14:paraId="4473FD77">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二、部门收入总表</w:t>
      </w:r>
    </w:p>
    <w:p w14:paraId="53BCB6C1">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三、部门支出总表</w:t>
      </w:r>
    </w:p>
    <w:p w14:paraId="6B922EF9">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四、财政拨款收支预算总表</w:t>
      </w:r>
    </w:p>
    <w:p w14:paraId="1D9C39F7">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五、财政拨款支出预算表（部门经济分类科目）</w:t>
      </w:r>
    </w:p>
    <w:p w14:paraId="22916F4A">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六、一般公共预算支出预算表</w:t>
      </w:r>
    </w:p>
    <w:p w14:paraId="32DDA6D1">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七、一般公共预算基本支出预算表</w:t>
      </w:r>
    </w:p>
    <w:p w14:paraId="07A6BDC5">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八、一般公共预算项目支出预算表</w:t>
      </w:r>
    </w:p>
    <w:p w14:paraId="10A5E1A9">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九、一般公共预算“三公”经费支出预算表</w:t>
      </w:r>
    </w:p>
    <w:p w14:paraId="23D2854F">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十、政府性基金预算支出表</w:t>
      </w:r>
    </w:p>
    <w:p w14:paraId="03FD56A0">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十一、政府性基金预算“三公”经费支出预算表</w:t>
      </w:r>
    </w:p>
    <w:p w14:paraId="65150382">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十二、国有资本经营预算支出表</w:t>
      </w:r>
    </w:p>
    <w:p w14:paraId="415D0E78">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十三、部门预算项目支出绩效目标表</w:t>
      </w:r>
    </w:p>
    <w:p w14:paraId="3D58856C">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十四、部门整体支出绩效目标表</w:t>
      </w:r>
    </w:p>
    <w:p w14:paraId="73FFE54F">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十五、政府采购预算表</w:t>
      </w:r>
    </w:p>
    <w:p w14:paraId="3CD4079C">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第三部分 县统计局2025 年部门预算情况说明</w:t>
      </w:r>
    </w:p>
    <w:p w14:paraId="686752D0">
      <w:pPr>
        <w:jc w:val="left"/>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第四部分 名词解释</w:t>
      </w:r>
    </w:p>
    <w:p w14:paraId="2B5B2E7B">
      <w:pPr>
        <w:jc w:val="center"/>
        <w:rPr>
          <w:rFonts w:hint="default"/>
          <w:b/>
          <w:bCs/>
          <w:sz w:val="52"/>
          <w:szCs w:val="52"/>
          <w:lang w:val="en-US" w:eastAsia="zh-CN"/>
        </w:rPr>
      </w:pPr>
    </w:p>
    <w:p w14:paraId="0790BB65">
      <w:pPr>
        <w:jc w:val="center"/>
        <w:rPr>
          <w:rFonts w:hint="default"/>
          <w:b/>
          <w:bCs/>
          <w:sz w:val="52"/>
          <w:szCs w:val="52"/>
          <w:lang w:val="en-US" w:eastAsia="zh-CN"/>
        </w:rPr>
      </w:pPr>
    </w:p>
    <w:p w14:paraId="088FF4DC">
      <w:pPr>
        <w:jc w:val="center"/>
        <w:rPr>
          <w:rFonts w:hint="default"/>
          <w:b/>
          <w:bCs/>
          <w:sz w:val="52"/>
          <w:szCs w:val="52"/>
          <w:lang w:val="en-US" w:eastAsia="zh-CN"/>
        </w:rPr>
      </w:pPr>
    </w:p>
    <w:p w14:paraId="60772AF8">
      <w:pPr>
        <w:jc w:val="center"/>
        <w:rPr>
          <w:rFonts w:hint="default"/>
          <w:b/>
          <w:bCs/>
          <w:sz w:val="52"/>
          <w:szCs w:val="52"/>
          <w:lang w:val="en-US" w:eastAsia="zh-CN"/>
        </w:rPr>
      </w:pPr>
    </w:p>
    <w:p w14:paraId="570F8991">
      <w:pPr>
        <w:jc w:val="center"/>
        <w:rPr>
          <w:rFonts w:hint="default"/>
          <w:b/>
          <w:bCs/>
          <w:sz w:val="52"/>
          <w:szCs w:val="52"/>
          <w:lang w:val="en-US" w:eastAsia="zh-CN"/>
        </w:rPr>
      </w:pPr>
    </w:p>
    <w:p w14:paraId="616CF709">
      <w:pPr>
        <w:jc w:val="center"/>
        <w:rPr>
          <w:rFonts w:hint="default"/>
          <w:b/>
          <w:bCs/>
          <w:sz w:val="52"/>
          <w:szCs w:val="52"/>
          <w:lang w:val="en-US" w:eastAsia="zh-CN"/>
        </w:rPr>
      </w:pPr>
    </w:p>
    <w:p w14:paraId="657C9AD5">
      <w:pPr>
        <w:numPr>
          <w:ilvl w:val="0"/>
          <w:numId w:val="1"/>
        </w:numPr>
        <w:jc w:val="center"/>
        <w:rPr>
          <w:rFonts w:hint="default"/>
          <w:b/>
          <w:bCs/>
          <w:sz w:val="52"/>
          <w:szCs w:val="52"/>
          <w:lang w:val="en-US" w:eastAsia="zh-CN"/>
        </w:rPr>
      </w:pPr>
      <w:r>
        <w:rPr>
          <w:rFonts w:hint="eastAsia"/>
          <w:b/>
          <w:bCs/>
          <w:sz w:val="52"/>
          <w:szCs w:val="52"/>
          <w:lang w:val="en-US" w:eastAsia="zh-CN"/>
        </w:rPr>
        <w:t xml:space="preserve">峨边彝族自治县统计局 </w:t>
      </w:r>
      <w:r>
        <w:rPr>
          <w:rFonts w:hint="default"/>
          <w:b/>
          <w:bCs/>
          <w:sz w:val="52"/>
          <w:szCs w:val="52"/>
          <w:lang w:val="en-US" w:eastAsia="zh-CN"/>
        </w:rPr>
        <w:t>概况</w:t>
      </w:r>
    </w:p>
    <w:p w14:paraId="232496E3">
      <w:pPr>
        <w:widowControl w:val="0"/>
        <w:numPr>
          <w:ilvl w:val="0"/>
          <w:numId w:val="0"/>
        </w:numPr>
        <w:jc w:val="center"/>
        <w:rPr>
          <w:rFonts w:hint="default"/>
          <w:b/>
          <w:bCs/>
          <w:sz w:val="52"/>
          <w:szCs w:val="52"/>
          <w:lang w:val="en-US" w:eastAsia="zh-CN"/>
        </w:rPr>
      </w:pPr>
    </w:p>
    <w:p w14:paraId="4B6153A7">
      <w:pPr>
        <w:widowControl w:val="0"/>
        <w:numPr>
          <w:ilvl w:val="0"/>
          <w:numId w:val="0"/>
        </w:numPr>
        <w:jc w:val="both"/>
        <w:rPr>
          <w:rFonts w:hint="default"/>
          <w:b/>
          <w:bCs/>
          <w:sz w:val="52"/>
          <w:szCs w:val="52"/>
          <w:lang w:val="en-US" w:eastAsia="zh-CN"/>
        </w:rPr>
      </w:pPr>
    </w:p>
    <w:p w14:paraId="059315ED">
      <w:pPr>
        <w:spacing w:line="600" w:lineRule="exact"/>
        <w:rPr>
          <w:rFonts w:hint="default" w:ascii="仿宋" w:hAnsi="仿宋" w:eastAsia="仿宋" w:cs="Times New Roman"/>
          <w:sz w:val="32"/>
          <w:szCs w:val="32"/>
          <w:lang w:val="en-US" w:eastAsia="zh-CN"/>
        </w:rPr>
      </w:pPr>
    </w:p>
    <w:p w14:paraId="4F5A1993">
      <w:pPr>
        <w:spacing w:line="600" w:lineRule="exact"/>
        <w:rPr>
          <w:rFonts w:hint="default" w:ascii="仿宋" w:hAnsi="仿宋" w:eastAsia="仿宋" w:cs="Times New Roman"/>
          <w:sz w:val="32"/>
          <w:szCs w:val="32"/>
          <w:lang w:val="en-US" w:eastAsia="zh-CN"/>
        </w:rPr>
      </w:pPr>
    </w:p>
    <w:p w14:paraId="2F2F6E55">
      <w:pPr>
        <w:spacing w:line="600" w:lineRule="exact"/>
        <w:rPr>
          <w:rFonts w:hint="default" w:ascii="仿宋" w:hAnsi="仿宋" w:eastAsia="仿宋" w:cs="Times New Roman"/>
          <w:sz w:val="32"/>
          <w:szCs w:val="32"/>
          <w:lang w:val="en-US" w:eastAsia="zh-CN"/>
        </w:rPr>
      </w:pPr>
    </w:p>
    <w:p w14:paraId="37E8C1AD">
      <w:pPr>
        <w:spacing w:line="600" w:lineRule="exact"/>
        <w:rPr>
          <w:rFonts w:hint="default" w:ascii="仿宋" w:hAnsi="仿宋" w:eastAsia="仿宋" w:cs="Times New Roman"/>
          <w:sz w:val="32"/>
          <w:szCs w:val="32"/>
          <w:lang w:val="en-US" w:eastAsia="zh-CN"/>
        </w:rPr>
      </w:pPr>
    </w:p>
    <w:p w14:paraId="586BE370">
      <w:pPr>
        <w:spacing w:line="600" w:lineRule="exact"/>
        <w:rPr>
          <w:rFonts w:hint="default" w:ascii="仿宋" w:hAnsi="仿宋" w:eastAsia="仿宋" w:cs="Times New Roman"/>
          <w:sz w:val="32"/>
          <w:szCs w:val="32"/>
          <w:lang w:val="en-US" w:eastAsia="zh-CN"/>
        </w:rPr>
      </w:pPr>
    </w:p>
    <w:p w14:paraId="2FB07E83">
      <w:pPr>
        <w:spacing w:line="600" w:lineRule="exact"/>
        <w:rPr>
          <w:rFonts w:hint="default" w:ascii="仿宋" w:hAnsi="仿宋" w:eastAsia="仿宋" w:cs="Times New Roman"/>
          <w:sz w:val="32"/>
          <w:szCs w:val="32"/>
          <w:lang w:val="en-US" w:eastAsia="zh-CN"/>
        </w:rPr>
      </w:pPr>
    </w:p>
    <w:p w14:paraId="50D5F13A">
      <w:pPr>
        <w:spacing w:line="600" w:lineRule="exact"/>
        <w:rPr>
          <w:rFonts w:hint="default" w:ascii="仿宋" w:hAnsi="仿宋" w:eastAsia="仿宋" w:cs="Times New Roman"/>
          <w:sz w:val="32"/>
          <w:szCs w:val="32"/>
          <w:lang w:val="en-US" w:eastAsia="zh-CN"/>
        </w:rPr>
      </w:pPr>
    </w:p>
    <w:p w14:paraId="07472EB0">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一、基本职能及主要工作</w:t>
      </w:r>
    </w:p>
    <w:p w14:paraId="5A19CB1E">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（一）职能简介：</w:t>
      </w:r>
    </w:p>
    <w:p w14:paraId="2C133600">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1、贯彻执行国家有关统计工作的法律、法规、草拟全县统计现代化建设规划和统计调查计划，组织领导和监督全县各乡镇各部门的统计和国民经济核算工作，监督检查统计法律法规的实施。</w:t>
      </w:r>
    </w:p>
    <w:p w14:paraId="0EA34977">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2、负责建立健全全县国民经济核算体系，建立和管理全县基本统计报表；拟订全县统计标准，审定部门统计标准；管理全县统计调查项目，审批全县各乡镇各部门的统计调查计划、调查方案。</w:t>
      </w:r>
    </w:p>
    <w:p w14:paraId="257D94B4">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3、负责组织实施全县农林牧渔业、工业、建筑业、批发和零售业、住宿和餐饮业、房地产业等国民经济行业以及能源、投资、人口、收入、科技、社会发展基本情况、环境基本状况等领域的统计调查，建立全县经济社会发展监测评价制度及指标体系，对重点区域和重要领域实施监测评价，牵头综合整理和提供资源、房屋、旅游、教育、卫生、邮电、交通运输、社会保障、公用事业、对外贸易、对外经济等全县基本统计资料。</w:t>
      </w:r>
    </w:p>
    <w:p w14:paraId="189565F0">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4．监督检查统计法律法规的贯彻执行，组织开展全县性的统计执法检查，提高统计数据真实性。</w:t>
      </w:r>
    </w:p>
    <w:p w14:paraId="0C9DCFC9">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5、负责组织实施全县人口普查、经济普查、农业普查、重大国情国力专项调查、投入产出调查以及社情民意调查；汇总、整理全县的基本统计资料；对全县国民经济、社会发展、科技进步和资源环境等情况进行统计分析和预测，向市统计局和县委、县政府及有关部门提供统计信息和咨询建议，向社会公众提供统计信息服务。</w:t>
      </w:r>
    </w:p>
    <w:p w14:paraId="2E5D9B04">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6、负责组织管理全县统计专业资格考试和职务评审，统计系统公务员业务培训，统计专业技术人员岗位培训和继续教育工作。</w:t>
      </w:r>
    </w:p>
    <w:p w14:paraId="1BDA166C">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7、负责全县统计信息化管理，建立健全和管理全县基本单位名录库，牵头构建全县信息化网络体系，建立健全全县统计数据库系统、统计信息自动化系统和县级部门统计信息共享制度，指导地方统计信息化建设。</w:t>
      </w:r>
    </w:p>
    <w:p w14:paraId="0B99578F">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8、承办县委、县政府交办的其他事项。</w:t>
      </w:r>
    </w:p>
    <w:p w14:paraId="6AA2536A">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二、2025年重点工作任务</w:t>
      </w:r>
    </w:p>
    <w:p w14:paraId="02CA4948">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（一）夯实统计基层基础</w:t>
      </w:r>
    </w:p>
    <w:p w14:paraId="3F882287">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加强统计法治建设，推进统计基层基础规范化工作，确保对基层统计员的各项培训效果落实落地，提高统计数据质量。统计部门按照中央、省、市实施方案要求，结合峨边彝族自治县实际，及早谋划、有序推进基层统计规范化标准化建设。</w:t>
      </w:r>
    </w:p>
    <w:p w14:paraId="6DDD3F62">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（二）做好常规统计调查</w:t>
      </w:r>
    </w:p>
    <w:p w14:paraId="6C40B76D">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根据统计职能职责与统计方法制度，按时组织统计调查报表工作。紧盯主要经济指标的预测分析以及潜在风险的预警，围绕峨边经济发展，积极组织开展联合调研，努力提供有深度、有分量、可操作的调研分析精品。</w:t>
      </w:r>
    </w:p>
    <w:p w14:paraId="3140850A">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（三）扎实开展</w:t>
      </w:r>
      <w:bookmarkStart w:id="0" w:name="OLE_LINK4"/>
      <w:r>
        <w:rPr>
          <w:rFonts w:hint="eastAsia" w:ascii="Times New Roman" w:hAnsi="Times New Roman" w:eastAsia="仿宋_GB2312" w:cs="仿宋_GB2312"/>
          <w:color w:val="000000"/>
          <w:sz w:val="32"/>
          <w:szCs w:val="32"/>
          <w:shd w:val="clear" w:color="auto" w:fill="FFFFFF"/>
          <w:lang w:val="en-US" w:eastAsia="zh-CN"/>
        </w:rPr>
        <w:t>国情国力</w:t>
      </w:r>
      <w:bookmarkEnd w:id="0"/>
      <w:r>
        <w:rPr>
          <w:rFonts w:hint="eastAsia" w:ascii="Times New Roman" w:hAnsi="Times New Roman" w:eastAsia="仿宋_GB2312" w:cs="仿宋_GB2312"/>
          <w:color w:val="000000"/>
          <w:sz w:val="32"/>
          <w:szCs w:val="32"/>
          <w:shd w:val="clear" w:color="auto" w:fill="FFFFFF"/>
          <w:lang w:val="en-US" w:eastAsia="zh-CN"/>
        </w:rPr>
        <w:t>普查工作</w:t>
      </w:r>
    </w:p>
    <w:p w14:paraId="18254227">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2025年恰逢国情国力普查交接年，要做好2024年第五次全国经济普查成果分析和工作复盘和2026年是第四次全国农业普查年，加强对我县各项农业项目的实地调研，确保全面掌握我县农业发展现状，为高质量完成农业普查工作奠定坚实基础。</w:t>
      </w:r>
    </w:p>
    <w:p w14:paraId="0F60CF0D">
      <w:pPr>
        <w:keepNext w:val="0"/>
        <w:keepLines w:val="0"/>
        <w:pageBreakBefore w:val="0"/>
        <w:widowControl w:val="0"/>
        <w:kinsoku/>
        <w:wordWrap/>
        <w:overflowPunct/>
        <w:topLinePunct w:val="0"/>
        <w:autoSpaceDE/>
        <w:autoSpaceDN/>
        <w:bidi w:val="0"/>
        <w:adjustRightInd/>
        <w:snapToGrid/>
        <w:ind w:firstLine="640" w:firstLineChars="200"/>
        <w:jc w:val="left"/>
        <w:textAlignment w:val="auto"/>
        <w:rPr>
          <w:rFonts w:hint="default" w:ascii="仿宋" w:hAnsi="仿宋" w:eastAsia="仿宋" w:cs="仿宋"/>
          <w:b w:val="0"/>
          <w:bCs w:val="0"/>
          <w:sz w:val="32"/>
          <w:szCs w:val="32"/>
          <w:lang w:val="en-US" w:eastAsia="zh-CN"/>
        </w:rPr>
      </w:pPr>
      <w:r>
        <w:rPr>
          <w:rFonts w:hint="default" w:ascii="仿宋" w:hAnsi="仿宋" w:eastAsia="仿宋" w:cs="仿宋"/>
          <w:b w:val="0"/>
          <w:bCs w:val="0"/>
          <w:sz w:val="32"/>
          <w:szCs w:val="32"/>
          <w:lang w:val="en-US" w:eastAsia="zh-CN"/>
        </w:rPr>
        <w:t>二、部门预算单位构成</w:t>
      </w:r>
    </w:p>
    <w:p w14:paraId="56200D8D">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统计局预算单位1个，其中：行政单位1个，事业单位0个。</w:t>
      </w:r>
    </w:p>
    <w:p w14:paraId="4A79FBB0">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统计局总编制21名，其中：行政编制6名，参公编制6名，事业编制9名，工勤编制0名。在职人员总数16名，其中：行政4名，参公6名，工勤0名，事业6名。离休0名。</w:t>
      </w:r>
    </w:p>
    <w:p w14:paraId="6247037F">
      <w:pPr>
        <w:numPr>
          <w:ilvl w:val="0"/>
          <w:numId w:val="0"/>
        </w:numPr>
        <w:jc w:val="center"/>
        <w:rPr>
          <w:rFonts w:hint="eastAsia"/>
          <w:b/>
          <w:bCs/>
          <w:color w:val="auto"/>
          <w:sz w:val="52"/>
          <w:szCs w:val="52"/>
          <w:lang w:val="en-US" w:eastAsia="zh-CN"/>
        </w:rPr>
      </w:pPr>
    </w:p>
    <w:p w14:paraId="639FC311">
      <w:pPr>
        <w:numPr>
          <w:ilvl w:val="0"/>
          <w:numId w:val="0"/>
        </w:numPr>
        <w:jc w:val="center"/>
        <w:rPr>
          <w:rFonts w:hint="eastAsia"/>
          <w:b/>
          <w:bCs/>
          <w:color w:val="auto"/>
          <w:sz w:val="52"/>
          <w:szCs w:val="52"/>
          <w:lang w:val="en-US" w:eastAsia="zh-CN"/>
        </w:rPr>
      </w:pPr>
    </w:p>
    <w:p w14:paraId="1A0FA190">
      <w:pPr>
        <w:numPr>
          <w:ilvl w:val="0"/>
          <w:numId w:val="0"/>
        </w:numPr>
        <w:jc w:val="center"/>
        <w:rPr>
          <w:rFonts w:hint="eastAsia"/>
          <w:b/>
          <w:bCs/>
          <w:color w:val="auto"/>
          <w:sz w:val="52"/>
          <w:szCs w:val="52"/>
          <w:lang w:val="en-US" w:eastAsia="zh-CN"/>
        </w:rPr>
      </w:pPr>
    </w:p>
    <w:p w14:paraId="22DCA236">
      <w:pPr>
        <w:numPr>
          <w:ilvl w:val="0"/>
          <w:numId w:val="0"/>
        </w:numPr>
        <w:jc w:val="center"/>
        <w:rPr>
          <w:rFonts w:hint="eastAsia"/>
          <w:b/>
          <w:bCs/>
          <w:color w:val="auto"/>
          <w:sz w:val="52"/>
          <w:szCs w:val="52"/>
          <w:lang w:val="en-US" w:eastAsia="zh-CN"/>
        </w:rPr>
      </w:pPr>
    </w:p>
    <w:p w14:paraId="7CE5AB3E">
      <w:pPr>
        <w:numPr>
          <w:ilvl w:val="0"/>
          <w:numId w:val="0"/>
        </w:numPr>
        <w:jc w:val="center"/>
        <w:rPr>
          <w:rFonts w:hint="eastAsia"/>
          <w:b/>
          <w:bCs/>
          <w:color w:val="auto"/>
          <w:sz w:val="52"/>
          <w:szCs w:val="52"/>
          <w:lang w:val="en-US" w:eastAsia="zh-CN"/>
        </w:rPr>
      </w:pPr>
    </w:p>
    <w:p w14:paraId="7AF799BA">
      <w:pPr>
        <w:numPr>
          <w:ilvl w:val="0"/>
          <w:numId w:val="0"/>
        </w:numPr>
        <w:jc w:val="center"/>
        <w:rPr>
          <w:rFonts w:hint="eastAsia"/>
          <w:b/>
          <w:bCs/>
          <w:color w:val="auto"/>
          <w:sz w:val="52"/>
          <w:szCs w:val="52"/>
          <w:lang w:val="en-US" w:eastAsia="zh-CN"/>
        </w:rPr>
      </w:pPr>
    </w:p>
    <w:p w14:paraId="1AD9A0E5">
      <w:pPr>
        <w:numPr>
          <w:ilvl w:val="0"/>
          <w:numId w:val="0"/>
        </w:numPr>
        <w:jc w:val="center"/>
        <w:rPr>
          <w:rFonts w:hint="eastAsia"/>
          <w:b/>
          <w:bCs/>
          <w:color w:val="auto"/>
          <w:sz w:val="52"/>
          <w:szCs w:val="52"/>
          <w:lang w:val="en-US" w:eastAsia="zh-CN"/>
        </w:rPr>
      </w:pPr>
    </w:p>
    <w:p w14:paraId="2894ADC3">
      <w:pPr>
        <w:numPr>
          <w:ilvl w:val="0"/>
          <w:numId w:val="0"/>
        </w:numPr>
        <w:jc w:val="center"/>
        <w:rPr>
          <w:rFonts w:hint="eastAsia"/>
          <w:b/>
          <w:bCs/>
          <w:color w:val="auto"/>
          <w:sz w:val="52"/>
          <w:szCs w:val="52"/>
          <w:lang w:val="en-US" w:eastAsia="zh-CN"/>
        </w:rPr>
      </w:pPr>
    </w:p>
    <w:p w14:paraId="641B64F2">
      <w:pPr>
        <w:numPr>
          <w:ilvl w:val="0"/>
          <w:numId w:val="0"/>
        </w:numPr>
        <w:jc w:val="both"/>
        <w:rPr>
          <w:rFonts w:hint="eastAsia"/>
          <w:b/>
          <w:bCs/>
          <w:color w:val="auto"/>
          <w:sz w:val="52"/>
          <w:szCs w:val="52"/>
          <w:lang w:val="en-US" w:eastAsia="zh-CN"/>
        </w:rPr>
      </w:pPr>
    </w:p>
    <w:p w14:paraId="3FB671B8">
      <w:pPr>
        <w:numPr>
          <w:ilvl w:val="0"/>
          <w:numId w:val="0"/>
        </w:numPr>
        <w:jc w:val="center"/>
        <w:rPr>
          <w:rFonts w:hint="eastAsia"/>
          <w:b/>
          <w:bCs/>
          <w:color w:val="auto"/>
          <w:sz w:val="52"/>
          <w:szCs w:val="52"/>
          <w:lang w:val="en-US" w:eastAsia="zh-CN"/>
        </w:rPr>
      </w:pPr>
    </w:p>
    <w:p w14:paraId="37DC13CA">
      <w:pPr>
        <w:numPr>
          <w:ilvl w:val="0"/>
          <w:numId w:val="0"/>
        </w:numPr>
        <w:jc w:val="both"/>
        <w:rPr>
          <w:rFonts w:hint="eastAsia"/>
          <w:b/>
          <w:bCs/>
          <w:color w:val="auto"/>
          <w:sz w:val="52"/>
          <w:szCs w:val="52"/>
          <w:lang w:val="en-US" w:eastAsia="zh-CN"/>
        </w:rPr>
      </w:pPr>
      <w:r>
        <w:rPr>
          <w:rFonts w:hint="eastAsia"/>
          <w:b/>
          <w:bCs/>
          <w:color w:val="auto"/>
          <w:sz w:val="52"/>
          <w:szCs w:val="52"/>
          <w:lang w:val="en-US" w:eastAsia="zh-CN"/>
        </w:rPr>
        <w:t>第二部分  峨边彝族自治县统计局</w:t>
      </w:r>
    </w:p>
    <w:p w14:paraId="672700DD">
      <w:pPr>
        <w:numPr>
          <w:ilvl w:val="0"/>
          <w:numId w:val="0"/>
        </w:numPr>
        <w:jc w:val="center"/>
        <w:rPr>
          <w:rFonts w:hint="eastAsia"/>
          <w:b/>
          <w:bCs/>
          <w:color w:val="auto"/>
          <w:sz w:val="52"/>
          <w:szCs w:val="52"/>
          <w:lang w:val="en-US" w:eastAsia="zh-CN"/>
        </w:rPr>
      </w:pPr>
      <w:r>
        <w:rPr>
          <w:rFonts w:hint="eastAsia"/>
          <w:b/>
          <w:bCs/>
          <w:color w:val="auto"/>
          <w:sz w:val="52"/>
          <w:szCs w:val="52"/>
          <w:lang w:val="en-US" w:eastAsia="zh-CN"/>
        </w:rPr>
        <w:t>2025年部门预算表</w:t>
      </w:r>
    </w:p>
    <w:p w14:paraId="3F24BACF">
      <w:pPr>
        <w:spacing w:line="600" w:lineRule="exact"/>
      </w:pPr>
    </w:p>
    <w:p w14:paraId="13F5C450">
      <w:pPr>
        <w:spacing w:line="600" w:lineRule="exact"/>
        <w:rPr>
          <w:rFonts w:hint="default" w:ascii="仿宋" w:hAnsi="仿宋" w:eastAsia="仿宋" w:cs="Times New Roman"/>
          <w:color w:val="auto"/>
          <w:sz w:val="32"/>
          <w:szCs w:val="32"/>
          <w:lang w:val="en-US" w:eastAsia="zh-CN"/>
        </w:rPr>
      </w:pPr>
    </w:p>
    <w:p w14:paraId="03875D86">
      <w:pPr>
        <w:spacing w:line="600" w:lineRule="exact"/>
        <w:rPr>
          <w:rFonts w:hint="default" w:ascii="仿宋" w:hAnsi="仿宋" w:eastAsia="仿宋" w:cs="Times New Roman"/>
          <w:color w:val="auto"/>
          <w:sz w:val="32"/>
          <w:szCs w:val="32"/>
          <w:lang w:val="en-US" w:eastAsia="zh-CN"/>
        </w:rPr>
      </w:pPr>
    </w:p>
    <w:p w14:paraId="7F028B4D">
      <w:pPr>
        <w:spacing w:line="600" w:lineRule="exact"/>
        <w:rPr>
          <w:rFonts w:hint="eastAsia" w:ascii="仿宋_GB2312" w:hAnsi="仿宋_GB2312" w:eastAsia="仿宋_GB2312" w:cs="仿宋_GB2312"/>
          <w:color w:val="auto"/>
          <w:sz w:val="32"/>
          <w:szCs w:val="32"/>
          <w:lang w:val="en-US" w:eastAsia="zh-CN"/>
        </w:rPr>
      </w:pPr>
    </w:p>
    <w:p w14:paraId="64506981">
      <w:pPr>
        <w:spacing w:line="600" w:lineRule="exact"/>
        <w:rPr>
          <w:rFonts w:hint="eastAsia" w:ascii="仿宋_GB2312" w:hAnsi="仿宋_GB2312" w:eastAsia="仿宋_GB2312" w:cs="仿宋_GB2312"/>
          <w:color w:val="auto"/>
          <w:sz w:val="32"/>
          <w:szCs w:val="32"/>
          <w:lang w:val="en-US" w:eastAsia="zh-CN"/>
        </w:rPr>
      </w:pPr>
    </w:p>
    <w:p w14:paraId="7204A7F7">
      <w:pPr>
        <w:pStyle w:val="3"/>
        <w:rPr>
          <w:rFonts w:hint="default"/>
          <w:lang w:val="en-US" w:eastAsia="zh-CN"/>
        </w:rPr>
        <w:sectPr>
          <w:headerReference r:id="rId3" w:type="default"/>
          <w:pgSz w:w="11906" w:h="16838"/>
          <w:pgMar w:top="1440" w:right="1800" w:bottom="1440" w:left="1800" w:header="851" w:footer="992" w:gutter="0"/>
          <w:cols w:space="425" w:num="1"/>
          <w:docGrid w:type="lines" w:linePitch="312" w:charSpace="0"/>
        </w:sectPr>
      </w:pPr>
    </w:p>
    <w:p w14:paraId="47FA562F">
      <w:pPr>
        <w:numPr>
          <w:ilvl w:val="0"/>
          <w:numId w:val="0"/>
        </w:numPr>
        <w:ind w:leftChars="0"/>
        <w:jc w:val="center"/>
      </w:pPr>
      <w:r>
        <w:drawing>
          <wp:inline distT="0" distB="0" distL="114300" distR="114300">
            <wp:extent cx="5269865" cy="5389880"/>
            <wp:effectExtent l="0" t="0" r="6985" b="127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5"/>
                    <a:stretch>
                      <a:fillRect/>
                    </a:stretch>
                  </pic:blipFill>
                  <pic:spPr>
                    <a:xfrm>
                      <a:off x="0" y="0"/>
                      <a:ext cx="5269865" cy="5389880"/>
                    </a:xfrm>
                    <a:prstGeom prst="rect">
                      <a:avLst/>
                    </a:prstGeom>
                    <a:noFill/>
                    <a:ln>
                      <a:noFill/>
                    </a:ln>
                  </pic:spPr>
                </pic:pic>
              </a:graphicData>
            </a:graphic>
          </wp:inline>
        </w:drawing>
      </w:r>
    </w:p>
    <w:p w14:paraId="2E884D84">
      <w:pPr>
        <w:bidi w:val="0"/>
        <w:jc w:val="left"/>
        <w:rPr>
          <w:rFonts w:asciiTheme="minorHAnsi" w:hAnsiTheme="minorHAnsi" w:eastAsiaTheme="minorEastAsia" w:cstheme="minorBidi"/>
          <w:kern w:val="2"/>
          <w:sz w:val="21"/>
          <w:szCs w:val="24"/>
          <w:lang w:val="en-US" w:eastAsia="zh-CN" w:bidi="ar-SA"/>
        </w:rPr>
        <w:sectPr>
          <w:pgSz w:w="11906" w:h="16838"/>
          <w:pgMar w:top="1440" w:right="1800" w:bottom="1440" w:left="1800" w:header="851" w:footer="992" w:gutter="0"/>
          <w:cols w:space="425" w:num="1"/>
          <w:docGrid w:type="lines" w:linePitch="312" w:charSpace="0"/>
        </w:sectPr>
      </w:pPr>
      <w:r>
        <w:drawing>
          <wp:inline distT="0" distB="0" distL="114300" distR="114300">
            <wp:extent cx="5262245" cy="558165"/>
            <wp:effectExtent l="0" t="0" r="1460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2245" cy="558165"/>
                    </a:xfrm>
                    <a:prstGeom prst="rect">
                      <a:avLst/>
                    </a:prstGeom>
                    <a:noFill/>
                    <a:ln>
                      <a:noFill/>
                    </a:ln>
                  </pic:spPr>
                </pic:pic>
              </a:graphicData>
            </a:graphic>
          </wp:inline>
        </w:drawing>
      </w:r>
      <w:r>
        <w:drawing>
          <wp:inline distT="0" distB="0" distL="114300" distR="114300">
            <wp:extent cx="5269230" cy="2298700"/>
            <wp:effectExtent l="0" t="0" r="762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9230" cy="2298700"/>
                    </a:xfrm>
                    <a:prstGeom prst="rect">
                      <a:avLst/>
                    </a:prstGeom>
                    <a:noFill/>
                    <a:ln>
                      <a:noFill/>
                    </a:ln>
                  </pic:spPr>
                </pic:pic>
              </a:graphicData>
            </a:graphic>
          </wp:inline>
        </w:drawing>
      </w:r>
    </w:p>
    <w:p w14:paraId="7810FB0A">
      <w:pPr>
        <w:pStyle w:val="3"/>
        <w:sectPr>
          <w:pgSz w:w="11906" w:h="16838"/>
          <w:pgMar w:top="1440" w:right="1800" w:bottom="1440" w:left="1800" w:header="851" w:footer="992" w:gutter="0"/>
          <w:cols w:space="425" w:num="1"/>
          <w:docGrid w:type="lines" w:linePitch="312" w:charSpace="0"/>
        </w:sectPr>
      </w:pPr>
      <w:r>
        <w:drawing>
          <wp:inline distT="0" distB="0" distL="114300" distR="114300">
            <wp:extent cx="5267960" cy="3834130"/>
            <wp:effectExtent l="0" t="0" r="8890" b="1397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8"/>
                    <a:stretch>
                      <a:fillRect/>
                    </a:stretch>
                  </pic:blipFill>
                  <pic:spPr>
                    <a:xfrm>
                      <a:off x="0" y="0"/>
                      <a:ext cx="5267960" cy="3834130"/>
                    </a:xfrm>
                    <a:prstGeom prst="rect">
                      <a:avLst/>
                    </a:prstGeom>
                    <a:noFill/>
                    <a:ln>
                      <a:noFill/>
                    </a:ln>
                  </pic:spPr>
                </pic:pic>
              </a:graphicData>
            </a:graphic>
          </wp:inline>
        </w:drawing>
      </w:r>
      <w:r>
        <w:drawing>
          <wp:inline distT="0" distB="0" distL="114300" distR="114300">
            <wp:extent cx="5252720" cy="1514475"/>
            <wp:effectExtent l="0" t="0" r="508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52720" cy="1514475"/>
                    </a:xfrm>
                    <a:prstGeom prst="rect">
                      <a:avLst/>
                    </a:prstGeom>
                    <a:noFill/>
                    <a:ln>
                      <a:noFill/>
                    </a:ln>
                  </pic:spPr>
                </pic:pic>
              </a:graphicData>
            </a:graphic>
          </wp:inline>
        </w:drawing>
      </w:r>
      <w:r>
        <w:drawing>
          <wp:inline distT="0" distB="0" distL="114300" distR="114300">
            <wp:extent cx="5269230" cy="2298700"/>
            <wp:effectExtent l="0" t="0" r="762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69230" cy="2298700"/>
                    </a:xfrm>
                    <a:prstGeom prst="rect">
                      <a:avLst/>
                    </a:prstGeom>
                    <a:noFill/>
                    <a:ln>
                      <a:noFill/>
                    </a:ln>
                  </pic:spPr>
                </pic:pic>
              </a:graphicData>
            </a:graphic>
          </wp:inline>
        </w:drawing>
      </w:r>
    </w:p>
    <w:p w14:paraId="79A9C551">
      <w:pPr>
        <w:pStyle w:val="3"/>
        <w:rPr>
          <w:lang w:val="en-US" w:eastAsia="zh-CN"/>
        </w:rPr>
        <w:sectPr>
          <w:pgSz w:w="11906" w:h="16838"/>
          <w:pgMar w:top="1440" w:right="1800" w:bottom="1440" w:left="1800" w:header="851" w:footer="992" w:gutter="0"/>
          <w:cols w:space="425" w:num="1"/>
          <w:docGrid w:type="lines" w:linePitch="312" w:charSpace="0"/>
        </w:sectPr>
      </w:pPr>
      <w:r>
        <w:drawing>
          <wp:inline distT="0" distB="0" distL="114300" distR="114300">
            <wp:extent cx="5271770" cy="4878070"/>
            <wp:effectExtent l="0" t="0" r="5080" b="1778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1"/>
                    <a:stretch>
                      <a:fillRect/>
                    </a:stretch>
                  </pic:blipFill>
                  <pic:spPr>
                    <a:xfrm>
                      <a:off x="0" y="0"/>
                      <a:ext cx="5271770" cy="4878070"/>
                    </a:xfrm>
                    <a:prstGeom prst="rect">
                      <a:avLst/>
                    </a:prstGeom>
                    <a:noFill/>
                    <a:ln>
                      <a:noFill/>
                    </a:ln>
                  </pic:spPr>
                </pic:pic>
              </a:graphicData>
            </a:graphic>
          </wp:inline>
        </w:drawing>
      </w:r>
      <w:r>
        <w:drawing>
          <wp:inline distT="0" distB="0" distL="114300" distR="114300">
            <wp:extent cx="5270500" cy="1875155"/>
            <wp:effectExtent l="0" t="0" r="6350" b="1079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12"/>
                    <a:stretch>
                      <a:fillRect/>
                    </a:stretch>
                  </pic:blipFill>
                  <pic:spPr>
                    <a:xfrm>
                      <a:off x="0" y="0"/>
                      <a:ext cx="5270500" cy="1875155"/>
                    </a:xfrm>
                    <a:prstGeom prst="rect">
                      <a:avLst/>
                    </a:prstGeom>
                    <a:noFill/>
                    <a:ln>
                      <a:noFill/>
                    </a:ln>
                  </pic:spPr>
                </pic:pic>
              </a:graphicData>
            </a:graphic>
          </wp:inline>
        </w:drawing>
      </w:r>
      <w:r>
        <w:drawing>
          <wp:inline distT="0" distB="0" distL="114300" distR="114300">
            <wp:extent cx="5272405" cy="992505"/>
            <wp:effectExtent l="0" t="0" r="4445" b="17145"/>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13"/>
                    <a:stretch>
                      <a:fillRect/>
                    </a:stretch>
                  </pic:blipFill>
                  <pic:spPr>
                    <a:xfrm>
                      <a:off x="0" y="0"/>
                      <a:ext cx="5272405" cy="992505"/>
                    </a:xfrm>
                    <a:prstGeom prst="rect">
                      <a:avLst/>
                    </a:prstGeom>
                    <a:noFill/>
                    <a:ln>
                      <a:noFill/>
                    </a:ln>
                  </pic:spPr>
                </pic:pic>
              </a:graphicData>
            </a:graphic>
          </wp:inline>
        </w:drawing>
      </w:r>
    </w:p>
    <w:p w14:paraId="182AC1D7">
      <w:pPr>
        <w:pStyle w:val="3"/>
        <w:rPr>
          <w:rFonts w:hint="eastAsia"/>
          <w:lang w:val="en-US" w:eastAsia="zh-CN"/>
        </w:rPr>
        <w:sectPr>
          <w:pgSz w:w="11906" w:h="16838"/>
          <w:pgMar w:top="1440" w:right="1800" w:bottom="1440" w:left="1800" w:header="851" w:footer="992" w:gutter="0"/>
          <w:cols w:space="425" w:num="1"/>
          <w:docGrid w:type="lines" w:linePitch="312" w:charSpace="0"/>
        </w:sectPr>
      </w:pPr>
      <w:r>
        <w:drawing>
          <wp:inline distT="0" distB="0" distL="114300" distR="114300">
            <wp:extent cx="5271135" cy="1382395"/>
            <wp:effectExtent l="0" t="0" r="5715" b="8255"/>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4"/>
                    <a:stretch>
                      <a:fillRect/>
                    </a:stretch>
                  </pic:blipFill>
                  <pic:spPr>
                    <a:xfrm>
                      <a:off x="0" y="0"/>
                      <a:ext cx="5271135" cy="1382395"/>
                    </a:xfrm>
                    <a:prstGeom prst="rect">
                      <a:avLst/>
                    </a:prstGeom>
                    <a:noFill/>
                    <a:ln>
                      <a:noFill/>
                    </a:ln>
                  </pic:spPr>
                </pic:pic>
              </a:graphicData>
            </a:graphic>
          </wp:inline>
        </w:drawing>
      </w:r>
      <w:r>
        <w:drawing>
          <wp:inline distT="0" distB="0" distL="114300" distR="114300">
            <wp:extent cx="5272405" cy="992505"/>
            <wp:effectExtent l="0" t="0" r="4445" b="1714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5"/>
                    <a:stretch>
                      <a:fillRect/>
                    </a:stretch>
                  </pic:blipFill>
                  <pic:spPr>
                    <a:xfrm>
                      <a:off x="0" y="0"/>
                      <a:ext cx="5272405" cy="992505"/>
                    </a:xfrm>
                    <a:prstGeom prst="rect">
                      <a:avLst/>
                    </a:prstGeom>
                    <a:noFill/>
                    <a:ln>
                      <a:noFill/>
                    </a:ln>
                  </pic:spPr>
                </pic:pic>
              </a:graphicData>
            </a:graphic>
          </wp:inline>
        </w:drawing>
      </w:r>
      <w:r>
        <w:drawing>
          <wp:inline distT="0" distB="0" distL="114300" distR="114300">
            <wp:extent cx="5271135" cy="1382395"/>
            <wp:effectExtent l="0" t="0" r="5715" b="8255"/>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16"/>
                    <a:stretch>
                      <a:fillRect/>
                    </a:stretch>
                  </pic:blipFill>
                  <pic:spPr>
                    <a:xfrm>
                      <a:off x="0" y="0"/>
                      <a:ext cx="5271135" cy="1382395"/>
                    </a:xfrm>
                    <a:prstGeom prst="rect">
                      <a:avLst/>
                    </a:prstGeom>
                    <a:noFill/>
                    <a:ln>
                      <a:noFill/>
                    </a:ln>
                  </pic:spPr>
                </pic:pic>
              </a:graphicData>
            </a:graphic>
          </wp:inline>
        </w:drawing>
      </w:r>
    </w:p>
    <w:p w14:paraId="2F367589">
      <w:pPr>
        <w:pStyle w:val="3"/>
        <w:sectPr>
          <w:pgSz w:w="11906" w:h="16838"/>
          <w:pgMar w:top="1440" w:right="1800" w:bottom="1440" w:left="1800" w:header="851" w:footer="992" w:gutter="0"/>
          <w:cols w:space="425" w:num="1"/>
          <w:docGrid w:type="lines" w:linePitch="312" w:charSpace="0"/>
        </w:sectPr>
      </w:pPr>
      <w:r>
        <w:drawing>
          <wp:inline distT="0" distB="0" distL="114300" distR="114300">
            <wp:extent cx="5267325" cy="7251065"/>
            <wp:effectExtent l="0" t="0" r="9525" b="6985"/>
            <wp:docPr id="5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9"/>
                    <pic:cNvPicPr>
                      <a:picLocks noChangeAspect="1"/>
                    </pic:cNvPicPr>
                  </pic:nvPicPr>
                  <pic:blipFill>
                    <a:blip r:embed="rId17"/>
                    <a:stretch>
                      <a:fillRect/>
                    </a:stretch>
                  </pic:blipFill>
                  <pic:spPr>
                    <a:xfrm>
                      <a:off x="0" y="0"/>
                      <a:ext cx="5267325" cy="7251065"/>
                    </a:xfrm>
                    <a:prstGeom prst="rect">
                      <a:avLst/>
                    </a:prstGeom>
                    <a:noFill/>
                    <a:ln>
                      <a:noFill/>
                    </a:ln>
                  </pic:spPr>
                </pic:pic>
              </a:graphicData>
            </a:graphic>
          </wp:inline>
        </w:drawing>
      </w:r>
      <w:r>
        <w:drawing>
          <wp:inline distT="0" distB="0" distL="114300" distR="114300">
            <wp:extent cx="5268595" cy="4704715"/>
            <wp:effectExtent l="0" t="0" r="8255" b="635"/>
            <wp:docPr id="5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8"/>
                    <pic:cNvPicPr>
                      <a:picLocks noChangeAspect="1"/>
                    </pic:cNvPicPr>
                  </pic:nvPicPr>
                  <pic:blipFill>
                    <a:blip r:embed="rId18"/>
                    <a:stretch>
                      <a:fillRect/>
                    </a:stretch>
                  </pic:blipFill>
                  <pic:spPr>
                    <a:xfrm>
                      <a:off x="0" y="0"/>
                      <a:ext cx="5268595" cy="4704715"/>
                    </a:xfrm>
                    <a:prstGeom prst="rect">
                      <a:avLst/>
                    </a:prstGeom>
                    <a:noFill/>
                    <a:ln>
                      <a:noFill/>
                    </a:ln>
                  </pic:spPr>
                </pic:pic>
              </a:graphicData>
            </a:graphic>
          </wp:inline>
        </w:drawing>
      </w:r>
      <w:r>
        <w:drawing>
          <wp:inline distT="0" distB="0" distL="114300" distR="114300">
            <wp:extent cx="5268595" cy="1002030"/>
            <wp:effectExtent l="0" t="0" r="8255" b="7620"/>
            <wp:docPr id="4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0"/>
                    <pic:cNvPicPr>
                      <a:picLocks noChangeAspect="1"/>
                    </pic:cNvPicPr>
                  </pic:nvPicPr>
                  <pic:blipFill>
                    <a:blip r:embed="rId19"/>
                    <a:stretch>
                      <a:fillRect/>
                    </a:stretch>
                  </pic:blipFill>
                  <pic:spPr>
                    <a:xfrm>
                      <a:off x="0" y="0"/>
                      <a:ext cx="5268595" cy="1002030"/>
                    </a:xfrm>
                    <a:prstGeom prst="rect">
                      <a:avLst/>
                    </a:prstGeom>
                    <a:noFill/>
                    <a:ln>
                      <a:noFill/>
                    </a:ln>
                  </pic:spPr>
                </pic:pic>
              </a:graphicData>
            </a:graphic>
          </wp:inline>
        </w:drawing>
      </w:r>
    </w:p>
    <w:p w14:paraId="1B986160">
      <w:pPr>
        <w:pStyle w:val="3"/>
        <w:rPr>
          <w:rFonts w:hint="eastAsia"/>
          <w:lang w:val="en-US" w:eastAsia="zh-CN"/>
        </w:rPr>
      </w:pPr>
    </w:p>
    <w:p w14:paraId="1FD7C99A">
      <w:pPr>
        <w:numPr>
          <w:ilvl w:val="0"/>
          <w:numId w:val="0"/>
        </w:numPr>
        <w:ind w:leftChars="0"/>
        <w:jc w:val="center"/>
        <w:rPr>
          <w:rFonts w:hint="eastAsia"/>
          <w:b/>
          <w:bCs/>
          <w:color w:val="auto"/>
          <w:sz w:val="52"/>
          <w:szCs w:val="52"/>
          <w:lang w:val="en-US" w:eastAsia="zh-CN"/>
        </w:rPr>
      </w:pPr>
    </w:p>
    <w:p w14:paraId="14DE1639">
      <w:pPr>
        <w:numPr>
          <w:ilvl w:val="0"/>
          <w:numId w:val="0"/>
        </w:numPr>
        <w:ind w:leftChars="0"/>
        <w:jc w:val="center"/>
        <w:rPr>
          <w:rFonts w:hint="eastAsia"/>
          <w:b/>
          <w:bCs/>
          <w:color w:val="auto"/>
          <w:sz w:val="52"/>
          <w:szCs w:val="52"/>
          <w:lang w:val="en-US" w:eastAsia="zh-CN"/>
        </w:rPr>
      </w:pPr>
    </w:p>
    <w:p w14:paraId="369A9880">
      <w:pPr>
        <w:numPr>
          <w:ilvl w:val="0"/>
          <w:numId w:val="0"/>
        </w:numPr>
        <w:ind w:leftChars="0"/>
        <w:jc w:val="center"/>
        <w:rPr>
          <w:rFonts w:hint="eastAsia"/>
          <w:b/>
          <w:bCs/>
          <w:color w:val="auto"/>
          <w:sz w:val="52"/>
          <w:szCs w:val="52"/>
          <w:lang w:val="en-US" w:eastAsia="zh-CN"/>
        </w:rPr>
      </w:pPr>
    </w:p>
    <w:p w14:paraId="3B6ECCE4">
      <w:pPr>
        <w:numPr>
          <w:ilvl w:val="0"/>
          <w:numId w:val="0"/>
        </w:numPr>
        <w:ind w:leftChars="0"/>
        <w:jc w:val="center"/>
        <w:rPr>
          <w:rFonts w:hint="eastAsia"/>
          <w:b/>
          <w:bCs/>
          <w:color w:val="auto"/>
          <w:sz w:val="52"/>
          <w:szCs w:val="52"/>
          <w:lang w:val="en-US" w:eastAsia="zh-CN"/>
        </w:rPr>
      </w:pPr>
    </w:p>
    <w:p w14:paraId="1E7F87D3">
      <w:pPr>
        <w:numPr>
          <w:ilvl w:val="0"/>
          <w:numId w:val="0"/>
        </w:numPr>
        <w:ind w:leftChars="0" w:firstLine="522" w:firstLineChars="100"/>
        <w:jc w:val="both"/>
        <w:rPr>
          <w:rFonts w:hint="eastAsia"/>
          <w:b/>
          <w:bCs/>
          <w:color w:val="auto"/>
          <w:sz w:val="52"/>
          <w:szCs w:val="52"/>
          <w:lang w:val="en-US" w:eastAsia="zh-CN"/>
        </w:rPr>
      </w:pPr>
      <w:r>
        <w:rPr>
          <w:rFonts w:hint="eastAsia"/>
          <w:b/>
          <w:bCs/>
          <w:color w:val="auto"/>
          <w:sz w:val="52"/>
          <w:szCs w:val="52"/>
          <w:lang w:val="en-US" w:eastAsia="zh-CN"/>
        </w:rPr>
        <w:t>第三部分 峨边彝族自治县统计局</w:t>
      </w:r>
    </w:p>
    <w:p w14:paraId="189BF845">
      <w:pPr>
        <w:numPr>
          <w:ilvl w:val="0"/>
          <w:numId w:val="0"/>
        </w:numPr>
        <w:ind w:leftChars="0"/>
        <w:jc w:val="center"/>
        <w:rPr>
          <w:rFonts w:hint="default"/>
          <w:b/>
          <w:bCs/>
          <w:color w:val="auto"/>
          <w:sz w:val="52"/>
          <w:szCs w:val="52"/>
          <w:lang w:val="en-US" w:eastAsia="zh-CN"/>
        </w:rPr>
      </w:pPr>
      <w:r>
        <w:rPr>
          <w:rFonts w:hint="default"/>
          <w:b/>
          <w:bCs/>
          <w:color w:val="auto"/>
          <w:sz w:val="52"/>
          <w:szCs w:val="52"/>
          <w:lang w:val="en-US" w:eastAsia="zh-CN"/>
        </w:rPr>
        <w:t>202</w:t>
      </w:r>
      <w:r>
        <w:rPr>
          <w:rFonts w:hint="eastAsia"/>
          <w:b/>
          <w:bCs/>
          <w:color w:val="auto"/>
          <w:sz w:val="52"/>
          <w:szCs w:val="52"/>
          <w:lang w:val="en-US" w:eastAsia="zh-CN"/>
        </w:rPr>
        <w:t>5</w:t>
      </w:r>
      <w:r>
        <w:rPr>
          <w:rFonts w:hint="default"/>
          <w:b/>
          <w:bCs/>
          <w:color w:val="auto"/>
          <w:sz w:val="52"/>
          <w:szCs w:val="52"/>
          <w:lang w:val="en-US" w:eastAsia="zh-CN"/>
        </w:rPr>
        <w:t>年部门预算情况说明</w:t>
      </w:r>
    </w:p>
    <w:p w14:paraId="17E2A86F">
      <w:pPr>
        <w:numPr>
          <w:ilvl w:val="0"/>
          <w:numId w:val="0"/>
        </w:numPr>
        <w:jc w:val="center"/>
        <w:rPr>
          <w:rFonts w:hint="default"/>
          <w:b/>
          <w:bCs/>
          <w:color w:val="auto"/>
          <w:sz w:val="52"/>
          <w:szCs w:val="52"/>
          <w:lang w:val="en-US" w:eastAsia="zh-CN"/>
        </w:rPr>
      </w:pPr>
    </w:p>
    <w:p w14:paraId="2B0FD75E">
      <w:pPr>
        <w:numPr>
          <w:ilvl w:val="0"/>
          <w:numId w:val="0"/>
        </w:numPr>
        <w:spacing w:line="600" w:lineRule="exact"/>
        <w:rPr>
          <w:rFonts w:hint="eastAsia" w:ascii="仿宋" w:hAnsi="仿宋" w:eastAsia="仿宋" w:cs="Times New Roman"/>
          <w:color w:val="auto"/>
          <w:sz w:val="32"/>
          <w:szCs w:val="32"/>
          <w:lang w:val="en-US" w:eastAsia="zh-CN"/>
        </w:rPr>
      </w:pPr>
    </w:p>
    <w:p w14:paraId="70ABB96F">
      <w:pPr>
        <w:numPr>
          <w:ilvl w:val="0"/>
          <w:numId w:val="0"/>
        </w:numPr>
        <w:spacing w:line="600" w:lineRule="exact"/>
        <w:rPr>
          <w:rFonts w:hint="eastAsia" w:ascii="仿宋" w:hAnsi="仿宋" w:eastAsia="仿宋" w:cs="Times New Roman"/>
          <w:color w:val="auto"/>
          <w:sz w:val="32"/>
          <w:szCs w:val="32"/>
          <w:lang w:val="en-US" w:eastAsia="zh-CN"/>
        </w:rPr>
      </w:pPr>
    </w:p>
    <w:p w14:paraId="0977AA65">
      <w:pPr>
        <w:numPr>
          <w:ilvl w:val="0"/>
          <w:numId w:val="0"/>
        </w:numPr>
        <w:spacing w:line="600" w:lineRule="exact"/>
        <w:rPr>
          <w:rFonts w:hint="eastAsia" w:ascii="仿宋" w:hAnsi="仿宋" w:eastAsia="仿宋" w:cs="Times New Roman"/>
          <w:color w:val="auto"/>
          <w:sz w:val="32"/>
          <w:szCs w:val="32"/>
          <w:lang w:val="en-US" w:eastAsia="zh-CN"/>
        </w:rPr>
      </w:pPr>
    </w:p>
    <w:p w14:paraId="58F1B2B7">
      <w:pPr>
        <w:numPr>
          <w:ilvl w:val="0"/>
          <w:numId w:val="0"/>
        </w:numPr>
        <w:spacing w:line="600" w:lineRule="exact"/>
        <w:rPr>
          <w:rFonts w:hint="eastAsia" w:ascii="仿宋" w:hAnsi="仿宋" w:eastAsia="仿宋" w:cs="Times New Roman"/>
          <w:color w:val="auto"/>
          <w:sz w:val="32"/>
          <w:szCs w:val="32"/>
          <w:lang w:val="en-US" w:eastAsia="zh-CN"/>
        </w:rPr>
      </w:pPr>
    </w:p>
    <w:p w14:paraId="479C9FFE">
      <w:pPr>
        <w:numPr>
          <w:ilvl w:val="0"/>
          <w:numId w:val="0"/>
        </w:numPr>
        <w:jc w:val="center"/>
        <w:rPr>
          <w:rFonts w:hint="default"/>
          <w:b/>
          <w:bCs/>
          <w:color w:val="auto"/>
          <w:sz w:val="52"/>
          <w:szCs w:val="52"/>
          <w:lang w:val="en-US" w:eastAsia="zh-CN"/>
        </w:rPr>
      </w:pPr>
    </w:p>
    <w:p w14:paraId="789750FE">
      <w:pPr>
        <w:numPr>
          <w:ilvl w:val="0"/>
          <w:numId w:val="0"/>
        </w:numPr>
        <w:jc w:val="center"/>
        <w:rPr>
          <w:rFonts w:hint="default"/>
          <w:b/>
          <w:bCs/>
          <w:color w:val="auto"/>
          <w:sz w:val="52"/>
          <w:szCs w:val="52"/>
          <w:lang w:val="en-US" w:eastAsia="zh-CN"/>
        </w:rPr>
      </w:pPr>
    </w:p>
    <w:p w14:paraId="3A1F102D">
      <w:pPr>
        <w:numPr>
          <w:ilvl w:val="0"/>
          <w:numId w:val="0"/>
        </w:numPr>
        <w:spacing w:line="600" w:lineRule="exact"/>
        <w:rPr>
          <w:rFonts w:hint="default"/>
          <w:b/>
          <w:bCs/>
          <w:color w:val="auto"/>
          <w:sz w:val="52"/>
          <w:szCs w:val="52"/>
          <w:lang w:val="en-US" w:eastAsia="zh-CN"/>
        </w:rPr>
      </w:pPr>
    </w:p>
    <w:p w14:paraId="62929644">
      <w:pPr>
        <w:widowControl/>
        <w:shd w:val="clear" w:color="auto" w:fill="FFFFFF"/>
        <w:spacing w:line="440" w:lineRule="atLeast"/>
        <w:ind w:firstLine="643" w:firstLineChars="200"/>
        <w:jc w:val="left"/>
        <w:rPr>
          <w:rFonts w:hint="eastAsia" w:ascii="仿宋" w:hAnsi="仿宋" w:eastAsia="仿宋" w:cs="宋体"/>
          <w:b/>
          <w:color w:val="auto"/>
          <w:kern w:val="0"/>
          <w:sz w:val="32"/>
          <w:szCs w:val="32"/>
          <w:lang w:val="en-US" w:eastAsia="zh-CN"/>
        </w:rPr>
      </w:pPr>
    </w:p>
    <w:p w14:paraId="0AAAA8E8">
      <w:pPr>
        <w:widowControl/>
        <w:shd w:val="clear" w:color="auto" w:fill="FFFFFF"/>
        <w:spacing w:line="440" w:lineRule="atLeast"/>
        <w:ind w:firstLine="643" w:firstLineChars="200"/>
        <w:jc w:val="left"/>
        <w:rPr>
          <w:rFonts w:hint="eastAsia" w:ascii="仿宋" w:hAnsi="仿宋" w:eastAsia="仿宋" w:cs="宋体"/>
          <w:b/>
          <w:color w:val="auto"/>
          <w:kern w:val="0"/>
          <w:sz w:val="32"/>
          <w:szCs w:val="32"/>
          <w:lang w:val="en-US" w:eastAsia="zh-CN"/>
        </w:rPr>
      </w:pPr>
    </w:p>
    <w:p w14:paraId="5E3604A6">
      <w:pPr>
        <w:pStyle w:val="3"/>
        <w:rPr>
          <w:rFonts w:hint="eastAsia" w:ascii="仿宋" w:hAnsi="仿宋" w:eastAsia="仿宋" w:cs="宋体"/>
          <w:b/>
          <w:color w:val="auto"/>
          <w:kern w:val="0"/>
          <w:sz w:val="32"/>
          <w:szCs w:val="32"/>
          <w:lang w:val="en-US" w:eastAsia="zh-CN"/>
        </w:rPr>
      </w:pPr>
    </w:p>
    <w:p w14:paraId="58A7E839">
      <w:pPr>
        <w:widowControl/>
        <w:shd w:val="clear" w:color="auto" w:fill="FFFFFF"/>
        <w:spacing w:line="440" w:lineRule="atLeast"/>
        <w:ind w:firstLine="643" w:firstLineChars="200"/>
        <w:jc w:val="left"/>
        <w:rPr>
          <w:rFonts w:hint="eastAsia" w:ascii="仿宋" w:hAnsi="仿宋" w:eastAsia="仿宋" w:cs="宋体"/>
          <w:b/>
          <w:color w:val="auto"/>
          <w:kern w:val="0"/>
          <w:sz w:val="32"/>
          <w:szCs w:val="32"/>
          <w:lang w:val="en-US" w:eastAsia="zh-CN"/>
        </w:rPr>
      </w:pPr>
      <w:r>
        <w:rPr>
          <w:rFonts w:hint="eastAsia" w:ascii="仿宋" w:hAnsi="仿宋" w:eastAsia="仿宋" w:cs="宋体"/>
          <w:b/>
          <w:color w:val="auto"/>
          <w:kern w:val="0"/>
          <w:sz w:val="32"/>
          <w:szCs w:val="32"/>
          <w:lang w:val="en-US" w:eastAsia="zh-CN"/>
        </w:rPr>
        <w:t>一、收支预算情况说明</w:t>
      </w:r>
    </w:p>
    <w:p w14:paraId="54E37B2A">
      <w:pPr>
        <w:bidi w:val="0"/>
        <w:spacing w:line="360" w:lineRule="auto"/>
        <w:ind w:firstLine="640" w:firstLineChars="200"/>
        <w:jc w:val="left"/>
        <w:rPr>
          <w:rFonts w:hint="default" w:ascii="Times New Roman" w:hAnsi="Times New Roman" w:eastAsia="仿宋_GB2312" w:cs="仿宋_GB2312"/>
          <w:color w:val="000000"/>
          <w:sz w:val="32"/>
          <w:szCs w:val="32"/>
          <w:shd w:val="clear" w:color="auto" w:fill="FFFFFF"/>
          <w:lang w:val="en-US" w:eastAsia="zh-CN"/>
        </w:rPr>
      </w:pPr>
      <w:r>
        <w:rPr>
          <w:rFonts w:hint="default" w:ascii="Times New Roman" w:hAnsi="Times New Roman" w:eastAsia="仿宋_GB2312" w:cs="仿宋_GB2312"/>
          <w:color w:val="000000"/>
          <w:sz w:val="32"/>
          <w:szCs w:val="32"/>
          <w:shd w:val="clear" w:color="auto" w:fill="FFFFFF"/>
          <w:lang w:val="en-US" w:eastAsia="zh-CN"/>
        </w:rPr>
        <w:t>按照综合预算的原则，</w:t>
      </w:r>
      <w:r>
        <w:rPr>
          <w:rFonts w:hint="eastAsia" w:ascii="Times New Roman" w:hAnsi="Times New Roman" w:eastAsia="仿宋_GB2312" w:cs="仿宋_GB2312"/>
          <w:color w:val="000000"/>
          <w:sz w:val="32"/>
          <w:szCs w:val="32"/>
          <w:shd w:val="clear" w:color="auto" w:fill="FFFFFF"/>
          <w:lang w:val="en-US" w:eastAsia="zh-CN"/>
        </w:rPr>
        <w:t>统计局</w:t>
      </w:r>
      <w:r>
        <w:rPr>
          <w:rFonts w:hint="default" w:ascii="Times New Roman" w:hAnsi="Times New Roman" w:eastAsia="仿宋_GB2312" w:cs="仿宋_GB2312"/>
          <w:color w:val="000000"/>
          <w:sz w:val="32"/>
          <w:szCs w:val="32"/>
          <w:shd w:val="clear" w:color="auto" w:fill="FFFFFF"/>
          <w:lang w:val="en-US" w:eastAsia="zh-CN"/>
        </w:rPr>
        <w:t>所有收入和支出均纳入部门预算管理。收入包括：一般公共预算拨款收入；支出包括：一般公共服务支出、社会保障和就业支出、卫生健康支出、住房保障支出。</w:t>
      </w:r>
    </w:p>
    <w:p w14:paraId="7BF7DAFC">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lang w:eastAsia="zh-CN"/>
        </w:rPr>
        <w:t>统计局</w:t>
      </w:r>
      <w:r>
        <w:rPr>
          <w:rFonts w:hint="eastAsia" w:ascii="Times New Roman" w:hAnsi="Times New Roman" w:eastAsia="仿宋_GB2312" w:cs="仿宋_GB2312"/>
          <w:color w:val="000000"/>
          <w:sz w:val="32"/>
          <w:szCs w:val="32"/>
          <w:shd w:val="clear" w:color="auto" w:fill="FFFFFF"/>
        </w:rPr>
        <w:t>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年收支总预算</w:t>
      </w:r>
      <w:r>
        <w:rPr>
          <w:rFonts w:hint="eastAsia" w:ascii="Times New Roman" w:hAnsi="Times New Roman" w:eastAsia="仿宋_GB2312" w:cs="仿宋_GB2312"/>
          <w:color w:val="000000"/>
          <w:sz w:val="32"/>
          <w:szCs w:val="32"/>
          <w:shd w:val="clear" w:color="auto" w:fill="FFFFFF"/>
          <w:lang w:val="en-US" w:eastAsia="zh-CN"/>
        </w:rPr>
        <w:t>479.82</w:t>
      </w:r>
      <w:r>
        <w:rPr>
          <w:rFonts w:hint="eastAsia" w:ascii="Times New Roman" w:hAnsi="Times New Roman" w:eastAsia="仿宋_GB2312" w:cs="仿宋_GB2312"/>
          <w:color w:val="000000"/>
          <w:sz w:val="32"/>
          <w:szCs w:val="32"/>
          <w:shd w:val="clear" w:color="auto" w:fill="FFFFFF"/>
        </w:rPr>
        <w:t>万元，比202</w:t>
      </w:r>
      <w:r>
        <w:rPr>
          <w:rFonts w:hint="eastAsia" w:ascii="Times New Roman" w:hAnsi="Times New Roman" w:eastAsia="仿宋_GB2312" w:cs="仿宋_GB2312"/>
          <w:color w:val="000000"/>
          <w:sz w:val="32"/>
          <w:szCs w:val="32"/>
          <w:shd w:val="clear" w:color="auto" w:fill="FFFFFF"/>
          <w:lang w:val="en-US" w:eastAsia="zh-CN"/>
        </w:rPr>
        <w:t>4</w:t>
      </w:r>
      <w:r>
        <w:rPr>
          <w:rFonts w:hint="eastAsia" w:ascii="Times New Roman" w:hAnsi="Times New Roman" w:eastAsia="仿宋_GB2312" w:cs="仿宋_GB2312"/>
          <w:color w:val="000000"/>
          <w:sz w:val="32"/>
          <w:szCs w:val="32"/>
          <w:shd w:val="clear" w:color="auto" w:fill="FFFFFF"/>
        </w:rPr>
        <w:t>年收支预算总数</w:t>
      </w:r>
      <w:r>
        <w:rPr>
          <w:rFonts w:hint="eastAsia" w:ascii="Times New Roman" w:hAnsi="Times New Roman" w:eastAsia="仿宋_GB2312" w:cs="仿宋_GB2312"/>
          <w:color w:val="000000"/>
          <w:sz w:val="32"/>
          <w:szCs w:val="32"/>
          <w:shd w:val="clear" w:color="auto" w:fill="FFFFFF"/>
          <w:lang w:eastAsia="zh-CN"/>
        </w:rPr>
        <w:t>增加</w:t>
      </w:r>
      <w:r>
        <w:rPr>
          <w:rFonts w:hint="eastAsia" w:ascii="Times New Roman" w:hAnsi="Times New Roman" w:eastAsia="仿宋_GB2312" w:cs="仿宋_GB2312"/>
          <w:color w:val="000000"/>
          <w:sz w:val="32"/>
          <w:szCs w:val="32"/>
          <w:shd w:val="clear" w:color="auto" w:fill="FFFFFF"/>
          <w:lang w:val="en-US" w:eastAsia="zh-CN"/>
        </w:rPr>
        <w:t>40.65</w:t>
      </w:r>
      <w:r>
        <w:rPr>
          <w:rFonts w:hint="eastAsia" w:ascii="Times New Roman" w:hAnsi="Times New Roman" w:eastAsia="仿宋_GB2312" w:cs="仿宋_GB2312"/>
          <w:color w:val="000000"/>
          <w:sz w:val="32"/>
          <w:szCs w:val="32"/>
          <w:shd w:val="clear" w:color="auto" w:fill="FFFFFF"/>
        </w:rPr>
        <w:t>万元，主要是由于</w:t>
      </w:r>
      <w:r>
        <w:rPr>
          <w:rFonts w:hint="eastAsia" w:ascii="Times New Roman" w:hAnsi="Times New Roman" w:eastAsia="仿宋_GB2312" w:cs="仿宋_GB2312"/>
          <w:color w:val="000000"/>
          <w:sz w:val="32"/>
          <w:szCs w:val="32"/>
          <w:shd w:val="clear" w:color="auto" w:fill="FFFFFF"/>
          <w:lang w:eastAsia="zh-CN"/>
        </w:rPr>
        <w:t>人员增加</w:t>
      </w:r>
      <w:r>
        <w:rPr>
          <w:rFonts w:hint="eastAsia" w:ascii="Times New Roman" w:hAnsi="Times New Roman" w:eastAsia="仿宋_GB2312" w:cs="仿宋_GB2312"/>
          <w:color w:val="000000"/>
          <w:sz w:val="32"/>
          <w:szCs w:val="32"/>
          <w:shd w:val="clear" w:color="auto" w:fill="FFFFFF"/>
        </w:rPr>
        <w:t>。</w:t>
      </w:r>
    </w:p>
    <w:p w14:paraId="11D67D06">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rPr>
        <w:t>（一）收入预算情况</w:t>
      </w:r>
    </w:p>
    <w:p w14:paraId="5146552B">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lang w:eastAsia="zh-CN"/>
        </w:rPr>
        <w:t>统计局</w:t>
      </w:r>
      <w:r>
        <w:rPr>
          <w:rFonts w:hint="eastAsia" w:ascii="Times New Roman" w:hAnsi="Times New Roman" w:eastAsia="仿宋_GB2312" w:cs="仿宋_GB2312"/>
          <w:color w:val="000000"/>
          <w:sz w:val="32"/>
          <w:szCs w:val="32"/>
          <w:shd w:val="clear" w:color="auto" w:fill="FFFFFF"/>
        </w:rPr>
        <w:t xml:space="preserve"> 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年收入预算</w:t>
      </w:r>
      <w:r>
        <w:rPr>
          <w:rFonts w:hint="eastAsia" w:ascii="Times New Roman" w:hAnsi="Times New Roman" w:eastAsia="仿宋_GB2312" w:cs="仿宋_GB2312"/>
          <w:color w:val="000000"/>
          <w:sz w:val="32"/>
          <w:szCs w:val="32"/>
          <w:shd w:val="clear" w:color="auto" w:fill="FFFFFF"/>
          <w:lang w:val="en-US" w:eastAsia="zh-CN"/>
        </w:rPr>
        <w:t>479.82</w:t>
      </w:r>
      <w:r>
        <w:rPr>
          <w:rFonts w:hint="eastAsia" w:ascii="Times New Roman" w:hAnsi="Times New Roman" w:eastAsia="仿宋_GB2312" w:cs="仿宋_GB2312"/>
          <w:color w:val="000000"/>
          <w:sz w:val="32"/>
          <w:szCs w:val="32"/>
          <w:shd w:val="clear" w:color="auto" w:fill="FFFFFF"/>
        </w:rPr>
        <w:t xml:space="preserve">万元，其中：上年结转 </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rPr>
        <w:t xml:space="preserve">万元，占 </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rPr>
        <w:t>%；一般公共预算拨款收入</w:t>
      </w:r>
      <w:r>
        <w:rPr>
          <w:rFonts w:hint="eastAsia" w:ascii="Times New Roman" w:hAnsi="Times New Roman" w:eastAsia="仿宋_GB2312" w:cs="仿宋_GB2312"/>
          <w:color w:val="000000"/>
          <w:sz w:val="32"/>
          <w:szCs w:val="32"/>
          <w:shd w:val="clear" w:color="auto" w:fill="FFFFFF"/>
          <w:lang w:val="en-US" w:eastAsia="zh-CN"/>
        </w:rPr>
        <w:t>479.82</w:t>
      </w:r>
      <w:r>
        <w:rPr>
          <w:rFonts w:hint="eastAsia" w:ascii="Times New Roman" w:hAnsi="Times New Roman" w:eastAsia="仿宋_GB2312" w:cs="仿宋_GB2312"/>
          <w:color w:val="000000"/>
          <w:sz w:val="32"/>
          <w:szCs w:val="32"/>
          <w:shd w:val="clear" w:color="auto" w:fill="FFFFFF"/>
        </w:rPr>
        <w:t>万元，占</w:t>
      </w:r>
      <w:r>
        <w:rPr>
          <w:rFonts w:hint="eastAsia" w:ascii="Times New Roman" w:hAnsi="Times New Roman" w:eastAsia="仿宋_GB2312" w:cs="仿宋_GB2312"/>
          <w:color w:val="000000"/>
          <w:sz w:val="32"/>
          <w:szCs w:val="32"/>
          <w:shd w:val="clear" w:color="auto" w:fill="FFFFFF"/>
          <w:lang w:val="en-US" w:eastAsia="zh-CN"/>
        </w:rPr>
        <w:t>100</w:t>
      </w:r>
      <w:r>
        <w:rPr>
          <w:rFonts w:hint="eastAsia" w:ascii="Times New Roman" w:hAnsi="Times New Roman" w:eastAsia="仿宋_GB2312" w:cs="仿宋_GB2312"/>
          <w:color w:val="000000"/>
          <w:sz w:val="32"/>
          <w:szCs w:val="32"/>
          <w:shd w:val="clear" w:color="auto" w:fill="FFFFFF"/>
        </w:rPr>
        <w:t xml:space="preserve">%；政府性基金预算拨款收入 </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rPr>
        <w:t>万元，占</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rPr>
        <w:t>%；事业收入</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rPr>
        <w:t xml:space="preserve">万元，占 </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rPr>
        <w:t>%。</w:t>
      </w:r>
    </w:p>
    <w:p w14:paraId="4D879793">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rPr>
        <w:t>（二）支出预算情况</w:t>
      </w:r>
    </w:p>
    <w:p w14:paraId="725D6E0F">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lang w:eastAsia="zh-CN"/>
        </w:rPr>
        <w:t>统计局</w:t>
      </w:r>
      <w:r>
        <w:rPr>
          <w:rFonts w:hint="eastAsia" w:ascii="Times New Roman" w:hAnsi="Times New Roman" w:eastAsia="仿宋_GB2312" w:cs="仿宋_GB2312"/>
          <w:color w:val="000000"/>
          <w:sz w:val="32"/>
          <w:szCs w:val="32"/>
          <w:shd w:val="clear" w:color="auto" w:fill="FFFFFF"/>
        </w:rPr>
        <w:t xml:space="preserve"> </w:t>
      </w:r>
      <w:bookmarkStart w:id="1" w:name="_GoBack"/>
      <w:bookmarkEnd w:id="1"/>
      <w:r>
        <w:rPr>
          <w:rFonts w:hint="eastAsia" w:ascii="Times New Roman" w:hAnsi="Times New Roman" w:eastAsia="仿宋_GB2312" w:cs="仿宋_GB2312"/>
          <w:color w:val="000000"/>
          <w:sz w:val="32"/>
          <w:szCs w:val="32"/>
          <w:shd w:val="clear" w:color="auto" w:fill="FFFFFF"/>
        </w:rPr>
        <w:t>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年支出预算</w:t>
      </w:r>
      <w:r>
        <w:rPr>
          <w:rFonts w:hint="eastAsia" w:ascii="Times New Roman" w:hAnsi="Times New Roman" w:eastAsia="仿宋_GB2312" w:cs="仿宋_GB2312"/>
          <w:color w:val="000000"/>
          <w:sz w:val="32"/>
          <w:szCs w:val="32"/>
          <w:shd w:val="clear" w:color="auto" w:fill="FFFFFF"/>
          <w:lang w:val="en-US" w:eastAsia="zh-CN"/>
        </w:rPr>
        <w:t>479.82</w:t>
      </w:r>
      <w:r>
        <w:rPr>
          <w:rFonts w:hint="eastAsia" w:ascii="Times New Roman" w:hAnsi="Times New Roman" w:eastAsia="仿宋_GB2312" w:cs="仿宋_GB2312"/>
          <w:color w:val="000000"/>
          <w:sz w:val="32"/>
          <w:szCs w:val="32"/>
          <w:shd w:val="clear" w:color="auto" w:fill="FFFFFF"/>
        </w:rPr>
        <w:t>万元，其中：基本支出</w:t>
      </w:r>
      <w:r>
        <w:rPr>
          <w:rFonts w:hint="eastAsia" w:ascii="Times New Roman" w:hAnsi="Times New Roman" w:eastAsia="仿宋_GB2312" w:cs="仿宋_GB2312"/>
          <w:color w:val="000000"/>
          <w:sz w:val="32"/>
          <w:szCs w:val="32"/>
          <w:shd w:val="clear" w:color="auto" w:fill="FFFFFF"/>
          <w:lang w:val="en-US" w:eastAsia="zh-CN"/>
        </w:rPr>
        <w:t>319.82万元</w:t>
      </w:r>
      <w:r>
        <w:rPr>
          <w:rFonts w:hint="eastAsia" w:ascii="Times New Roman" w:hAnsi="Times New Roman" w:eastAsia="仿宋_GB2312" w:cs="仿宋_GB2312"/>
          <w:color w:val="000000"/>
          <w:sz w:val="32"/>
          <w:szCs w:val="32"/>
          <w:shd w:val="clear" w:color="auto" w:fill="FFFFFF"/>
        </w:rPr>
        <w:t xml:space="preserve">，占 </w:t>
      </w:r>
      <w:r>
        <w:rPr>
          <w:rFonts w:hint="eastAsia" w:ascii="Times New Roman" w:hAnsi="Times New Roman" w:eastAsia="仿宋_GB2312" w:cs="仿宋_GB2312"/>
          <w:color w:val="000000"/>
          <w:sz w:val="32"/>
          <w:szCs w:val="32"/>
          <w:shd w:val="clear" w:color="auto" w:fill="FFFFFF"/>
          <w:lang w:val="en-US" w:eastAsia="zh-CN"/>
        </w:rPr>
        <w:t>66.65</w:t>
      </w:r>
      <w:r>
        <w:rPr>
          <w:rFonts w:hint="eastAsia" w:ascii="Times New Roman" w:hAnsi="Times New Roman" w:eastAsia="仿宋_GB2312" w:cs="仿宋_GB2312"/>
          <w:color w:val="000000"/>
          <w:sz w:val="32"/>
          <w:szCs w:val="32"/>
          <w:shd w:val="clear" w:color="auto" w:fill="FFFFFF"/>
        </w:rPr>
        <w:t>%；项目支出</w:t>
      </w:r>
      <w:r>
        <w:rPr>
          <w:rFonts w:hint="eastAsia" w:ascii="Times New Roman" w:hAnsi="Times New Roman" w:eastAsia="仿宋_GB2312" w:cs="仿宋_GB2312"/>
          <w:color w:val="000000"/>
          <w:sz w:val="32"/>
          <w:szCs w:val="32"/>
          <w:shd w:val="clear" w:color="auto" w:fill="FFFFFF"/>
          <w:lang w:val="en-US" w:eastAsia="zh-CN"/>
        </w:rPr>
        <w:t>160</w:t>
      </w:r>
      <w:r>
        <w:rPr>
          <w:rFonts w:hint="eastAsia" w:ascii="Times New Roman" w:hAnsi="Times New Roman" w:eastAsia="仿宋_GB2312" w:cs="仿宋_GB2312"/>
          <w:color w:val="000000"/>
          <w:sz w:val="32"/>
          <w:szCs w:val="32"/>
          <w:shd w:val="clear" w:color="auto" w:fill="FFFFFF"/>
        </w:rPr>
        <w:t>万元，占</w:t>
      </w:r>
      <w:r>
        <w:rPr>
          <w:rFonts w:hint="eastAsia" w:ascii="Times New Roman" w:hAnsi="Times New Roman" w:eastAsia="仿宋_GB2312" w:cs="仿宋_GB2312"/>
          <w:color w:val="000000"/>
          <w:sz w:val="32"/>
          <w:szCs w:val="32"/>
          <w:shd w:val="clear" w:color="auto" w:fill="FFFFFF"/>
          <w:lang w:val="en-US" w:eastAsia="zh-CN"/>
        </w:rPr>
        <w:t>33.35</w:t>
      </w:r>
      <w:r>
        <w:rPr>
          <w:rFonts w:hint="eastAsia" w:ascii="Times New Roman" w:hAnsi="Times New Roman" w:eastAsia="仿宋_GB2312" w:cs="仿宋_GB2312"/>
          <w:color w:val="000000"/>
          <w:sz w:val="32"/>
          <w:szCs w:val="32"/>
          <w:shd w:val="clear" w:color="auto" w:fill="FFFFFF"/>
        </w:rPr>
        <w:t>%。</w:t>
      </w:r>
    </w:p>
    <w:p w14:paraId="44E21457">
      <w:pPr>
        <w:widowControl/>
        <w:shd w:val="clear" w:color="auto" w:fill="FFFFFF"/>
        <w:spacing w:line="440" w:lineRule="atLeast"/>
        <w:ind w:firstLine="643" w:firstLineChars="200"/>
        <w:jc w:val="left"/>
        <w:rPr>
          <w:rFonts w:hint="eastAsia" w:ascii="仿宋" w:hAnsi="仿宋" w:eastAsia="仿宋" w:cs="宋体"/>
          <w:b/>
          <w:color w:val="auto"/>
          <w:kern w:val="0"/>
          <w:sz w:val="32"/>
          <w:szCs w:val="32"/>
          <w:lang w:val="en-US" w:eastAsia="zh-CN"/>
        </w:rPr>
      </w:pPr>
      <w:r>
        <w:rPr>
          <w:rFonts w:hint="eastAsia" w:ascii="仿宋" w:hAnsi="仿宋" w:eastAsia="仿宋" w:cs="宋体"/>
          <w:b/>
          <w:color w:val="auto"/>
          <w:kern w:val="0"/>
          <w:sz w:val="32"/>
          <w:szCs w:val="32"/>
          <w:lang w:val="en-US" w:eastAsia="zh-CN"/>
        </w:rPr>
        <w:t>二、财政拨款收支预算情况说明</w:t>
      </w:r>
    </w:p>
    <w:p w14:paraId="3FD29045">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eastAsia="zh-CN"/>
        </w:rPr>
        <w:t>统计局</w:t>
      </w:r>
      <w:r>
        <w:rPr>
          <w:rFonts w:hint="eastAsia" w:ascii="Times New Roman" w:hAnsi="Times New Roman" w:eastAsia="仿宋_GB2312" w:cs="仿宋_GB2312"/>
          <w:color w:val="000000"/>
          <w:sz w:val="32"/>
          <w:szCs w:val="32"/>
          <w:shd w:val="clear" w:color="auto" w:fill="FFFFFF"/>
        </w:rPr>
        <w:t xml:space="preserve"> 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年财政拨款收支预算总数</w:t>
      </w:r>
      <w:r>
        <w:rPr>
          <w:rFonts w:hint="eastAsia" w:ascii="Times New Roman" w:hAnsi="Times New Roman" w:eastAsia="仿宋_GB2312" w:cs="仿宋_GB2312"/>
          <w:color w:val="000000"/>
          <w:sz w:val="32"/>
          <w:szCs w:val="32"/>
          <w:shd w:val="clear" w:color="auto" w:fill="FFFFFF"/>
          <w:lang w:val="en-US" w:eastAsia="zh-CN"/>
        </w:rPr>
        <w:t>479.82</w:t>
      </w:r>
      <w:r>
        <w:rPr>
          <w:rFonts w:hint="eastAsia" w:ascii="Times New Roman" w:hAnsi="Times New Roman" w:eastAsia="仿宋_GB2312" w:cs="仿宋_GB2312"/>
          <w:color w:val="000000"/>
          <w:sz w:val="32"/>
          <w:szCs w:val="32"/>
          <w:shd w:val="clear" w:color="auto" w:fill="FFFFFF"/>
        </w:rPr>
        <w:t>万元,比 202</w:t>
      </w:r>
      <w:r>
        <w:rPr>
          <w:rFonts w:hint="eastAsia" w:ascii="Times New Roman" w:hAnsi="Times New Roman" w:eastAsia="仿宋_GB2312" w:cs="仿宋_GB2312"/>
          <w:color w:val="000000"/>
          <w:sz w:val="32"/>
          <w:szCs w:val="32"/>
          <w:shd w:val="clear" w:color="auto" w:fill="FFFFFF"/>
          <w:lang w:val="en-US" w:eastAsia="zh-CN"/>
        </w:rPr>
        <w:t>4</w:t>
      </w:r>
      <w:r>
        <w:rPr>
          <w:rFonts w:hint="eastAsia" w:ascii="Times New Roman" w:hAnsi="Times New Roman" w:eastAsia="仿宋_GB2312" w:cs="仿宋_GB2312"/>
          <w:color w:val="000000"/>
          <w:sz w:val="32"/>
          <w:szCs w:val="32"/>
          <w:shd w:val="clear" w:color="auto" w:fill="FFFFFF"/>
        </w:rPr>
        <w:t xml:space="preserve"> 年财政拨款收支预算总数 </w:t>
      </w:r>
      <w:r>
        <w:rPr>
          <w:rFonts w:hint="eastAsia" w:ascii="Times New Roman" w:hAnsi="Times New Roman" w:eastAsia="仿宋_GB2312" w:cs="仿宋_GB2312"/>
          <w:color w:val="000000"/>
          <w:sz w:val="32"/>
          <w:szCs w:val="32"/>
          <w:shd w:val="clear" w:color="auto" w:fill="FFFFFF"/>
          <w:lang w:val="en-US" w:eastAsia="zh-CN"/>
        </w:rPr>
        <w:t>439.17</w:t>
      </w:r>
      <w:r>
        <w:rPr>
          <w:rFonts w:hint="eastAsia" w:ascii="Times New Roman" w:hAnsi="Times New Roman" w:eastAsia="仿宋_GB2312" w:cs="仿宋_GB2312"/>
          <w:color w:val="000000"/>
          <w:sz w:val="32"/>
          <w:szCs w:val="32"/>
          <w:shd w:val="clear" w:color="auto" w:fill="FFFFFF"/>
        </w:rPr>
        <w:t>万元</w:t>
      </w:r>
      <w:r>
        <w:rPr>
          <w:rFonts w:hint="eastAsia" w:ascii="Times New Roman" w:hAnsi="Times New Roman" w:eastAsia="仿宋_GB2312" w:cs="仿宋_GB2312"/>
          <w:color w:val="000000"/>
          <w:sz w:val="32"/>
          <w:szCs w:val="32"/>
          <w:shd w:val="clear" w:color="auto" w:fill="FFFFFF"/>
          <w:lang w:eastAsia="zh-CN"/>
        </w:rPr>
        <w:t>增加</w:t>
      </w:r>
      <w:r>
        <w:rPr>
          <w:rFonts w:hint="eastAsia" w:ascii="Times New Roman" w:hAnsi="Times New Roman" w:eastAsia="仿宋_GB2312" w:cs="仿宋_GB2312"/>
          <w:color w:val="000000"/>
          <w:sz w:val="32"/>
          <w:szCs w:val="32"/>
          <w:shd w:val="clear" w:color="auto" w:fill="FFFFFF"/>
          <w:lang w:val="en-US" w:eastAsia="zh-CN"/>
        </w:rPr>
        <w:t>40.65</w:t>
      </w:r>
      <w:r>
        <w:rPr>
          <w:rFonts w:hint="eastAsia" w:ascii="Times New Roman" w:hAnsi="Times New Roman" w:eastAsia="仿宋_GB2312" w:cs="仿宋_GB2312"/>
          <w:color w:val="000000"/>
          <w:sz w:val="32"/>
          <w:szCs w:val="32"/>
          <w:shd w:val="clear" w:color="auto" w:fill="FFFFFF"/>
        </w:rPr>
        <w:t>万元，主要原因是</w:t>
      </w:r>
      <w:r>
        <w:rPr>
          <w:rFonts w:hint="eastAsia" w:ascii="Times New Roman" w:hAnsi="Times New Roman" w:eastAsia="仿宋_GB2312" w:cs="仿宋_GB2312"/>
          <w:color w:val="000000"/>
          <w:sz w:val="32"/>
          <w:szCs w:val="32"/>
          <w:shd w:val="clear" w:color="auto" w:fill="FFFFFF"/>
          <w:lang w:eastAsia="zh-CN"/>
        </w:rPr>
        <w:t>人员增加</w:t>
      </w:r>
      <w:r>
        <w:rPr>
          <w:rFonts w:hint="eastAsia" w:ascii="Times New Roman" w:hAnsi="Times New Roman" w:eastAsia="仿宋_GB2312" w:cs="仿宋_GB2312"/>
          <w:color w:val="000000"/>
          <w:sz w:val="32"/>
          <w:szCs w:val="32"/>
          <w:shd w:val="clear" w:color="auto" w:fill="FFFFFF"/>
          <w:lang w:val="en-US" w:eastAsia="zh-CN"/>
        </w:rPr>
        <w:t>。</w:t>
      </w:r>
    </w:p>
    <w:p w14:paraId="003D4245">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rPr>
        <w:t xml:space="preserve">收入包括：本年一般公共预算拨款收入 </w:t>
      </w:r>
      <w:r>
        <w:rPr>
          <w:rFonts w:hint="eastAsia" w:ascii="Times New Roman" w:hAnsi="Times New Roman" w:eastAsia="仿宋_GB2312" w:cs="仿宋_GB2312"/>
          <w:color w:val="000000"/>
          <w:sz w:val="32"/>
          <w:szCs w:val="32"/>
          <w:shd w:val="clear" w:color="auto" w:fill="FFFFFF"/>
          <w:lang w:val="en-US" w:eastAsia="zh-CN"/>
        </w:rPr>
        <w:t>479.82</w:t>
      </w:r>
      <w:r>
        <w:rPr>
          <w:rFonts w:hint="eastAsia" w:ascii="Times New Roman" w:hAnsi="Times New Roman" w:eastAsia="仿宋_GB2312" w:cs="仿宋_GB2312"/>
          <w:color w:val="000000"/>
          <w:sz w:val="32"/>
          <w:szCs w:val="32"/>
          <w:shd w:val="clear" w:color="auto" w:fill="FFFFFF"/>
        </w:rPr>
        <w:t xml:space="preserve">万元、本年政府性基金预算拨款收入 </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rPr>
        <w:t xml:space="preserve"> 万元；支出包括：一般公共服务支出 </w:t>
      </w:r>
      <w:r>
        <w:rPr>
          <w:rFonts w:hint="eastAsia" w:ascii="Times New Roman" w:hAnsi="Times New Roman" w:eastAsia="仿宋_GB2312" w:cs="仿宋_GB2312"/>
          <w:color w:val="000000"/>
          <w:sz w:val="32"/>
          <w:szCs w:val="32"/>
          <w:shd w:val="clear" w:color="auto" w:fill="FFFFFF"/>
          <w:lang w:val="en-US" w:eastAsia="zh-CN"/>
        </w:rPr>
        <w:t>401.45</w:t>
      </w:r>
      <w:r>
        <w:rPr>
          <w:rFonts w:hint="eastAsia" w:ascii="Times New Roman" w:hAnsi="Times New Roman" w:eastAsia="仿宋_GB2312" w:cs="仿宋_GB2312"/>
          <w:color w:val="000000"/>
          <w:sz w:val="32"/>
          <w:szCs w:val="32"/>
          <w:shd w:val="clear" w:color="auto" w:fill="FFFFFF"/>
        </w:rPr>
        <w:t>万元、社会保障和就业支出</w:t>
      </w:r>
      <w:r>
        <w:rPr>
          <w:rFonts w:hint="eastAsia" w:ascii="Times New Roman" w:hAnsi="Times New Roman" w:eastAsia="仿宋_GB2312" w:cs="仿宋_GB2312"/>
          <w:color w:val="000000"/>
          <w:sz w:val="32"/>
          <w:szCs w:val="32"/>
          <w:shd w:val="clear" w:color="auto" w:fill="FFFFFF"/>
          <w:lang w:val="en-US" w:eastAsia="zh-CN"/>
        </w:rPr>
        <w:t>45.62</w:t>
      </w:r>
      <w:r>
        <w:rPr>
          <w:rFonts w:hint="eastAsia" w:ascii="Times New Roman" w:hAnsi="Times New Roman" w:eastAsia="仿宋_GB2312" w:cs="仿宋_GB2312"/>
          <w:color w:val="000000"/>
          <w:sz w:val="32"/>
          <w:szCs w:val="32"/>
          <w:shd w:val="clear" w:color="auto" w:fill="FFFFFF"/>
        </w:rPr>
        <w:t xml:space="preserve">万元、卫生健康支出 </w:t>
      </w:r>
      <w:r>
        <w:rPr>
          <w:rFonts w:hint="eastAsia" w:ascii="Times New Roman" w:hAnsi="Times New Roman" w:eastAsia="仿宋_GB2312" w:cs="仿宋_GB2312"/>
          <w:color w:val="000000"/>
          <w:sz w:val="32"/>
          <w:szCs w:val="32"/>
          <w:shd w:val="clear" w:color="auto" w:fill="FFFFFF"/>
          <w:lang w:val="en-US" w:eastAsia="zh-CN"/>
        </w:rPr>
        <w:t>8.61</w:t>
      </w:r>
      <w:r>
        <w:rPr>
          <w:rFonts w:hint="eastAsia" w:ascii="Times New Roman" w:hAnsi="Times New Roman" w:eastAsia="仿宋_GB2312" w:cs="仿宋_GB2312"/>
          <w:color w:val="000000"/>
          <w:sz w:val="32"/>
          <w:szCs w:val="32"/>
          <w:shd w:val="clear" w:color="auto" w:fill="FFFFFF"/>
        </w:rPr>
        <w:t>万元，</w:t>
      </w:r>
      <w:r>
        <w:rPr>
          <w:rFonts w:hint="eastAsia" w:ascii="Times New Roman" w:hAnsi="Times New Roman" w:eastAsia="仿宋_GB2312" w:cs="仿宋_GB2312"/>
          <w:color w:val="000000"/>
          <w:sz w:val="32"/>
          <w:szCs w:val="32"/>
          <w:shd w:val="clear" w:color="auto" w:fill="FFFFFF"/>
          <w:lang w:eastAsia="zh-CN"/>
        </w:rPr>
        <w:t>住房</w:t>
      </w:r>
      <w:r>
        <w:rPr>
          <w:rFonts w:hint="eastAsia" w:ascii="Times New Roman" w:hAnsi="Times New Roman" w:eastAsia="仿宋_GB2312" w:cs="仿宋_GB2312"/>
          <w:color w:val="000000"/>
          <w:sz w:val="32"/>
          <w:szCs w:val="32"/>
          <w:shd w:val="clear" w:color="auto" w:fill="FFFFFF"/>
        </w:rPr>
        <w:t xml:space="preserve">保障支出 </w:t>
      </w:r>
      <w:r>
        <w:rPr>
          <w:rFonts w:hint="eastAsia" w:ascii="Times New Roman" w:hAnsi="Times New Roman" w:eastAsia="仿宋_GB2312" w:cs="仿宋_GB2312"/>
          <w:color w:val="000000"/>
          <w:sz w:val="32"/>
          <w:szCs w:val="32"/>
          <w:shd w:val="clear" w:color="auto" w:fill="FFFFFF"/>
          <w:lang w:val="en-US" w:eastAsia="zh-CN"/>
        </w:rPr>
        <w:t>24.13</w:t>
      </w:r>
      <w:r>
        <w:rPr>
          <w:rFonts w:hint="eastAsia" w:ascii="Times New Roman" w:hAnsi="Times New Roman" w:eastAsia="仿宋_GB2312" w:cs="仿宋_GB2312"/>
          <w:color w:val="000000"/>
          <w:sz w:val="32"/>
          <w:szCs w:val="32"/>
          <w:shd w:val="clear" w:color="auto" w:fill="FFFFFF"/>
        </w:rPr>
        <w:t>万元。</w:t>
      </w:r>
    </w:p>
    <w:p w14:paraId="40D286B3">
      <w:pPr>
        <w:numPr>
          <w:ilvl w:val="0"/>
          <w:numId w:val="0"/>
        </w:numPr>
        <w:spacing w:line="600" w:lineRule="exact"/>
        <w:ind w:firstLine="643" w:firstLineChars="200"/>
        <w:rPr>
          <w:rFonts w:hint="eastAsia" w:ascii="仿宋" w:hAnsi="仿宋" w:eastAsia="仿宋" w:cs="宋体"/>
          <w:b/>
          <w:color w:val="auto"/>
          <w:kern w:val="0"/>
          <w:sz w:val="32"/>
          <w:szCs w:val="32"/>
          <w:lang w:eastAsia="zh-CN"/>
        </w:rPr>
      </w:pPr>
      <w:r>
        <w:rPr>
          <w:rFonts w:hint="eastAsia" w:ascii="仿宋" w:hAnsi="仿宋" w:eastAsia="仿宋" w:cs="宋体"/>
          <w:b/>
          <w:color w:val="auto"/>
          <w:kern w:val="0"/>
          <w:sz w:val="32"/>
          <w:szCs w:val="32"/>
        </w:rPr>
        <w:t>三、一般公共预算当年拨款情况说明</w:t>
      </w:r>
    </w:p>
    <w:p w14:paraId="7898FE31">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eastAsia="zh-CN"/>
        </w:rPr>
      </w:pPr>
      <w:r>
        <w:rPr>
          <w:rFonts w:hint="eastAsia" w:ascii="Times New Roman" w:hAnsi="Times New Roman" w:eastAsia="仿宋_GB2312" w:cs="仿宋_GB2312"/>
          <w:color w:val="000000"/>
          <w:sz w:val="32"/>
          <w:szCs w:val="32"/>
          <w:shd w:val="clear" w:color="auto" w:fill="FFFFFF"/>
        </w:rPr>
        <w:t>（一）一般公共预算当年拨款规模及变化情况。 </w:t>
      </w:r>
    </w:p>
    <w:p w14:paraId="0C06F2B1">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eastAsia="zh-CN"/>
        </w:rPr>
      </w:pPr>
      <w:r>
        <w:rPr>
          <w:rFonts w:hint="eastAsia" w:ascii="Times New Roman" w:hAnsi="Times New Roman" w:eastAsia="仿宋_GB2312" w:cs="仿宋_GB2312"/>
          <w:color w:val="000000"/>
          <w:sz w:val="32"/>
          <w:szCs w:val="32"/>
          <w:shd w:val="clear" w:color="auto" w:fill="FFFFFF"/>
          <w:lang w:eastAsia="zh-CN"/>
        </w:rPr>
        <w:t>统计局</w:t>
      </w:r>
      <w:r>
        <w:rPr>
          <w:rFonts w:hint="eastAsia" w:ascii="Times New Roman" w:hAnsi="Times New Roman" w:eastAsia="仿宋_GB2312" w:cs="仿宋_GB2312"/>
          <w:color w:val="000000"/>
          <w:sz w:val="32"/>
          <w:szCs w:val="32"/>
          <w:shd w:val="clear" w:color="auto" w:fill="FFFFFF"/>
        </w:rPr>
        <w:t>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年一般公共预算当年拨款</w:t>
      </w:r>
      <w:r>
        <w:rPr>
          <w:rFonts w:hint="eastAsia" w:ascii="Times New Roman" w:hAnsi="Times New Roman" w:eastAsia="仿宋_GB2312" w:cs="仿宋_GB2312"/>
          <w:color w:val="000000"/>
          <w:sz w:val="32"/>
          <w:szCs w:val="32"/>
          <w:shd w:val="clear" w:color="auto" w:fill="FFFFFF"/>
          <w:lang w:val="en-US" w:eastAsia="zh-CN"/>
        </w:rPr>
        <w:t>479.82</w:t>
      </w:r>
      <w:r>
        <w:rPr>
          <w:rFonts w:hint="eastAsia" w:ascii="Times New Roman" w:hAnsi="Times New Roman" w:eastAsia="仿宋_GB2312" w:cs="仿宋_GB2312"/>
          <w:color w:val="000000"/>
          <w:sz w:val="32"/>
          <w:szCs w:val="32"/>
          <w:shd w:val="clear" w:color="auto" w:fill="FFFFFF"/>
        </w:rPr>
        <w:t>万元，较上年预算数</w:t>
      </w:r>
      <w:r>
        <w:rPr>
          <w:rFonts w:hint="eastAsia" w:ascii="Times New Roman" w:hAnsi="Times New Roman" w:eastAsia="仿宋_GB2312" w:cs="仿宋_GB2312"/>
          <w:color w:val="000000"/>
          <w:sz w:val="32"/>
          <w:szCs w:val="32"/>
          <w:shd w:val="clear" w:color="auto" w:fill="FFFFFF"/>
          <w:lang w:val="en-US" w:eastAsia="zh-CN"/>
        </w:rPr>
        <w:t>增加40.65万</w:t>
      </w:r>
      <w:r>
        <w:rPr>
          <w:rFonts w:hint="eastAsia" w:ascii="Times New Roman" w:hAnsi="Times New Roman" w:eastAsia="仿宋_GB2312" w:cs="仿宋_GB2312"/>
          <w:color w:val="000000"/>
          <w:sz w:val="32"/>
          <w:szCs w:val="32"/>
          <w:shd w:val="clear" w:color="auto" w:fill="FFFFFF"/>
        </w:rPr>
        <w:t>元。主要</w:t>
      </w:r>
      <w:r>
        <w:rPr>
          <w:rFonts w:hint="eastAsia" w:ascii="Times New Roman" w:hAnsi="Times New Roman" w:eastAsia="仿宋_GB2312" w:cs="仿宋_GB2312"/>
          <w:color w:val="000000"/>
          <w:sz w:val="32"/>
          <w:szCs w:val="32"/>
          <w:shd w:val="clear" w:color="auto" w:fill="FFFFFF"/>
          <w:lang w:eastAsia="zh-CN"/>
        </w:rPr>
        <w:t>原因</w:t>
      </w:r>
      <w:r>
        <w:rPr>
          <w:rFonts w:hint="eastAsia" w:ascii="Times New Roman" w:hAnsi="Times New Roman" w:eastAsia="仿宋_GB2312" w:cs="仿宋_GB2312"/>
          <w:color w:val="000000"/>
          <w:sz w:val="32"/>
          <w:szCs w:val="32"/>
          <w:shd w:val="clear" w:color="auto" w:fill="FFFFFF"/>
        </w:rPr>
        <w:t>是</w:t>
      </w:r>
      <w:r>
        <w:rPr>
          <w:rFonts w:hint="eastAsia" w:ascii="Times New Roman" w:hAnsi="Times New Roman" w:eastAsia="仿宋_GB2312" w:cs="仿宋_GB2312"/>
          <w:color w:val="000000"/>
          <w:sz w:val="32"/>
          <w:szCs w:val="32"/>
          <w:shd w:val="clear" w:color="auto" w:fill="FFFFFF"/>
          <w:lang w:eastAsia="zh-CN"/>
        </w:rPr>
        <w:t>人员增加</w:t>
      </w:r>
      <w:r>
        <w:rPr>
          <w:rFonts w:hint="eastAsia" w:ascii="Times New Roman" w:hAnsi="Times New Roman" w:eastAsia="仿宋_GB2312" w:cs="仿宋_GB2312"/>
          <w:color w:val="000000"/>
          <w:sz w:val="32"/>
          <w:szCs w:val="32"/>
          <w:shd w:val="clear" w:color="auto" w:fill="FFFFFF"/>
        </w:rPr>
        <w:t>。 </w:t>
      </w:r>
    </w:p>
    <w:p w14:paraId="682ABE47">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eastAsia="zh-CN"/>
        </w:rPr>
      </w:pPr>
      <w:r>
        <w:rPr>
          <w:rFonts w:hint="eastAsia" w:ascii="Times New Roman" w:hAnsi="Times New Roman" w:eastAsia="仿宋_GB2312" w:cs="仿宋_GB2312"/>
          <w:color w:val="000000"/>
          <w:sz w:val="32"/>
          <w:szCs w:val="32"/>
          <w:shd w:val="clear" w:color="auto" w:fill="FFFFFF"/>
        </w:rPr>
        <w:t>（二）一般公共预算当年拨款结构情况。 </w:t>
      </w:r>
    </w:p>
    <w:p w14:paraId="76102D54">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eastAsia="zh-CN"/>
        </w:rPr>
      </w:pPr>
      <w:r>
        <w:rPr>
          <w:rFonts w:hint="eastAsia" w:ascii="Times New Roman" w:hAnsi="Times New Roman" w:eastAsia="仿宋_GB2312" w:cs="仿宋_GB2312"/>
          <w:color w:val="000000"/>
          <w:sz w:val="32"/>
          <w:szCs w:val="32"/>
          <w:shd w:val="clear" w:color="auto" w:fill="FFFFFF"/>
        </w:rPr>
        <w:t xml:space="preserve"> 一般公共服务支出</w:t>
      </w:r>
      <w:r>
        <w:rPr>
          <w:rFonts w:hint="eastAsia" w:ascii="Times New Roman" w:hAnsi="Times New Roman" w:eastAsia="仿宋_GB2312" w:cs="仿宋_GB2312"/>
          <w:color w:val="000000"/>
          <w:sz w:val="32"/>
          <w:szCs w:val="32"/>
          <w:shd w:val="clear" w:color="auto" w:fill="FFFFFF"/>
          <w:lang w:val="en-US" w:eastAsia="zh-CN"/>
        </w:rPr>
        <w:t>401.45</w:t>
      </w:r>
      <w:r>
        <w:rPr>
          <w:rFonts w:hint="eastAsia" w:ascii="Times New Roman" w:hAnsi="Times New Roman" w:eastAsia="仿宋_GB2312" w:cs="仿宋_GB2312"/>
          <w:color w:val="000000"/>
          <w:sz w:val="32"/>
          <w:szCs w:val="32"/>
          <w:shd w:val="clear" w:color="auto" w:fill="FFFFFF"/>
        </w:rPr>
        <w:t>万元，占</w:t>
      </w:r>
      <w:r>
        <w:rPr>
          <w:rFonts w:hint="eastAsia" w:ascii="Times New Roman" w:hAnsi="Times New Roman" w:eastAsia="仿宋_GB2312" w:cs="仿宋_GB2312"/>
          <w:color w:val="000000"/>
          <w:sz w:val="32"/>
          <w:szCs w:val="32"/>
          <w:shd w:val="clear" w:color="auto" w:fill="FFFFFF"/>
          <w:lang w:val="en-US" w:eastAsia="zh-CN"/>
        </w:rPr>
        <w:t>83.67</w:t>
      </w:r>
      <w:r>
        <w:rPr>
          <w:rFonts w:hint="eastAsia" w:ascii="Times New Roman" w:hAnsi="Times New Roman" w:eastAsia="仿宋_GB2312" w:cs="仿宋_GB2312"/>
          <w:color w:val="000000"/>
          <w:sz w:val="32"/>
          <w:szCs w:val="32"/>
          <w:shd w:val="clear" w:color="auto" w:fill="FFFFFF"/>
        </w:rPr>
        <w:t>%；社会保障和就业支出</w:t>
      </w:r>
      <w:r>
        <w:rPr>
          <w:rFonts w:hint="eastAsia" w:ascii="Times New Roman" w:hAnsi="Times New Roman" w:eastAsia="仿宋_GB2312" w:cs="仿宋_GB2312"/>
          <w:color w:val="000000"/>
          <w:sz w:val="32"/>
          <w:szCs w:val="32"/>
          <w:shd w:val="clear" w:color="auto" w:fill="FFFFFF"/>
          <w:lang w:val="en-US" w:eastAsia="zh-CN"/>
        </w:rPr>
        <w:t>45.63</w:t>
      </w:r>
      <w:r>
        <w:rPr>
          <w:rFonts w:hint="eastAsia" w:ascii="Times New Roman" w:hAnsi="Times New Roman" w:eastAsia="仿宋_GB2312" w:cs="仿宋_GB2312"/>
          <w:color w:val="000000"/>
          <w:sz w:val="32"/>
          <w:szCs w:val="32"/>
          <w:shd w:val="clear" w:color="auto" w:fill="FFFFFF"/>
        </w:rPr>
        <w:t>万元，占</w:t>
      </w:r>
      <w:r>
        <w:rPr>
          <w:rFonts w:hint="eastAsia" w:ascii="Times New Roman" w:hAnsi="Times New Roman" w:eastAsia="仿宋_GB2312" w:cs="仿宋_GB2312"/>
          <w:color w:val="000000"/>
          <w:sz w:val="32"/>
          <w:szCs w:val="32"/>
          <w:shd w:val="clear" w:color="auto" w:fill="FFFFFF"/>
          <w:lang w:val="en-US" w:eastAsia="zh-CN"/>
        </w:rPr>
        <w:t>9.51</w:t>
      </w:r>
      <w:r>
        <w:rPr>
          <w:rFonts w:hint="eastAsia" w:ascii="Times New Roman" w:hAnsi="Times New Roman" w:eastAsia="仿宋_GB2312" w:cs="仿宋_GB2312"/>
          <w:color w:val="000000"/>
          <w:sz w:val="32"/>
          <w:szCs w:val="32"/>
          <w:shd w:val="clear" w:color="auto" w:fill="FFFFFF"/>
        </w:rPr>
        <w:t>%；医疗卫生与计划生育支出</w:t>
      </w:r>
      <w:r>
        <w:rPr>
          <w:rFonts w:hint="eastAsia" w:ascii="Times New Roman" w:hAnsi="Times New Roman" w:eastAsia="仿宋_GB2312" w:cs="仿宋_GB2312"/>
          <w:color w:val="000000"/>
          <w:sz w:val="32"/>
          <w:szCs w:val="32"/>
          <w:shd w:val="clear" w:color="auto" w:fill="FFFFFF"/>
          <w:lang w:val="en-US" w:eastAsia="zh-CN"/>
        </w:rPr>
        <w:t>8.61</w:t>
      </w:r>
      <w:r>
        <w:rPr>
          <w:rFonts w:hint="eastAsia" w:ascii="Times New Roman" w:hAnsi="Times New Roman" w:eastAsia="仿宋_GB2312" w:cs="仿宋_GB2312"/>
          <w:color w:val="000000"/>
          <w:sz w:val="32"/>
          <w:szCs w:val="32"/>
          <w:shd w:val="clear" w:color="auto" w:fill="FFFFFF"/>
        </w:rPr>
        <w:t>万元，占</w:t>
      </w:r>
      <w:r>
        <w:rPr>
          <w:rFonts w:hint="eastAsia" w:ascii="Times New Roman" w:hAnsi="Times New Roman" w:eastAsia="仿宋_GB2312" w:cs="仿宋_GB2312"/>
          <w:color w:val="000000"/>
          <w:sz w:val="32"/>
          <w:szCs w:val="32"/>
          <w:shd w:val="clear" w:color="auto" w:fill="FFFFFF"/>
          <w:lang w:val="en-US" w:eastAsia="zh-CN"/>
        </w:rPr>
        <w:t>1.79</w:t>
      </w:r>
      <w:r>
        <w:rPr>
          <w:rFonts w:hint="eastAsia" w:ascii="Times New Roman" w:hAnsi="Times New Roman" w:eastAsia="仿宋_GB2312" w:cs="仿宋_GB2312"/>
          <w:color w:val="000000"/>
          <w:sz w:val="32"/>
          <w:szCs w:val="32"/>
          <w:shd w:val="clear" w:color="auto" w:fill="FFFFFF"/>
        </w:rPr>
        <w:t>%；住房保障支出</w:t>
      </w:r>
      <w:r>
        <w:rPr>
          <w:rFonts w:hint="eastAsia" w:ascii="Times New Roman" w:hAnsi="Times New Roman" w:eastAsia="仿宋_GB2312" w:cs="仿宋_GB2312"/>
          <w:color w:val="000000"/>
          <w:sz w:val="32"/>
          <w:szCs w:val="32"/>
          <w:shd w:val="clear" w:color="auto" w:fill="FFFFFF"/>
          <w:lang w:val="en-US" w:eastAsia="zh-CN"/>
        </w:rPr>
        <w:t>24.13</w:t>
      </w:r>
      <w:r>
        <w:rPr>
          <w:rFonts w:hint="eastAsia" w:ascii="Times New Roman" w:hAnsi="Times New Roman" w:eastAsia="仿宋_GB2312" w:cs="仿宋_GB2312"/>
          <w:color w:val="000000"/>
          <w:sz w:val="32"/>
          <w:szCs w:val="32"/>
          <w:shd w:val="clear" w:color="auto" w:fill="FFFFFF"/>
        </w:rPr>
        <w:t>万元，占</w:t>
      </w:r>
      <w:r>
        <w:rPr>
          <w:rFonts w:hint="eastAsia" w:ascii="Times New Roman" w:hAnsi="Times New Roman" w:eastAsia="仿宋_GB2312" w:cs="仿宋_GB2312"/>
          <w:color w:val="000000"/>
          <w:sz w:val="32"/>
          <w:szCs w:val="32"/>
          <w:shd w:val="clear" w:color="auto" w:fill="FFFFFF"/>
          <w:lang w:val="en-US" w:eastAsia="zh-CN"/>
        </w:rPr>
        <w:t>5.03</w:t>
      </w:r>
      <w:r>
        <w:rPr>
          <w:rFonts w:hint="eastAsia" w:ascii="Times New Roman" w:hAnsi="Times New Roman" w:eastAsia="仿宋_GB2312" w:cs="仿宋_GB2312"/>
          <w:color w:val="000000"/>
          <w:sz w:val="32"/>
          <w:szCs w:val="32"/>
          <w:shd w:val="clear" w:color="auto" w:fill="FFFFFF"/>
        </w:rPr>
        <w:t>%。 </w:t>
      </w:r>
    </w:p>
    <w:p w14:paraId="12EFDD88">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eastAsia="zh-CN"/>
        </w:rPr>
      </w:pPr>
      <w:r>
        <w:rPr>
          <w:rFonts w:hint="eastAsia" w:ascii="Times New Roman" w:hAnsi="Times New Roman" w:eastAsia="仿宋_GB2312" w:cs="仿宋_GB2312"/>
          <w:color w:val="000000"/>
          <w:sz w:val="32"/>
          <w:szCs w:val="32"/>
          <w:shd w:val="clear" w:color="auto" w:fill="FFFFFF"/>
        </w:rPr>
        <w:t>（三）一般公共预算当年拨款具体使用情况。 </w:t>
      </w:r>
    </w:p>
    <w:p w14:paraId="611E68C1">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rPr>
        <w:t>1.一般公共服务（类）</w:t>
      </w:r>
      <w:r>
        <w:rPr>
          <w:rFonts w:hint="eastAsia" w:ascii="Times New Roman" w:hAnsi="Times New Roman" w:eastAsia="仿宋_GB2312" w:cs="仿宋_GB2312"/>
          <w:color w:val="000000"/>
          <w:sz w:val="32"/>
          <w:szCs w:val="32"/>
          <w:shd w:val="clear" w:color="auto" w:fill="FFFFFF"/>
          <w:lang w:eastAsia="zh-CN"/>
        </w:rPr>
        <w:t>统计信息事务</w:t>
      </w:r>
      <w:r>
        <w:rPr>
          <w:rFonts w:hint="eastAsia" w:ascii="Times New Roman" w:hAnsi="Times New Roman" w:eastAsia="仿宋_GB2312" w:cs="仿宋_GB2312"/>
          <w:color w:val="000000"/>
          <w:sz w:val="32"/>
          <w:szCs w:val="32"/>
          <w:shd w:val="clear" w:color="auto" w:fill="FFFFFF"/>
        </w:rPr>
        <w:t>（款）</w:t>
      </w:r>
      <w:r>
        <w:rPr>
          <w:rFonts w:hint="eastAsia" w:ascii="Times New Roman" w:hAnsi="Times New Roman" w:eastAsia="仿宋_GB2312" w:cs="仿宋_GB2312"/>
          <w:color w:val="000000"/>
          <w:sz w:val="32"/>
          <w:szCs w:val="32"/>
          <w:shd w:val="clear" w:color="auto" w:fill="FFFFFF"/>
          <w:lang w:eastAsia="zh-CN"/>
        </w:rPr>
        <w:t>行政运行</w:t>
      </w:r>
      <w:r>
        <w:rPr>
          <w:rFonts w:hint="eastAsia" w:ascii="Times New Roman" w:hAnsi="Times New Roman" w:eastAsia="仿宋_GB2312" w:cs="仿宋_GB2312"/>
          <w:color w:val="000000"/>
          <w:sz w:val="32"/>
          <w:szCs w:val="32"/>
          <w:shd w:val="clear" w:color="auto" w:fill="FFFFFF"/>
        </w:rPr>
        <w:t>（项）:202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年预算数为</w:t>
      </w:r>
      <w:r>
        <w:rPr>
          <w:rFonts w:hint="eastAsia" w:ascii="Times New Roman" w:hAnsi="Times New Roman" w:eastAsia="仿宋_GB2312" w:cs="仿宋_GB2312"/>
          <w:color w:val="000000"/>
          <w:sz w:val="32"/>
          <w:szCs w:val="32"/>
          <w:shd w:val="clear" w:color="auto" w:fill="FFFFFF"/>
          <w:lang w:val="en-US" w:eastAsia="zh-CN"/>
        </w:rPr>
        <w:t>175.99</w:t>
      </w:r>
      <w:r>
        <w:rPr>
          <w:rFonts w:hint="eastAsia" w:ascii="Times New Roman" w:hAnsi="Times New Roman" w:eastAsia="仿宋_GB2312" w:cs="仿宋_GB2312"/>
          <w:color w:val="000000"/>
          <w:sz w:val="32"/>
          <w:szCs w:val="32"/>
          <w:shd w:val="clear" w:color="auto" w:fill="FFFFFF"/>
        </w:rPr>
        <w:t>万元，主要用于：机关及参公管理事业单位正常运转的基本支出，包括基本工资、津贴补贴等人员经费以及办公费、印刷费等日常公用经费。 </w:t>
      </w:r>
    </w:p>
    <w:p w14:paraId="1FF117DF">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rPr>
        <w:t>2.一般公共服务（类）</w:t>
      </w:r>
      <w:r>
        <w:rPr>
          <w:rFonts w:hint="eastAsia" w:ascii="Times New Roman" w:hAnsi="Times New Roman" w:eastAsia="仿宋_GB2312" w:cs="仿宋_GB2312"/>
          <w:color w:val="000000"/>
          <w:sz w:val="32"/>
          <w:szCs w:val="32"/>
          <w:shd w:val="clear" w:color="auto" w:fill="FFFFFF"/>
          <w:lang w:eastAsia="zh-CN"/>
        </w:rPr>
        <w:t>统计信息事务</w:t>
      </w:r>
      <w:r>
        <w:rPr>
          <w:rFonts w:hint="eastAsia" w:ascii="Times New Roman" w:hAnsi="Times New Roman" w:eastAsia="仿宋_GB2312" w:cs="仿宋_GB2312"/>
          <w:color w:val="000000"/>
          <w:sz w:val="32"/>
          <w:szCs w:val="32"/>
          <w:shd w:val="clear" w:color="auto" w:fill="FFFFFF"/>
        </w:rPr>
        <w:t>（款）</w:t>
      </w:r>
      <w:r>
        <w:rPr>
          <w:rFonts w:hint="eastAsia" w:ascii="Times New Roman" w:hAnsi="Times New Roman" w:eastAsia="仿宋_GB2312" w:cs="仿宋_GB2312"/>
          <w:color w:val="000000"/>
          <w:sz w:val="32"/>
          <w:szCs w:val="32"/>
          <w:shd w:val="clear" w:color="auto" w:fill="FFFFFF"/>
          <w:lang w:eastAsia="zh-CN"/>
        </w:rPr>
        <w:t>专项统计业务</w:t>
      </w:r>
      <w:r>
        <w:rPr>
          <w:rFonts w:hint="eastAsia" w:ascii="Times New Roman" w:hAnsi="Times New Roman" w:eastAsia="仿宋_GB2312" w:cs="仿宋_GB2312"/>
          <w:color w:val="000000"/>
          <w:sz w:val="32"/>
          <w:szCs w:val="32"/>
          <w:shd w:val="clear" w:color="auto" w:fill="FFFFFF"/>
        </w:rPr>
        <w:t>（项）:202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年预算数为</w:t>
      </w:r>
      <w:r>
        <w:rPr>
          <w:rFonts w:hint="eastAsia" w:ascii="Times New Roman" w:hAnsi="Times New Roman" w:eastAsia="仿宋_GB2312" w:cs="仿宋_GB2312"/>
          <w:color w:val="000000"/>
          <w:sz w:val="32"/>
          <w:szCs w:val="32"/>
          <w:shd w:val="clear" w:color="auto" w:fill="FFFFFF"/>
          <w:lang w:val="en-US" w:eastAsia="zh-CN"/>
        </w:rPr>
        <w:t>160</w:t>
      </w:r>
      <w:r>
        <w:rPr>
          <w:rFonts w:hint="eastAsia" w:ascii="Times New Roman" w:hAnsi="Times New Roman" w:eastAsia="仿宋_GB2312" w:cs="仿宋_GB2312"/>
          <w:color w:val="000000"/>
          <w:sz w:val="32"/>
          <w:szCs w:val="32"/>
          <w:shd w:val="clear" w:color="auto" w:fill="FFFFFF"/>
        </w:rPr>
        <w:t>万元，主要用于：</w:t>
      </w:r>
      <w:r>
        <w:rPr>
          <w:rFonts w:hint="eastAsia" w:ascii="Times New Roman" w:hAnsi="Times New Roman" w:eastAsia="仿宋_GB2312" w:cs="仿宋_GB2312"/>
          <w:color w:val="000000"/>
          <w:sz w:val="32"/>
          <w:szCs w:val="32"/>
          <w:shd w:val="clear" w:color="auto" w:fill="FFFFFF"/>
          <w:lang w:eastAsia="zh-CN"/>
        </w:rPr>
        <w:t>反映各级统计机关在日常业务之外开展专项统计工作的支出</w:t>
      </w:r>
      <w:r>
        <w:rPr>
          <w:rFonts w:hint="eastAsia" w:ascii="Times New Roman" w:hAnsi="Times New Roman" w:eastAsia="仿宋_GB2312" w:cs="仿宋_GB2312"/>
          <w:color w:val="000000"/>
          <w:sz w:val="32"/>
          <w:szCs w:val="32"/>
          <w:shd w:val="clear" w:color="auto" w:fill="FFFFFF"/>
        </w:rPr>
        <w:t>。</w:t>
      </w:r>
    </w:p>
    <w:p w14:paraId="01E5F96B">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lang w:val="en-US" w:eastAsia="zh-CN"/>
        </w:rPr>
        <w:t>3</w:t>
      </w:r>
      <w:r>
        <w:rPr>
          <w:rFonts w:hint="eastAsia" w:ascii="Times New Roman" w:hAnsi="Times New Roman" w:eastAsia="仿宋_GB2312" w:cs="仿宋_GB2312"/>
          <w:color w:val="000000"/>
          <w:sz w:val="32"/>
          <w:szCs w:val="32"/>
          <w:shd w:val="clear" w:color="auto" w:fill="FFFFFF"/>
        </w:rPr>
        <w:t>.住房保障支出（类）住房保障支出（款）住房公积金（项）:202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年预算数为</w:t>
      </w:r>
      <w:r>
        <w:rPr>
          <w:rFonts w:hint="eastAsia" w:ascii="Times New Roman" w:hAnsi="Times New Roman" w:eastAsia="仿宋_GB2312" w:cs="仿宋_GB2312"/>
          <w:color w:val="000000"/>
          <w:sz w:val="32"/>
          <w:szCs w:val="32"/>
          <w:shd w:val="clear" w:color="auto" w:fill="FFFFFF"/>
          <w:lang w:val="en-US" w:eastAsia="zh-CN"/>
        </w:rPr>
        <w:t>24.13</w:t>
      </w:r>
      <w:r>
        <w:rPr>
          <w:rFonts w:hint="eastAsia" w:ascii="Times New Roman" w:hAnsi="Times New Roman" w:eastAsia="仿宋_GB2312" w:cs="仿宋_GB2312"/>
          <w:color w:val="000000"/>
          <w:sz w:val="32"/>
          <w:szCs w:val="32"/>
          <w:shd w:val="clear" w:color="auto" w:fill="FFFFFF"/>
        </w:rPr>
        <w:t>万元，主要用于：部门按人力资源和社会保障部、财政部规定的基本工资和津贴补贴以及规定比例为职工缴纳的住房公积金支出。</w:t>
      </w:r>
    </w:p>
    <w:p w14:paraId="16D93262">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lang w:val="en-US" w:eastAsia="zh-CN"/>
        </w:rPr>
        <w:t>4</w:t>
      </w:r>
      <w:r>
        <w:rPr>
          <w:rFonts w:hint="eastAsia" w:ascii="Times New Roman" w:hAnsi="Times New Roman" w:eastAsia="仿宋_GB2312" w:cs="仿宋_GB2312"/>
          <w:color w:val="000000"/>
          <w:sz w:val="32"/>
          <w:szCs w:val="32"/>
          <w:shd w:val="clear" w:color="auto" w:fill="FFFFFF"/>
        </w:rPr>
        <w:t>.一般公共服务（类）</w:t>
      </w:r>
      <w:r>
        <w:rPr>
          <w:rFonts w:hint="eastAsia" w:ascii="Times New Roman" w:hAnsi="Times New Roman" w:eastAsia="仿宋_GB2312" w:cs="仿宋_GB2312"/>
          <w:color w:val="000000"/>
          <w:sz w:val="32"/>
          <w:szCs w:val="32"/>
          <w:shd w:val="clear" w:color="auto" w:fill="FFFFFF"/>
          <w:lang w:eastAsia="zh-CN"/>
        </w:rPr>
        <w:t>统计信息事务</w:t>
      </w:r>
      <w:r>
        <w:rPr>
          <w:rFonts w:hint="eastAsia" w:ascii="Times New Roman" w:hAnsi="Times New Roman" w:eastAsia="仿宋_GB2312" w:cs="仿宋_GB2312"/>
          <w:color w:val="000000"/>
          <w:sz w:val="32"/>
          <w:szCs w:val="32"/>
          <w:shd w:val="clear" w:color="auto" w:fill="FFFFFF"/>
        </w:rPr>
        <w:t>（款）</w:t>
      </w:r>
      <w:r>
        <w:rPr>
          <w:rFonts w:hint="eastAsia" w:ascii="Times New Roman" w:hAnsi="Times New Roman" w:eastAsia="仿宋_GB2312" w:cs="仿宋_GB2312"/>
          <w:color w:val="000000"/>
          <w:sz w:val="32"/>
          <w:szCs w:val="32"/>
          <w:shd w:val="clear" w:color="auto" w:fill="FFFFFF"/>
          <w:lang w:eastAsia="zh-CN"/>
        </w:rPr>
        <w:t>事业运行</w:t>
      </w:r>
      <w:r>
        <w:rPr>
          <w:rFonts w:hint="eastAsia" w:ascii="Times New Roman" w:hAnsi="Times New Roman" w:eastAsia="仿宋_GB2312" w:cs="仿宋_GB2312"/>
          <w:color w:val="000000"/>
          <w:sz w:val="32"/>
          <w:szCs w:val="32"/>
          <w:shd w:val="clear" w:color="auto" w:fill="FFFFFF"/>
        </w:rPr>
        <w:t>（项）:202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年预算数为</w:t>
      </w:r>
      <w:r>
        <w:rPr>
          <w:rFonts w:hint="eastAsia" w:ascii="Times New Roman" w:hAnsi="Times New Roman" w:eastAsia="仿宋_GB2312" w:cs="仿宋_GB2312"/>
          <w:color w:val="000000"/>
          <w:sz w:val="32"/>
          <w:szCs w:val="32"/>
          <w:shd w:val="clear" w:color="auto" w:fill="FFFFFF"/>
          <w:lang w:val="en-US" w:eastAsia="zh-CN"/>
        </w:rPr>
        <w:t>65.46</w:t>
      </w:r>
      <w:r>
        <w:rPr>
          <w:rFonts w:hint="eastAsia" w:ascii="Times New Roman" w:hAnsi="Times New Roman" w:eastAsia="仿宋_GB2312" w:cs="仿宋_GB2312"/>
          <w:color w:val="000000"/>
          <w:sz w:val="32"/>
          <w:szCs w:val="32"/>
          <w:shd w:val="clear" w:color="auto" w:fill="FFFFFF"/>
        </w:rPr>
        <w:t>万元，主要用于：</w:t>
      </w:r>
      <w:r>
        <w:rPr>
          <w:rFonts w:hint="eastAsia" w:ascii="Times New Roman" w:hAnsi="Times New Roman" w:eastAsia="仿宋_GB2312" w:cs="仿宋_GB2312"/>
          <w:color w:val="000000"/>
          <w:sz w:val="32"/>
          <w:szCs w:val="32"/>
          <w:shd w:val="clear" w:color="auto" w:fill="FFFFFF"/>
          <w:lang w:eastAsia="zh-CN"/>
        </w:rPr>
        <w:t>反映使用单位的基本支出，不包括</w:t>
      </w:r>
      <w:r>
        <w:rPr>
          <w:rFonts w:hint="eastAsia" w:ascii="Times New Roman" w:hAnsi="Times New Roman" w:eastAsia="仿宋_GB2312" w:cs="仿宋_GB2312"/>
          <w:color w:val="000000"/>
          <w:sz w:val="32"/>
          <w:szCs w:val="32"/>
          <w:shd w:val="clear" w:color="auto" w:fill="FFFFFF"/>
        </w:rPr>
        <w:t>行政单位（包括实行公务员管理的事业单位）后勤服务中心、医务室等附属事业单位。</w:t>
      </w:r>
    </w:p>
    <w:p w14:paraId="300DF637">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eastAsia="zh-CN"/>
        </w:rPr>
      </w:pP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.社会保障和就业（类）</w:t>
      </w:r>
      <w:r>
        <w:rPr>
          <w:rFonts w:hint="eastAsia" w:ascii="Times New Roman" w:hAnsi="Times New Roman" w:eastAsia="仿宋_GB2312" w:cs="仿宋_GB2312"/>
          <w:color w:val="000000"/>
          <w:sz w:val="32"/>
          <w:szCs w:val="32"/>
          <w:shd w:val="clear" w:color="auto" w:fill="FFFFFF"/>
          <w:lang w:eastAsia="zh-CN"/>
        </w:rPr>
        <w:t>行政事业单位养老支出</w:t>
      </w:r>
      <w:r>
        <w:rPr>
          <w:rFonts w:hint="eastAsia" w:ascii="Times New Roman" w:hAnsi="Times New Roman" w:eastAsia="仿宋_GB2312" w:cs="仿宋_GB2312"/>
          <w:color w:val="000000"/>
          <w:sz w:val="32"/>
          <w:szCs w:val="32"/>
          <w:shd w:val="clear" w:color="auto" w:fill="FFFFFF"/>
        </w:rPr>
        <w:t>（款）</w:t>
      </w:r>
      <w:r>
        <w:rPr>
          <w:rFonts w:hint="eastAsia" w:ascii="Times New Roman" w:hAnsi="Times New Roman" w:eastAsia="仿宋_GB2312" w:cs="仿宋_GB2312"/>
          <w:color w:val="000000"/>
          <w:sz w:val="32"/>
          <w:szCs w:val="32"/>
          <w:shd w:val="clear" w:color="auto" w:fill="FFFFFF"/>
          <w:lang w:eastAsia="zh-CN"/>
        </w:rPr>
        <w:t>机关事业单位基本养老保险缴费支出</w:t>
      </w:r>
      <w:r>
        <w:rPr>
          <w:rFonts w:hint="eastAsia" w:ascii="Times New Roman" w:hAnsi="Times New Roman" w:eastAsia="仿宋_GB2312" w:cs="仿宋_GB2312"/>
          <w:color w:val="000000"/>
          <w:sz w:val="32"/>
          <w:szCs w:val="32"/>
          <w:shd w:val="clear" w:color="auto" w:fill="FFFFFF"/>
        </w:rPr>
        <w:t>（项）:202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年预算数为</w:t>
      </w:r>
      <w:r>
        <w:rPr>
          <w:rFonts w:hint="eastAsia" w:ascii="Times New Roman" w:hAnsi="Times New Roman" w:eastAsia="仿宋_GB2312" w:cs="仿宋_GB2312"/>
          <w:color w:val="000000"/>
          <w:sz w:val="32"/>
          <w:szCs w:val="32"/>
          <w:shd w:val="clear" w:color="auto" w:fill="FFFFFF"/>
          <w:lang w:val="en-US" w:eastAsia="zh-CN"/>
        </w:rPr>
        <w:t>29.19</w:t>
      </w:r>
      <w:r>
        <w:rPr>
          <w:rFonts w:hint="eastAsia" w:ascii="Times New Roman" w:hAnsi="Times New Roman" w:eastAsia="仿宋_GB2312" w:cs="仿宋_GB2312"/>
          <w:color w:val="000000"/>
          <w:sz w:val="32"/>
          <w:szCs w:val="32"/>
          <w:shd w:val="clear" w:color="auto" w:fill="FFFFFF"/>
        </w:rPr>
        <w:t>万元，主要用于：实施养老保险制度后，部门按规定由单位缴纳的基本养老保险费支出。 </w:t>
      </w:r>
    </w:p>
    <w:p w14:paraId="75695996">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lang w:val="en-US" w:eastAsia="zh-CN"/>
        </w:rPr>
        <w:t>6</w:t>
      </w:r>
      <w:r>
        <w:rPr>
          <w:rFonts w:hint="eastAsia" w:ascii="Times New Roman" w:hAnsi="Times New Roman" w:eastAsia="仿宋_GB2312" w:cs="仿宋_GB2312"/>
          <w:color w:val="000000"/>
          <w:sz w:val="32"/>
          <w:szCs w:val="32"/>
          <w:shd w:val="clear" w:color="auto" w:fill="FFFFFF"/>
        </w:rPr>
        <w:t>.社会保障和就业（类）</w:t>
      </w:r>
      <w:r>
        <w:rPr>
          <w:rFonts w:hint="eastAsia" w:ascii="Times New Roman" w:hAnsi="Times New Roman" w:eastAsia="仿宋_GB2312" w:cs="仿宋_GB2312"/>
          <w:color w:val="000000"/>
          <w:sz w:val="32"/>
          <w:szCs w:val="32"/>
          <w:shd w:val="clear" w:color="auto" w:fill="FFFFFF"/>
          <w:lang w:eastAsia="zh-CN"/>
        </w:rPr>
        <w:t>行政事业单位养老支出</w:t>
      </w:r>
      <w:r>
        <w:rPr>
          <w:rFonts w:hint="eastAsia" w:ascii="Times New Roman" w:hAnsi="Times New Roman" w:eastAsia="仿宋_GB2312" w:cs="仿宋_GB2312"/>
          <w:color w:val="000000"/>
          <w:sz w:val="32"/>
          <w:szCs w:val="32"/>
          <w:shd w:val="clear" w:color="auto" w:fill="FFFFFF"/>
        </w:rPr>
        <w:t>（款）</w:t>
      </w:r>
      <w:r>
        <w:rPr>
          <w:rFonts w:hint="eastAsia" w:ascii="Times New Roman" w:hAnsi="Times New Roman" w:eastAsia="仿宋_GB2312" w:cs="仿宋_GB2312"/>
          <w:color w:val="000000"/>
          <w:sz w:val="32"/>
          <w:szCs w:val="32"/>
          <w:shd w:val="clear" w:color="auto" w:fill="FFFFFF"/>
          <w:lang w:eastAsia="zh-CN"/>
        </w:rPr>
        <w:t>机关事业单位职业年金缴费支出</w:t>
      </w:r>
      <w:r>
        <w:rPr>
          <w:rFonts w:hint="eastAsia" w:ascii="Times New Roman" w:hAnsi="Times New Roman" w:eastAsia="仿宋_GB2312" w:cs="仿宋_GB2312"/>
          <w:color w:val="000000"/>
          <w:sz w:val="32"/>
          <w:szCs w:val="32"/>
          <w:shd w:val="clear" w:color="auto" w:fill="FFFFFF"/>
        </w:rPr>
        <w:t>（项）:202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年预算数为</w:t>
      </w:r>
      <w:r>
        <w:rPr>
          <w:rFonts w:hint="eastAsia" w:ascii="Times New Roman" w:hAnsi="Times New Roman" w:eastAsia="仿宋_GB2312" w:cs="仿宋_GB2312"/>
          <w:color w:val="000000"/>
          <w:sz w:val="32"/>
          <w:szCs w:val="32"/>
          <w:shd w:val="clear" w:color="auto" w:fill="FFFFFF"/>
          <w:lang w:val="en-US" w:eastAsia="zh-CN"/>
        </w:rPr>
        <w:t>14.60</w:t>
      </w:r>
      <w:r>
        <w:rPr>
          <w:rFonts w:hint="eastAsia" w:ascii="Times New Roman" w:hAnsi="Times New Roman" w:eastAsia="仿宋_GB2312" w:cs="仿宋_GB2312"/>
          <w:color w:val="000000"/>
          <w:sz w:val="32"/>
          <w:szCs w:val="32"/>
          <w:shd w:val="clear" w:color="auto" w:fill="FFFFFF"/>
        </w:rPr>
        <w:t>万元，主要用于：实施养老保险制度后，部门按规定由单位缴纳的职业年金支出。</w:t>
      </w:r>
    </w:p>
    <w:p w14:paraId="3FD7D8A8">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lang w:val="en-US" w:eastAsia="zh-CN"/>
        </w:rPr>
        <w:t>7.</w:t>
      </w:r>
      <w:r>
        <w:rPr>
          <w:rFonts w:hint="eastAsia" w:ascii="Times New Roman" w:hAnsi="Times New Roman" w:eastAsia="仿宋_GB2312" w:cs="仿宋_GB2312"/>
          <w:color w:val="000000"/>
          <w:sz w:val="32"/>
          <w:szCs w:val="32"/>
          <w:shd w:val="clear" w:color="auto" w:fill="FFFFFF"/>
        </w:rPr>
        <w:t>社会保障和就业（类）</w:t>
      </w:r>
      <w:r>
        <w:rPr>
          <w:rFonts w:hint="eastAsia" w:ascii="Times New Roman" w:hAnsi="Times New Roman" w:eastAsia="仿宋_GB2312" w:cs="仿宋_GB2312"/>
          <w:color w:val="000000"/>
          <w:sz w:val="32"/>
          <w:szCs w:val="32"/>
          <w:shd w:val="clear" w:color="auto" w:fill="FFFFFF"/>
          <w:lang w:eastAsia="zh-CN"/>
        </w:rPr>
        <w:t>其他社会保障和就业支出</w:t>
      </w:r>
      <w:r>
        <w:rPr>
          <w:rFonts w:hint="eastAsia" w:ascii="Times New Roman" w:hAnsi="Times New Roman" w:eastAsia="仿宋_GB2312" w:cs="仿宋_GB2312"/>
          <w:color w:val="000000"/>
          <w:sz w:val="32"/>
          <w:szCs w:val="32"/>
          <w:shd w:val="clear" w:color="auto" w:fill="FFFFFF"/>
        </w:rPr>
        <w:t>（款）</w:t>
      </w:r>
      <w:r>
        <w:rPr>
          <w:rFonts w:hint="eastAsia" w:ascii="Times New Roman" w:hAnsi="Times New Roman" w:eastAsia="仿宋_GB2312" w:cs="仿宋_GB2312"/>
          <w:color w:val="000000"/>
          <w:sz w:val="32"/>
          <w:szCs w:val="32"/>
          <w:shd w:val="clear" w:color="auto" w:fill="FFFFFF"/>
          <w:lang w:eastAsia="zh-CN"/>
        </w:rPr>
        <w:t>其他社会保障和就业支出</w:t>
      </w:r>
      <w:r>
        <w:rPr>
          <w:rFonts w:hint="eastAsia" w:ascii="Times New Roman" w:hAnsi="Times New Roman" w:eastAsia="仿宋_GB2312" w:cs="仿宋_GB2312"/>
          <w:color w:val="000000"/>
          <w:sz w:val="32"/>
          <w:szCs w:val="32"/>
          <w:shd w:val="clear" w:color="auto" w:fill="FFFFFF"/>
        </w:rPr>
        <w:t>（项）:202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年预算数为</w:t>
      </w:r>
      <w:r>
        <w:rPr>
          <w:rFonts w:hint="eastAsia" w:ascii="Times New Roman" w:hAnsi="Times New Roman" w:eastAsia="仿宋_GB2312" w:cs="仿宋_GB2312"/>
          <w:color w:val="000000"/>
          <w:sz w:val="32"/>
          <w:szCs w:val="32"/>
          <w:shd w:val="clear" w:color="auto" w:fill="FFFFFF"/>
          <w:lang w:val="en-US" w:eastAsia="zh-CN"/>
        </w:rPr>
        <w:t>1.84</w:t>
      </w:r>
      <w:r>
        <w:rPr>
          <w:rFonts w:hint="eastAsia" w:ascii="Times New Roman" w:hAnsi="Times New Roman" w:eastAsia="仿宋_GB2312" w:cs="仿宋_GB2312"/>
          <w:color w:val="000000"/>
          <w:sz w:val="32"/>
          <w:szCs w:val="32"/>
          <w:shd w:val="clear" w:color="auto" w:fill="FFFFFF"/>
        </w:rPr>
        <w:t>万元，主要用于：</w:t>
      </w:r>
      <w:r>
        <w:rPr>
          <w:rFonts w:hint="eastAsia" w:ascii="Times New Roman" w:hAnsi="Times New Roman" w:eastAsia="仿宋_GB2312" w:cs="仿宋_GB2312"/>
          <w:color w:val="000000"/>
          <w:sz w:val="32"/>
          <w:szCs w:val="32"/>
          <w:shd w:val="clear" w:color="auto" w:fill="FFFFFF"/>
          <w:lang w:eastAsia="zh-CN"/>
        </w:rPr>
        <w:t>其他用于社会保障和就业方面的支出。</w:t>
      </w:r>
      <w:r>
        <w:rPr>
          <w:rFonts w:hint="eastAsia" w:ascii="Times New Roman" w:hAnsi="Times New Roman" w:eastAsia="仿宋_GB2312" w:cs="仿宋_GB2312"/>
          <w:color w:val="000000"/>
          <w:sz w:val="32"/>
          <w:szCs w:val="32"/>
          <w:shd w:val="clear" w:color="auto" w:fill="FFFFFF"/>
        </w:rPr>
        <w:t> </w:t>
      </w:r>
    </w:p>
    <w:p w14:paraId="63BDFC1B">
      <w:pPr>
        <w:bidi w:val="0"/>
        <w:spacing w:line="360" w:lineRule="auto"/>
        <w:ind w:firstLine="640" w:firstLineChars="200"/>
        <w:jc w:val="left"/>
        <w:rPr>
          <w:rFonts w:hint="default"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8</w:t>
      </w:r>
      <w:r>
        <w:rPr>
          <w:rFonts w:hint="eastAsia" w:ascii="Times New Roman" w:hAnsi="Times New Roman" w:eastAsia="仿宋_GB2312" w:cs="仿宋_GB2312"/>
          <w:color w:val="000000"/>
          <w:sz w:val="32"/>
          <w:szCs w:val="32"/>
          <w:shd w:val="clear" w:color="auto" w:fill="FFFFFF"/>
        </w:rPr>
        <w:t>.</w:t>
      </w:r>
      <w:r>
        <w:rPr>
          <w:rFonts w:hint="eastAsia" w:ascii="Times New Roman" w:hAnsi="Times New Roman" w:eastAsia="仿宋_GB2312" w:cs="仿宋_GB2312"/>
          <w:color w:val="000000"/>
          <w:sz w:val="32"/>
          <w:szCs w:val="32"/>
          <w:shd w:val="clear" w:color="auto" w:fill="FFFFFF"/>
          <w:lang w:eastAsia="zh-CN"/>
        </w:rPr>
        <w:t>卫生健康支出</w:t>
      </w:r>
      <w:r>
        <w:rPr>
          <w:rFonts w:hint="eastAsia" w:ascii="Times New Roman" w:hAnsi="Times New Roman" w:eastAsia="仿宋_GB2312" w:cs="仿宋_GB2312"/>
          <w:color w:val="000000"/>
          <w:sz w:val="32"/>
          <w:szCs w:val="32"/>
          <w:shd w:val="clear" w:color="auto" w:fill="FFFFFF"/>
        </w:rPr>
        <w:t>（类）</w:t>
      </w:r>
      <w:r>
        <w:rPr>
          <w:rFonts w:hint="eastAsia" w:ascii="Times New Roman" w:hAnsi="Times New Roman" w:eastAsia="仿宋_GB2312" w:cs="仿宋_GB2312"/>
          <w:color w:val="000000"/>
          <w:sz w:val="32"/>
          <w:szCs w:val="32"/>
          <w:shd w:val="clear" w:color="auto" w:fill="FFFFFF"/>
          <w:lang w:eastAsia="zh-CN"/>
        </w:rPr>
        <w:t>行政事业单位医疗</w:t>
      </w:r>
      <w:r>
        <w:rPr>
          <w:rFonts w:hint="eastAsia" w:ascii="Times New Roman" w:hAnsi="Times New Roman" w:eastAsia="仿宋_GB2312" w:cs="仿宋_GB2312"/>
          <w:color w:val="000000"/>
          <w:sz w:val="32"/>
          <w:szCs w:val="32"/>
          <w:shd w:val="clear" w:color="auto" w:fill="FFFFFF"/>
        </w:rPr>
        <w:t>（款）</w:t>
      </w:r>
      <w:r>
        <w:rPr>
          <w:rFonts w:hint="eastAsia" w:ascii="Times New Roman" w:hAnsi="Times New Roman" w:eastAsia="仿宋_GB2312" w:cs="仿宋_GB2312"/>
          <w:color w:val="000000"/>
          <w:sz w:val="32"/>
          <w:szCs w:val="32"/>
          <w:shd w:val="clear" w:color="auto" w:fill="FFFFFF"/>
          <w:lang w:eastAsia="zh-CN"/>
        </w:rPr>
        <w:t>行政单位医疗</w:t>
      </w:r>
      <w:r>
        <w:rPr>
          <w:rFonts w:hint="eastAsia" w:ascii="Times New Roman" w:hAnsi="Times New Roman" w:eastAsia="仿宋_GB2312" w:cs="仿宋_GB2312"/>
          <w:color w:val="000000"/>
          <w:sz w:val="32"/>
          <w:szCs w:val="32"/>
          <w:shd w:val="clear" w:color="auto" w:fill="FFFFFF"/>
        </w:rPr>
        <w:t>（项）:202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年预算数为</w:t>
      </w:r>
      <w:r>
        <w:rPr>
          <w:rFonts w:hint="eastAsia" w:ascii="Times New Roman" w:hAnsi="Times New Roman" w:eastAsia="仿宋_GB2312" w:cs="仿宋_GB2312"/>
          <w:color w:val="000000"/>
          <w:sz w:val="32"/>
          <w:szCs w:val="32"/>
          <w:shd w:val="clear" w:color="auto" w:fill="FFFFFF"/>
          <w:lang w:val="en-US" w:eastAsia="zh-CN"/>
        </w:rPr>
        <w:t>8.61</w:t>
      </w:r>
      <w:r>
        <w:rPr>
          <w:rFonts w:hint="eastAsia" w:ascii="Times New Roman" w:hAnsi="Times New Roman" w:eastAsia="仿宋_GB2312" w:cs="仿宋_GB2312"/>
          <w:color w:val="000000"/>
          <w:sz w:val="32"/>
          <w:szCs w:val="32"/>
          <w:shd w:val="clear" w:color="auto" w:fill="FFFFFF"/>
        </w:rPr>
        <w:t>万元，主要用于：机关及参公管理事业单位基本医疗保险缴费支出。 　</w:t>
      </w:r>
    </w:p>
    <w:p w14:paraId="184E7B47">
      <w:pPr>
        <w:ind w:firstLine="643" w:firstLineChars="200"/>
        <w:rPr>
          <w:rFonts w:hint="eastAsia" w:ascii="仿宋" w:hAnsi="宋体" w:eastAsia="仿宋" w:cs="宋体"/>
          <w:b/>
          <w:color w:val="auto"/>
          <w:kern w:val="0"/>
          <w:sz w:val="32"/>
          <w:szCs w:val="32"/>
          <w:lang w:eastAsia="zh-CN"/>
        </w:rPr>
      </w:pPr>
      <w:r>
        <w:rPr>
          <w:rFonts w:hint="eastAsia" w:ascii="仿宋" w:hAnsi="仿宋" w:eastAsia="仿宋" w:cs="宋体"/>
          <w:b/>
          <w:bCs/>
          <w:color w:val="auto"/>
          <w:kern w:val="0"/>
          <w:sz w:val="32"/>
          <w:szCs w:val="32"/>
          <w:lang w:eastAsia="zh-CN"/>
        </w:rPr>
        <w:t>四</w:t>
      </w:r>
      <w:r>
        <w:rPr>
          <w:rFonts w:hint="eastAsia" w:ascii="仿宋" w:hAnsi="仿宋" w:eastAsia="仿宋" w:cs="宋体"/>
          <w:b/>
          <w:bCs/>
          <w:color w:val="auto"/>
          <w:kern w:val="0"/>
          <w:sz w:val="32"/>
          <w:szCs w:val="32"/>
        </w:rPr>
        <w:t>、</w:t>
      </w:r>
      <w:r>
        <w:rPr>
          <w:rFonts w:hint="eastAsia" w:ascii="仿宋" w:hAnsi="仿宋" w:eastAsia="仿宋" w:cs="宋体"/>
          <w:b/>
          <w:color w:val="auto"/>
          <w:kern w:val="0"/>
          <w:sz w:val="32"/>
          <w:szCs w:val="32"/>
        </w:rPr>
        <w:t>一般公共预算基本支出情况说明</w:t>
      </w:r>
      <w:r>
        <w:rPr>
          <w:rFonts w:ascii="仿宋" w:hAnsi="宋体" w:eastAsia="仿宋" w:cs="宋体"/>
          <w:b/>
          <w:color w:val="auto"/>
          <w:kern w:val="0"/>
          <w:sz w:val="32"/>
          <w:szCs w:val="32"/>
        </w:rPr>
        <w:t> </w:t>
      </w:r>
    </w:p>
    <w:p w14:paraId="5F474415">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eastAsia="zh-CN"/>
        </w:rPr>
      </w:pPr>
      <w:r>
        <w:rPr>
          <w:rFonts w:hint="eastAsia" w:ascii="Times New Roman" w:hAnsi="Times New Roman" w:eastAsia="仿宋_GB2312" w:cs="仿宋_GB2312"/>
          <w:color w:val="000000"/>
          <w:sz w:val="32"/>
          <w:szCs w:val="32"/>
          <w:shd w:val="clear" w:color="auto" w:fill="FFFFFF"/>
          <w:lang w:eastAsia="zh-CN"/>
        </w:rPr>
        <w:t>统计局</w:t>
      </w:r>
      <w:r>
        <w:rPr>
          <w:rFonts w:hint="eastAsia" w:ascii="Times New Roman" w:hAnsi="Times New Roman" w:eastAsia="仿宋_GB2312" w:cs="仿宋_GB2312"/>
          <w:color w:val="000000"/>
          <w:sz w:val="32"/>
          <w:szCs w:val="32"/>
          <w:shd w:val="clear" w:color="auto" w:fill="FFFFFF"/>
        </w:rPr>
        <w:t>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年一般公共预算基本支出</w:t>
      </w:r>
      <w:r>
        <w:rPr>
          <w:rFonts w:hint="eastAsia" w:ascii="Times New Roman" w:hAnsi="Times New Roman" w:eastAsia="仿宋_GB2312" w:cs="仿宋_GB2312"/>
          <w:color w:val="000000"/>
          <w:sz w:val="32"/>
          <w:szCs w:val="32"/>
          <w:shd w:val="clear" w:color="auto" w:fill="FFFFFF"/>
          <w:lang w:val="en-US" w:eastAsia="zh-CN"/>
        </w:rPr>
        <w:t>319.82</w:t>
      </w:r>
      <w:r>
        <w:rPr>
          <w:rFonts w:hint="eastAsia" w:ascii="Times New Roman" w:hAnsi="Times New Roman" w:eastAsia="仿宋_GB2312" w:cs="仿宋_GB2312"/>
          <w:color w:val="000000"/>
          <w:sz w:val="32"/>
          <w:szCs w:val="32"/>
          <w:shd w:val="clear" w:color="auto" w:fill="FFFFFF"/>
        </w:rPr>
        <w:t>万元，其中： </w:t>
      </w:r>
    </w:p>
    <w:p w14:paraId="1E883E07">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rPr>
        <w:t>人员经费</w:t>
      </w:r>
      <w:r>
        <w:rPr>
          <w:rFonts w:hint="eastAsia" w:ascii="Times New Roman" w:hAnsi="Times New Roman" w:eastAsia="仿宋_GB2312" w:cs="仿宋_GB2312"/>
          <w:color w:val="000000"/>
          <w:sz w:val="32"/>
          <w:szCs w:val="32"/>
          <w:shd w:val="clear" w:color="auto" w:fill="FFFFFF"/>
          <w:lang w:val="en-US" w:eastAsia="zh-CN"/>
        </w:rPr>
        <w:t>271.98</w:t>
      </w:r>
      <w:r>
        <w:rPr>
          <w:rFonts w:hint="eastAsia" w:ascii="Times New Roman" w:hAnsi="Times New Roman" w:eastAsia="仿宋_GB2312" w:cs="仿宋_GB2312"/>
          <w:color w:val="000000"/>
          <w:sz w:val="32"/>
          <w:szCs w:val="32"/>
          <w:shd w:val="clear" w:color="auto" w:fill="FFFFFF"/>
        </w:rPr>
        <w:t>万元，主要包括：基本工资、津贴补贴、奖金、 伙食补助费、</w:t>
      </w:r>
      <w:r>
        <w:rPr>
          <w:rFonts w:hint="eastAsia" w:ascii="Times New Roman" w:hAnsi="Times New Roman" w:eastAsia="仿宋_GB2312" w:cs="仿宋_GB2312"/>
          <w:color w:val="000000"/>
          <w:sz w:val="32"/>
          <w:szCs w:val="32"/>
          <w:shd w:val="clear" w:color="auto" w:fill="FFFFFF"/>
          <w:lang w:eastAsia="zh-CN"/>
        </w:rPr>
        <w:t>绩效工资、</w:t>
      </w:r>
      <w:r>
        <w:rPr>
          <w:rFonts w:hint="eastAsia" w:ascii="Times New Roman" w:hAnsi="Times New Roman" w:eastAsia="仿宋_GB2312" w:cs="仿宋_GB2312"/>
          <w:color w:val="000000"/>
          <w:sz w:val="32"/>
          <w:szCs w:val="32"/>
          <w:shd w:val="clear" w:color="auto" w:fill="FFFFFF"/>
        </w:rPr>
        <w:t>机关事业单位基本养老保险缴费、职业年金缴费、</w:t>
      </w:r>
      <w:r>
        <w:rPr>
          <w:rFonts w:hint="eastAsia" w:ascii="Times New Roman" w:hAnsi="Times New Roman" w:eastAsia="仿宋_GB2312" w:cs="仿宋_GB2312"/>
          <w:color w:val="000000"/>
          <w:sz w:val="32"/>
          <w:szCs w:val="32"/>
          <w:shd w:val="clear" w:color="auto" w:fill="FFFFFF"/>
          <w:lang w:eastAsia="zh-CN"/>
        </w:rPr>
        <w:t>职工基本医疗保险经费、其他社会保障缴费、</w:t>
      </w:r>
      <w:r>
        <w:rPr>
          <w:rFonts w:hint="eastAsia" w:ascii="Times New Roman" w:hAnsi="Times New Roman" w:eastAsia="仿宋_GB2312" w:cs="仿宋_GB2312"/>
          <w:color w:val="000000"/>
          <w:sz w:val="32"/>
          <w:szCs w:val="32"/>
          <w:shd w:val="clear" w:color="auto" w:fill="FFFFFF"/>
        </w:rPr>
        <w:t>住房公积金</w:t>
      </w:r>
      <w:r>
        <w:rPr>
          <w:rFonts w:hint="eastAsia" w:ascii="Times New Roman" w:hAnsi="Times New Roman" w:eastAsia="仿宋_GB2312" w:cs="仿宋_GB2312"/>
          <w:color w:val="000000"/>
          <w:sz w:val="32"/>
          <w:szCs w:val="32"/>
          <w:shd w:val="clear" w:color="auto" w:fill="FFFFFF"/>
          <w:lang w:eastAsia="zh-CN"/>
        </w:rPr>
        <w:t>。</w:t>
      </w:r>
    </w:p>
    <w:p w14:paraId="26420E83">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eastAsia="zh-CN"/>
        </w:rPr>
      </w:pPr>
      <w:r>
        <w:rPr>
          <w:rFonts w:hint="eastAsia" w:ascii="Times New Roman" w:hAnsi="Times New Roman" w:eastAsia="仿宋_GB2312" w:cs="仿宋_GB2312"/>
          <w:color w:val="000000"/>
          <w:sz w:val="32"/>
          <w:szCs w:val="32"/>
          <w:shd w:val="clear" w:color="auto" w:fill="FFFFFF"/>
        </w:rPr>
        <w:t>公用经费</w:t>
      </w:r>
      <w:r>
        <w:rPr>
          <w:rFonts w:hint="eastAsia" w:ascii="Times New Roman" w:hAnsi="Times New Roman" w:eastAsia="仿宋_GB2312" w:cs="仿宋_GB2312"/>
          <w:color w:val="000000"/>
          <w:sz w:val="32"/>
          <w:szCs w:val="32"/>
          <w:shd w:val="clear" w:color="auto" w:fill="FFFFFF"/>
          <w:lang w:val="en-US" w:eastAsia="zh-CN"/>
        </w:rPr>
        <w:t>47.84</w:t>
      </w:r>
      <w:r>
        <w:rPr>
          <w:rFonts w:hint="eastAsia" w:ascii="Times New Roman" w:hAnsi="Times New Roman" w:eastAsia="仿宋_GB2312" w:cs="仿宋_GB2312"/>
          <w:color w:val="000000"/>
          <w:sz w:val="32"/>
          <w:szCs w:val="32"/>
          <w:shd w:val="clear" w:color="auto" w:fill="FFFFFF"/>
        </w:rPr>
        <w:t>万元，主要包括：办公费、差旅费、</w:t>
      </w:r>
      <w:r>
        <w:rPr>
          <w:rFonts w:hint="eastAsia" w:ascii="Times New Roman" w:hAnsi="Times New Roman" w:eastAsia="仿宋_GB2312" w:cs="仿宋_GB2312"/>
          <w:color w:val="000000"/>
          <w:sz w:val="32"/>
          <w:szCs w:val="32"/>
          <w:shd w:val="clear" w:color="auto" w:fill="FFFFFF"/>
          <w:lang w:eastAsia="zh-CN"/>
        </w:rPr>
        <w:t>公务接待</w:t>
      </w:r>
      <w:r>
        <w:rPr>
          <w:rFonts w:hint="eastAsia" w:ascii="Times New Roman" w:hAnsi="Times New Roman" w:eastAsia="仿宋_GB2312" w:cs="仿宋_GB2312"/>
          <w:color w:val="000000"/>
          <w:sz w:val="32"/>
          <w:szCs w:val="32"/>
          <w:shd w:val="clear" w:color="auto" w:fill="FFFFFF"/>
        </w:rPr>
        <w:t>费、工会经费、福利费、</w:t>
      </w:r>
      <w:r>
        <w:rPr>
          <w:rFonts w:hint="eastAsia" w:ascii="Times New Roman" w:hAnsi="Times New Roman" w:eastAsia="仿宋_GB2312" w:cs="仿宋_GB2312"/>
          <w:color w:val="000000"/>
          <w:sz w:val="32"/>
          <w:szCs w:val="32"/>
          <w:shd w:val="clear" w:color="auto" w:fill="FFFFFF"/>
          <w:lang w:eastAsia="zh-CN"/>
        </w:rPr>
        <w:t>其他交通费用</w:t>
      </w:r>
      <w:r>
        <w:rPr>
          <w:rFonts w:hint="eastAsia" w:ascii="Times New Roman" w:hAnsi="Times New Roman" w:eastAsia="仿宋_GB2312" w:cs="仿宋_GB2312"/>
          <w:color w:val="000000"/>
          <w:sz w:val="32"/>
          <w:szCs w:val="32"/>
          <w:shd w:val="clear" w:color="auto" w:fill="FFFFFF"/>
        </w:rPr>
        <w:t>。 </w:t>
      </w:r>
    </w:p>
    <w:p w14:paraId="33E37945">
      <w:pPr>
        <w:ind w:firstLine="643" w:firstLineChars="200"/>
        <w:rPr>
          <w:rFonts w:hint="eastAsia" w:ascii="仿宋" w:hAnsi="宋体" w:eastAsia="仿宋" w:cs="宋体"/>
          <w:b/>
          <w:color w:val="auto"/>
          <w:kern w:val="0"/>
          <w:sz w:val="32"/>
          <w:szCs w:val="32"/>
          <w:lang w:eastAsia="zh-CN"/>
        </w:rPr>
      </w:pPr>
      <w:r>
        <w:rPr>
          <w:rFonts w:hint="eastAsia" w:ascii="仿宋" w:hAnsi="仿宋" w:eastAsia="仿宋" w:cs="宋体"/>
          <w:b/>
          <w:color w:val="auto"/>
          <w:kern w:val="0"/>
          <w:sz w:val="32"/>
          <w:szCs w:val="32"/>
          <w:lang w:eastAsia="zh-CN"/>
        </w:rPr>
        <w:t>五</w:t>
      </w:r>
      <w:r>
        <w:rPr>
          <w:rFonts w:hint="eastAsia" w:ascii="仿宋" w:hAnsi="仿宋" w:eastAsia="仿宋" w:cs="宋体"/>
          <w:b/>
          <w:color w:val="auto"/>
          <w:kern w:val="0"/>
          <w:sz w:val="32"/>
          <w:szCs w:val="32"/>
        </w:rPr>
        <w:t>、政府性基金预算支出规模及变化情况说明</w:t>
      </w:r>
      <w:r>
        <w:rPr>
          <w:rFonts w:ascii="仿宋" w:hAnsi="宋体" w:eastAsia="仿宋" w:cs="宋体"/>
          <w:b/>
          <w:color w:val="auto"/>
          <w:kern w:val="0"/>
          <w:sz w:val="32"/>
          <w:szCs w:val="32"/>
        </w:rPr>
        <w:t> </w:t>
      </w:r>
    </w:p>
    <w:p w14:paraId="1FE74D6C">
      <w:pPr>
        <w:rPr>
          <w:rFonts w:hint="eastAsia" w:ascii="仿宋" w:hAnsi="仿宋" w:eastAsia="仿宋" w:cs="宋体"/>
          <w:color w:val="auto"/>
          <w:kern w:val="0"/>
          <w:sz w:val="32"/>
          <w:szCs w:val="32"/>
          <w:lang w:eastAsia="zh-CN"/>
        </w:rPr>
      </w:pPr>
      <w:r>
        <w:rPr>
          <w:rFonts w:hint="eastAsia" w:ascii="仿宋" w:hAnsi="仿宋" w:eastAsia="仿宋" w:cs="宋体"/>
          <w:color w:val="auto"/>
          <w:kern w:val="0"/>
          <w:sz w:val="32"/>
          <w:szCs w:val="32"/>
        </w:rPr>
        <w:t>　</w:t>
      </w:r>
      <w:r>
        <w:rPr>
          <w:rFonts w:hint="eastAsia" w:ascii="仿宋" w:hAnsi="仿宋" w:eastAsia="仿宋" w:cs="宋体"/>
          <w:color w:val="auto"/>
          <w:kern w:val="0"/>
          <w:sz w:val="32"/>
          <w:szCs w:val="32"/>
          <w:lang w:val="en-US" w:eastAsia="zh-CN"/>
        </w:rPr>
        <w:t xml:space="preserve"> </w:t>
      </w:r>
      <w:r>
        <w:rPr>
          <w:rFonts w:hint="eastAsia" w:ascii="仿宋" w:hAnsi="仿宋" w:eastAsia="仿宋" w:cs="宋体"/>
          <w:color w:val="auto"/>
          <w:kern w:val="0"/>
          <w:sz w:val="32"/>
          <w:szCs w:val="32"/>
          <w:lang w:eastAsia="zh-CN"/>
        </w:rPr>
        <w:t>统计局</w:t>
      </w:r>
      <w: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t>2025年没有使用政府性基金预算拨款安排的支出。</w:t>
      </w:r>
    </w:p>
    <w:p w14:paraId="13C51537">
      <w:pPr>
        <w:ind w:firstLine="643" w:firstLineChars="200"/>
        <w:rPr>
          <w:rFonts w:hint="eastAsia" w:ascii="仿宋" w:hAnsi="仿宋" w:eastAsia="仿宋" w:cs="宋体"/>
          <w:b/>
          <w:color w:val="auto"/>
          <w:kern w:val="0"/>
          <w:sz w:val="32"/>
          <w:szCs w:val="32"/>
        </w:rPr>
      </w:pPr>
      <w:r>
        <w:rPr>
          <w:rFonts w:hint="eastAsia" w:ascii="仿宋" w:hAnsi="仿宋" w:eastAsia="仿宋" w:cs="宋体"/>
          <w:b/>
          <w:color w:val="auto"/>
          <w:kern w:val="0"/>
          <w:sz w:val="32"/>
          <w:szCs w:val="32"/>
          <w:lang w:eastAsia="zh-CN"/>
        </w:rPr>
        <w:t>六</w:t>
      </w:r>
      <w:r>
        <w:rPr>
          <w:rFonts w:hint="eastAsia" w:ascii="仿宋" w:hAnsi="仿宋" w:eastAsia="仿宋" w:cs="宋体"/>
          <w:b/>
          <w:color w:val="auto"/>
          <w:kern w:val="0"/>
          <w:sz w:val="32"/>
          <w:szCs w:val="32"/>
        </w:rPr>
        <w:t>、国有资本经营预算支出规模及变化情况说明</w:t>
      </w:r>
    </w:p>
    <w:p w14:paraId="20622908">
      <w:pPr>
        <w:rPr>
          <w:rFonts w:hint="default" w:ascii="仿宋" w:hAnsi="仿宋" w:eastAsia="仿宋" w:cs="宋体"/>
          <w:color w:val="auto"/>
          <w:kern w:val="0"/>
          <w:sz w:val="32"/>
          <w:szCs w:val="32"/>
          <w:lang w:val="en-US" w:eastAsia="zh-CN"/>
        </w:rPr>
      </w:pPr>
      <w:r>
        <w:rPr>
          <w:rFonts w:hint="eastAsia" w:ascii="仿宋" w:hAnsi="仿宋" w:eastAsia="仿宋"/>
          <w:color w:val="auto"/>
          <w:sz w:val="32"/>
          <w:szCs w:val="32"/>
          <w:lang w:eastAsia="zh-CN"/>
        </w:rPr>
        <w:t>统计局</w:t>
      </w:r>
      <w:r>
        <w:rPr>
          <w:rFonts w:hint="eastAsia" w:ascii="Times New Roman" w:hAnsi="Times New Roman" w:eastAsia="仿宋_GB2312" w:cs="仿宋_GB2312"/>
          <w:color w:val="000000" w:themeColor="text1"/>
          <w:kern w:val="0"/>
          <w:sz w:val="32"/>
          <w:szCs w:val="32"/>
          <w:lang w:eastAsia="zh-CN"/>
          <w14:textFill>
            <w14:solidFill>
              <w14:schemeClr w14:val="tx1"/>
            </w14:solidFill>
          </w14:textFill>
        </w:rPr>
        <w:t>2025年没有使用国有资本经营预算拨款安排的支出。</w:t>
      </w:r>
    </w:p>
    <w:p w14:paraId="0106E187">
      <w:pPr>
        <w:ind w:firstLine="643" w:firstLineChars="200"/>
        <w:rPr>
          <w:rFonts w:hint="eastAsia" w:ascii="仿宋" w:hAnsi="宋体" w:eastAsia="仿宋" w:cs="宋体"/>
          <w:b/>
          <w:color w:val="auto"/>
          <w:kern w:val="0"/>
          <w:sz w:val="32"/>
          <w:szCs w:val="32"/>
          <w:lang w:eastAsia="zh-CN"/>
        </w:rPr>
      </w:pPr>
      <w:r>
        <w:rPr>
          <w:rFonts w:hint="eastAsia" w:ascii="仿宋" w:hAnsi="仿宋" w:eastAsia="仿宋" w:cs="宋体"/>
          <w:b/>
          <w:color w:val="auto"/>
          <w:kern w:val="0"/>
          <w:sz w:val="32"/>
          <w:szCs w:val="32"/>
          <w:lang w:eastAsia="zh-CN"/>
        </w:rPr>
        <w:t>七</w:t>
      </w:r>
      <w:r>
        <w:rPr>
          <w:rFonts w:hint="eastAsia" w:ascii="仿宋" w:hAnsi="仿宋" w:eastAsia="仿宋" w:cs="宋体"/>
          <w:b/>
          <w:color w:val="auto"/>
          <w:kern w:val="0"/>
          <w:sz w:val="32"/>
          <w:szCs w:val="32"/>
        </w:rPr>
        <w:t>、“三公”经费预算安排情况说明</w:t>
      </w:r>
      <w:r>
        <w:rPr>
          <w:rFonts w:ascii="仿宋" w:hAnsi="宋体" w:eastAsia="仿宋" w:cs="宋体"/>
          <w:b/>
          <w:color w:val="auto"/>
          <w:kern w:val="0"/>
          <w:sz w:val="32"/>
          <w:szCs w:val="32"/>
        </w:rPr>
        <w:t> </w:t>
      </w:r>
    </w:p>
    <w:p w14:paraId="3DB68D1D">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eastAsia="zh-CN"/>
        </w:rPr>
      </w:pPr>
      <w:r>
        <w:rPr>
          <w:rFonts w:hint="eastAsia" w:ascii="Times New Roman" w:hAnsi="Times New Roman" w:eastAsia="仿宋_GB2312" w:cs="仿宋_GB2312"/>
          <w:color w:val="000000"/>
          <w:sz w:val="32"/>
          <w:szCs w:val="32"/>
          <w:shd w:val="clear" w:color="auto" w:fill="FFFFFF"/>
          <w:lang w:eastAsia="zh-CN"/>
        </w:rPr>
        <w:t>统计局</w:t>
      </w:r>
      <w:r>
        <w:rPr>
          <w:rFonts w:hint="eastAsia" w:ascii="Times New Roman" w:hAnsi="Times New Roman" w:eastAsia="仿宋_GB2312" w:cs="仿宋_GB2312"/>
          <w:color w:val="000000"/>
          <w:sz w:val="32"/>
          <w:szCs w:val="32"/>
          <w:shd w:val="clear" w:color="auto" w:fill="FFFFFF"/>
        </w:rPr>
        <w:t>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年“三公”经费预算数</w:t>
      </w:r>
      <w:r>
        <w:rPr>
          <w:rFonts w:hint="eastAsia" w:ascii="Times New Roman" w:hAnsi="Times New Roman" w:eastAsia="仿宋_GB2312" w:cs="仿宋_GB2312"/>
          <w:color w:val="000000"/>
          <w:sz w:val="32"/>
          <w:szCs w:val="32"/>
          <w:shd w:val="clear" w:color="auto" w:fill="FFFFFF"/>
          <w:lang w:val="en-US" w:eastAsia="zh-CN"/>
        </w:rPr>
        <w:t>3</w:t>
      </w:r>
      <w:r>
        <w:rPr>
          <w:rFonts w:hint="eastAsia" w:ascii="Times New Roman" w:hAnsi="Times New Roman" w:eastAsia="仿宋_GB2312" w:cs="仿宋_GB2312"/>
          <w:color w:val="000000"/>
          <w:sz w:val="32"/>
          <w:szCs w:val="32"/>
          <w:shd w:val="clear" w:color="auto" w:fill="FFFFFF"/>
        </w:rPr>
        <w:t>万元</w:t>
      </w:r>
      <w:r>
        <w:rPr>
          <w:rFonts w:hint="eastAsia" w:ascii="Times New Roman" w:hAnsi="Times New Roman" w:eastAsia="仿宋_GB2312" w:cs="仿宋_GB2312"/>
          <w:color w:val="000000"/>
          <w:sz w:val="32"/>
          <w:szCs w:val="32"/>
          <w:shd w:val="clear" w:color="auto" w:fill="FFFFFF"/>
          <w:lang w:val="en-US" w:eastAsia="zh-CN"/>
        </w:rPr>
        <w:t>。其中：</w:t>
      </w:r>
      <w:r>
        <w:rPr>
          <w:rFonts w:hint="eastAsia" w:ascii="Times New Roman" w:hAnsi="Times New Roman" w:eastAsia="仿宋_GB2312" w:cs="仿宋_GB2312"/>
          <w:color w:val="000000"/>
          <w:sz w:val="32"/>
          <w:szCs w:val="32"/>
          <w:shd w:val="clear" w:color="auto" w:fill="FFFFFF"/>
        </w:rPr>
        <w:t>因公出国（境）经费</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rPr>
        <w:t>万元，公务接待费</w:t>
      </w:r>
      <w:r>
        <w:rPr>
          <w:rFonts w:hint="eastAsia" w:ascii="Times New Roman" w:hAnsi="Times New Roman" w:eastAsia="仿宋_GB2312" w:cs="仿宋_GB2312"/>
          <w:color w:val="000000"/>
          <w:sz w:val="32"/>
          <w:szCs w:val="32"/>
          <w:shd w:val="clear" w:color="auto" w:fill="FFFFFF"/>
          <w:lang w:val="en-US" w:eastAsia="zh-CN"/>
        </w:rPr>
        <w:t>3</w:t>
      </w:r>
      <w:r>
        <w:rPr>
          <w:rFonts w:hint="eastAsia" w:ascii="Times New Roman" w:hAnsi="Times New Roman" w:eastAsia="仿宋_GB2312" w:cs="仿宋_GB2312"/>
          <w:color w:val="000000"/>
          <w:sz w:val="32"/>
          <w:szCs w:val="32"/>
          <w:shd w:val="clear" w:color="auto" w:fill="FFFFFF"/>
        </w:rPr>
        <w:t>万元，公务用车购置及运行维护费</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rPr>
        <w:t>万元。 </w:t>
      </w:r>
    </w:p>
    <w:p w14:paraId="62939765">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eastAsia="zh-CN"/>
        </w:rPr>
      </w:pPr>
      <w:r>
        <w:rPr>
          <w:rFonts w:hint="eastAsia" w:ascii="Times New Roman" w:hAnsi="Times New Roman" w:eastAsia="仿宋_GB2312" w:cs="仿宋_GB2312"/>
          <w:color w:val="000000"/>
          <w:sz w:val="32"/>
          <w:szCs w:val="32"/>
          <w:shd w:val="clear" w:color="auto" w:fill="FFFFFF"/>
        </w:rPr>
        <w:t>1.因公出国（境）经费较上年预算持平。主要原因是202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年和202</w:t>
      </w:r>
      <w:r>
        <w:rPr>
          <w:rFonts w:hint="eastAsia" w:ascii="Times New Roman" w:hAnsi="Times New Roman" w:eastAsia="仿宋_GB2312" w:cs="仿宋_GB2312"/>
          <w:color w:val="000000"/>
          <w:sz w:val="32"/>
          <w:szCs w:val="32"/>
          <w:shd w:val="clear" w:color="auto" w:fill="FFFFFF"/>
          <w:lang w:val="en-US" w:eastAsia="zh-CN"/>
        </w:rPr>
        <w:t>4</w:t>
      </w:r>
      <w:r>
        <w:rPr>
          <w:rFonts w:hint="eastAsia" w:ascii="Times New Roman" w:hAnsi="Times New Roman" w:eastAsia="仿宋_GB2312" w:cs="仿宋_GB2312"/>
          <w:color w:val="000000"/>
          <w:sz w:val="32"/>
          <w:szCs w:val="32"/>
          <w:shd w:val="clear" w:color="auto" w:fill="FFFFFF"/>
        </w:rPr>
        <w:t>年均无因公出国（境）费用支出。 </w:t>
      </w:r>
    </w:p>
    <w:p w14:paraId="618657EA">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rPr>
        <w:t>2.公务接待费较上年预算</w:t>
      </w:r>
      <w:r>
        <w:rPr>
          <w:rFonts w:hint="eastAsia" w:ascii="Times New Roman" w:hAnsi="Times New Roman" w:eastAsia="仿宋_GB2312" w:cs="仿宋_GB2312"/>
          <w:color w:val="000000"/>
          <w:sz w:val="32"/>
          <w:szCs w:val="32"/>
          <w:shd w:val="clear" w:color="auto" w:fill="FFFFFF"/>
          <w:lang w:eastAsia="zh-CN"/>
        </w:rPr>
        <w:t>增加</w:t>
      </w:r>
      <w:r>
        <w:rPr>
          <w:rFonts w:hint="eastAsia" w:ascii="Times New Roman" w:hAnsi="Times New Roman" w:eastAsia="仿宋_GB2312" w:cs="仿宋_GB2312"/>
          <w:color w:val="000000"/>
          <w:sz w:val="32"/>
          <w:szCs w:val="32"/>
          <w:shd w:val="clear" w:color="auto" w:fill="FFFFFF"/>
          <w:lang w:val="en-US" w:eastAsia="zh-CN"/>
        </w:rPr>
        <w:t>0.53万元</w:t>
      </w:r>
      <w:r>
        <w:rPr>
          <w:rFonts w:hint="eastAsia" w:ascii="Times New Roman" w:hAnsi="Times New Roman" w:eastAsia="仿宋_GB2312" w:cs="仿宋_GB2312"/>
          <w:color w:val="000000"/>
          <w:sz w:val="32"/>
          <w:szCs w:val="32"/>
          <w:shd w:val="clear" w:color="auto" w:fill="FFFFFF"/>
        </w:rPr>
        <w:t>。主要原因是</w:t>
      </w:r>
      <w:r>
        <w:rPr>
          <w:rFonts w:hint="eastAsia" w:ascii="Times New Roman" w:hAnsi="Times New Roman" w:eastAsia="仿宋_GB2312" w:cs="仿宋_GB2312"/>
          <w:color w:val="000000"/>
          <w:sz w:val="32"/>
          <w:szCs w:val="32"/>
          <w:shd w:val="clear" w:color="auto" w:fill="FFFFFF"/>
          <w:lang w:eastAsia="zh-CN"/>
        </w:rPr>
        <w:t>上级部门到县上对口专业开展现场数据质量核查的次数增多。</w:t>
      </w:r>
      <w:r>
        <w:rPr>
          <w:rFonts w:hint="eastAsia" w:ascii="Times New Roman" w:hAnsi="Times New Roman" w:eastAsia="仿宋_GB2312" w:cs="仿宋_GB2312"/>
          <w:color w:val="000000"/>
          <w:sz w:val="32"/>
          <w:szCs w:val="32"/>
          <w:shd w:val="clear" w:color="auto" w:fill="FFFFFF"/>
        </w:rPr>
        <w:t> </w:t>
      </w:r>
    </w:p>
    <w:p w14:paraId="4E898815">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eastAsia="zh-CN"/>
        </w:rPr>
      </w:pPr>
      <w:r>
        <w:rPr>
          <w:rFonts w:hint="eastAsia" w:ascii="Times New Roman" w:hAnsi="Times New Roman" w:eastAsia="仿宋_GB2312" w:cs="仿宋_GB2312"/>
          <w:color w:val="000000"/>
          <w:sz w:val="32"/>
          <w:szCs w:val="32"/>
          <w:shd w:val="clear" w:color="auto" w:fill="FFFFFF"/>
        </w:rPr>
        <w:t>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年公务接待费计划用于</w:t>
      </w:r>
      <w:r>
        <w:rPr>
          <w:rFonts w:hint="eastAsia" w:ascii="Times New Roman" w:hAnsi="Times New Roman" w:eastAsia="仿宋_GB2312" w:cs="仿宋_GB2312"/>
          <w:color w:val="000000"/>
          <w:sz w:val="32"/>
          <w:szCs w:val="32"/>
          <w:shd w:val="clear" w:color="auto" w:fill="FFFFFF"/>
          <w:lang w:eastAsia="zh-CN"/>
        </w:rPr>
        <w:t>上级统计部门</w:t>
      </w:r>
      <w:r>
        <w:rPr>
          <w:rFonts w:hint="eastAsia" w:ascii="Times New Roman" w:hAnsi="Times New Roman" w:eastAsia="仿宋_GB2312" w:cs="仿宋_GB2312"/>
          <w:color w:val="000000"/>
          <w:sz w:val="32"/>
          <w:szCs w:val="32"/>
          <w:shd w:val="clear" w:color="auto" w:fill="FFFFFF"/>
        </w:rPr>
        <w:t>调研指导工作和</w:t>
      </w:r>
      <w:r>
        <w:rPr>
          <w:rFonts w:hint="eastAsia" w:ascii="Times New Roman" w:hAnsi="Times New Roman" w:eastAsia="仿宋_GB2312" w:cs="仿宋_GB2312"/>
          <w:color w:val="000000"/>
          <w:sz w:val="32"/>
          <w:szCs w:val="32"/>
          <w:shd w:val="clear" w:color="auto" w:fill="FFFFFF"/>
          <w:lang w:eastAsia="zh-CN"/>
        </w:rPr>
        <w:t>部分县外统计部门</w:t>
      </w:r>
      <w:r>
        <w:rPr>
          <w:rFonts w:hint="eastAsia" w:ascii="Times New Roman" w:hAnsi="Times New Roman" w:eastAsia="仿宋_GB2312" w:cs="仿宋_GB2312"/>
          <w:color w:val="000000"/>
          <w:sz w:val="32"/>
          <w:szCs w:val="32"/>
          <w:shd w:val="clear" w:color="auto" w:fill="FFFFFF"/>
        </w:rPr>
        <w:t>来我单位交流学习等。 </w:t>
      </w:r>
    </w:p>
    <w:p w14:paraId="4600425B">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lang w:val="en-US" w:eastAsia="zh-CN"/>
        </w:rPr>
        <w:t>3.</w:t>
      </w:r>
      <w:r>
        <w:rPr>
          <w:rFonts w:hint="eastAsia" w:ascii="Times New Roman" w:hAnsi="Times New Roman" w:eastAsia="仿宋_GB2312" w:cs="仿宋_GB2312"/>
          <w:color w:val="000000"/>
          <w:sz w:val="32"/>
          <w:szCs w:val="32"/>
          <w:shd w:val="clear" w:color="auto" w:fill="FFFFFF"/>
        </w:rPr>
        <w:t>公务用车购置及运行维护费较上年预算减少</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rPr>
        <w:t>万元，下降</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rPr>
        <w:t>%。主要原因是</w:t>
      </w:r>
      <w:r>
        <w:rPr>
          <w:rFonts w:hint="eastAsia" w:ascii="Times New Roman" w:hAnsi="Times New Roman" w:eastAsia="仿宋_GB2312" w:cs="仿宋_GB2312"/>
          <w:color w:val="000000"/>
          <w:sz w:val="32"/>
          <w:szCs w:val="32"/>
          <w:shd w:val="clear" w:color="auto" w:fill="FFFFFF"/>
          <w:lang w:eastAsia="zh-CN"/>
        </w:rPr>
        <w:t>没有公务用车</w:t>
      </w:r>
      <w:r>
        <w:rPr>
          <w:rFonts w:hint="eastAsia" w:ascii="Times New Roman" w:hAnsi="Times New Roman" w:eastAsia="仿宋_GB2312" w:cs="仿宋_GB2312"/>
          <w:color w:val="000000"/>
          <w:sz w:val="32"/>
          <w:szCs w:val="32"/>
          <w:shd w:val="clear" w:color="auto" w:fill="FFFFFF"/>
        </w:rPr>
        <w:t>。 </w:t>
      </w:r>
    </w:p>
    <w:p w14:paraId="252E68F9">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rPr>
        <w:t>单位现有公务用车</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rPr>
        <w:t>辆，其中：轿车</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rPr>
        <w:t>辆，越野车</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rPr>
        <w:t>辆，其他车型</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rPr>
        <w:t>辆。 </w:t>
      </w:r>
    </w:p>
    <w:p w14:paraId="7BB3E10E">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val="en-US" w:eastAsia="zh-CN"/>
        </w:rPr>
      </w:pPr>
      <w:r>
        <w:rPr>
          <w:rFonts w:hint="eastAsia" w:ascii="Times New Roman" w:hAnsi="Times New Roman" w:eastAsia="仿宋_GB2312" w:cs="仿宋_GB2312"/>
          <w:color w:val="000000"/>
          <w:sz w:val="32"/>
          <w:szCs w:val="32"/>
          <w:shd w:val="clear" w:color="auto" w:fill="FFFFFF"/>
          <w:lang w:val="en-US" w:eastAsia="zh-CN"/>
        </w:rPr>
        <w:t>2025年安排公务用车购置费0万元。</w:t>
      </w:r>
    </w:p>
    <w:p w14:paraId="0C7884FA">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eastAsia="zh-CN"/>
        </w:rPr>
      </w:pPr>
      <w:r>
        <w:rPr>
          <w:rFonts w:hint="eastAsia" w:ascii="Times New Roman" w:hAnsi="Times New Roman" w:eastAsia="仿宋_GB2312" w:cs="仿宋_GB2312"/>
          <w:color w:val="000000"/>
          <w:sz w:val="32"/>
          <w:szCs w:val="32"/>
          <w:shd w:val="clear" w:color="auto" w:fill="FFFFFF"/>
        </w:rPr>
        <w:t>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年安排公务用车运行维护费</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rPr>
        <w:t>万元，用于公务用车燃油、维修、保险及其他车辆支出</w:t>
      </w:r>
      <w:r>
        <w:rPr>
          <w:rFonts w:hint="eastAsia" w:ascii="Times New Roman" w:hAnsi="Times New Roman" w:eastAsia="仿宋_GB2312" w:cs="仿宋_GB2312"/>
          <w:color w:val="000000"/>
          <w:sz w:val="32"/>
          <w:szCs w:val="32"/>
          <w:shd w:val="clear" w:color="auto" w:fill="FFFFFF"/>
          <w:lang w:eastAsia="zh-CN"/>
        </w:rPr>
        <w:t>，主要保障相关工作开展。</w:t>
      </w:r>
      <w:r>
        <w:rPr>
          <w:rFonts w:hint="eastAsia" w:ascii="Times New Roman" w:hAnsi="Times New Roman" w:eastAsia="仿宋_GB2312" w:cs="仿宋_GB2312"/>
          <w:color w:val="000000"/>
          <w:sz w:val="32"/>
          <w:szCs w:val="32"/>
          <w:shd w:val="clear" w:color="auto" w:fill="FFFFFF"/>
        </w:rPr>
        <w:t> </w:t>
      </w:r>
    </w:p>
    <w:p w14:paraId="0E0C46EE">
      <w:pPr>
        <w:ind w:firstLine="643" w:firstLineChars="200"/>
        <w:rPr>
          <w:rFonts w:hint="eastAsia" w:ascii="仿宋" w:hAnsi="宋体" w:eastAsia="仿宋" w:cs="宋体"/>
          <w:color w:val="auto"/>
          <w:kern w:val="0"/>
          <w:sz w:val="32"/>
          <w:szCs w:val="32"/>
          <w:lang w:eastAsia="zh-CN"/>
        </w:rPr>
      </w:pPr>
      <w:r>
        <w:rPr>
          <w:rFonts w:hint="eastAsia" w:ascii="仿宋" w:hAnsi="仿宋" w:eastAsia="仿宋" w:cs="宋体"/>
          <w:b/>
          <w:color w:val="auto"/>
          <w:kern w:val="0"/>
          <w:sz w:val="32"/>
          <w:szCs w:val="32"/>
          <w:lang w:eastAsia="zh-CN"/>
        </w:rPr>
        <w:t>八</w:t>
      </w:r>
      <w:r>
        <w:rPr>
          <w:rFonts w:hint="eastAsia" w:ascii="仿宋" w:hAnsi="仿宋" w:eastAsia="仿宋" w:cs="宋体"/>
          <w:b/>
          <w:color w:val="auto"/>
          <w:kern w:val="0"/>
          <w:sz w:val="32"/>
          <w:szCs w:val="32"/>
        </w:rPr>
        <w:t>、其他重要事项的情况说明</w:t>
      </w:r>
      <w:r>
        <w:rPr>
          <w:rFonts w:ascii="仿宋" w:hAnsi="宋体" w:eastAsia="仿宋" w:cs="宋体"/>
          <w:color w:val="auto"/>
          <w:kern w:val="0"/>
          <w:sz w:val="32"/>
          <w:szCs w:val="32"/>
        </w:rPr>
        <w:t> </w:t>
      </w:r>
    </w:p>
    <w:p w14:paraId="3AA8D91D">
      <w:pPr>
        <w:ind w:firstLine="640" w:firstLineChars="200"/>
        <w:rPr>
          <w:rFonts w:ascii="仿宋" w:hAnsi="宋体" w:eastAsia="仿宋" w:cs="宋体"/>
          <w:color w:val="auto"/>
          <w:kern w:val="0"/>
          <w:sz w:val="32"/>
          <w:szCs w:val="32"/>
        </w:rPr>
      </w:pPr>
      <w:r>
        <w:rPr>
          <w:rFonts w:hint="eastAsia" w:ascii="仿宋" w:hAnsi="仿宋" w:eastAsia="仿宋" w:cs="宋体"/>
          <w:color w:val="auto"/>
          <w:kern w:val="0"/>
          <w:sz w:val="32"/>
          <w:szCs w:val="32"/>
        </w:rPr>
        <w:t>（一）机关运行经费。</w:t>
      </w:r>
      <w:r>
        <w:rPr>
          <w:rFonts w:ascii="仿宋" w:hAnsi="宋体" w:eastAsia="仿宋" w:cs="宋体"/>
          <w:color w:val="auto"/>
          <w:kern w:val="0"/>
          <w:sz w:val="32"/>
          <w:szCs w:val="32"/>
        </w:rPr>
        <w:t> </w:t>
      </w:r>
    </w:p>
    <w:p w14:paraId="56FAB5D1">
      <w:pPr>
        <w:ind w:firstLine="640" w:firstLineChars="200"/>
        <w:rPr>
          <w:rFonts w:hint="eastAsia" w:ascii="Times New Roman" w:hAnsi="Times New Roman" w:eastAsia="仿宋_GB2312" w:cs="仿宋_GB2312"/>
          <w:color w:val="000000"/>
          <w:kern w:val="2"/>
          <w:sz w:val="32"/>
          <w:szCs w:val="32"/>
          <w:shd w:val="clear" w:color="auto" w:fill="FFFFFF"/>
          <w:lang w:val="en-US" w:eastAsia="zh-CN" w:bidi="ar-SA"/>
        </w:rPr>
      </w:pPr>
      <w:r>
        <w:rPr>
          <w:rFonts w:hint="eastAsia" w:ascii="Times New Roman" w:hAnsi="Times New Roman" w:eastAsia="仿宋_GB2312" w:cs="仿宋_GB2312"/>
          <w:color w:val="000000"/>
          <w:kern w:val="2"/>
          <w:sz w:val="32"/>
          <w:szCs w:val="32"/>
          <w:shd w:val="clear" w:color="auto" w:fill="FFFFFF"/>
          <w:lang w:val="en-US" w:eastAsia="zh-CN" w:bidi="ar-SA"/>
        </w:rPr>
        <w:t>2025年，统计局运行经费财政拨款预算为47.84万元，比2024年预算增加10.27万元，主要原因是人员增加。</w:t>
      </w:r>
    </w:p>
    <w:p w14:paraId="40AE3079">
      <w:pPr>
        <w:widowControl/>
        <w:shd w:val="clear" w:color="auto" w:fill="FFFFFF"/>
        <w:ind w:firstLine="640" w:firstLineChars="200"/>
        <w:jc w:val="left"/>
        <w:rPr>
          <w:rFonts w:hint="eastAsia" w:ascii="仿宋" w:hAnsi="宋体" w:eastAsia="仿宋" w:cs="宋体"/>
          <w:color w:val="auto"/>
          <w:kern w:val="0"/>
          <w:sz w:val="32"/>
          <w:szCs w:val="32"/>
          <w:lang w:eastAsia="zh-CN"/>
        </w:rPr>
      </w:pPr>
      <w:r>
        <w:rPr>
          <w:rFonts w:hint="eastAsia" w:ascii="仿宋" w:hAnsi="仿宋" w:eastAsia="仿宋" w:cs="宋体"/>
          <w:color w:val="auto"/>
          <w:kern w:val="0"/>
          <w:sz w:val="32"/>
          <w:szCs w:val="32"/>
        </w:rPr>
        <w:t>（二）政府采购情况。</w:t>
      </w:r>
      <w:r>
        <w:rPr>
          <w:rFonts w:ascii="仿宋" w:hAnsi="宋体" w:eastAsia="仿宋" w:cs="宋体"/>
          <w:color w:val="auto"/>
          <w:kern w:val="0"/>
          <w:sz w:val="32"/>
          <w:szCs w:val="32"/>
        </w:rPr>
        <w:t> </w:t>
      </w:r>
    </w:p>
    <w:p w14:paraId="1B3CADE6">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rPr>
      </w:pPr>
      <w:r>
        <w:rPr>
          <w:rFonts w:hint="eastAsia" w:ascii="Times New Roman" w:hAnsi="Times New Roman" w:eastAsia="仿宋_GB2312" w:cs="仿宋_GB2312"/>
          <w:color w:val="000000"/>
          <w:sz w:val="32"/>
          <w:szCs w:val="32"/>
          <w:shd w:val="clear" w:color="auto" w:fill="FFFFFF"/>
        </w:rPr>
        <w:t>202</w:t>
      </w:r>
      <w:r>
        <w:rPr>
          <w:rFonts w:hint="eastAsia" w:ascii="Times New Roman" w:hAnsi="Times New Roman" w:eastAsia="仿宋_GB2312" w:cs="仿宋_GB2312"/>
          <w:color w:val="000000"/>
          <w:sz w:val="32"/>
          <w:szCs w:val="32"/>
          <w:shd w:val="clear" w:color="auto" w:fill="FFFFFF"/>
          <w:lang w:val="en-US" w:eastAsia="zh-CN"/>
        </w:rPr>
        <w:t>5</w:t>
      </w:r>
      <w:r>
        <w:rPr>
          <w:rFonts w:hint="eastAsia" w:ascii="Times New Roman" w:hAnsi="Times New Roman" w:eastAsia="仿宋_GB2312" w:cs="仿宋_GB2312"/>
          <w:color w:val="000000"/>
          <w:sz w:val="32"/>
          <w:szCs w:val="32"/>
          <w:shd w:val="clear" w:color="auto" w:fill="FFFFFF"/>
        </w:rPr>
        <w:t>年，</w:t>
      </w:r>
      <w:r>
        <w:rPr>
          <w:rFonts w:hint="eastAsia" w:ascii="Times New Roman" w:hAnsi="Times New Roman" w:eastAsia="仿宋_GB2312" w:cs="仿宋_GB2312"/>
          <w:color w:val="000000"/>
          <w:sz w:val="32"/>
          <w:szCs w:val="32"/>
          <w:shd w:val="clear" w:color="auto" w:fill="FFFFFF"/>
          <w:lang w:eastAsia="zh-CN"/>
        </w:rPr>
        <w:t>统计局</w:t>
      </w:r>
      <w:r>
        <w:rPr>
          <w:rFonts w:hint="eastAsia" w:ascii="Times New Roman" w:hAnsi="Times New Roman" w:eastAsia="仿宋_GB2312" w:cs="仿宋_GB2312"/>
          <w:color w:val="000000"/>
          <w:sz w:val="32"/>
          <w:szCs w:val="32"/>
          <w:shd w:val="clear" w:color="auto" w:fill="FFFFFF"/>
        </w:rPr>
        <w:t>安排政府采购预算</w:t>
      </w:r>
      <w:r>
        <w:rPr>
          <w:rFonts w:hint="eastAsia" w:ascii="Times New Roman" w:hAnsi="Times New Roman" w:eastAsia="仿宋_GB2312" w:cs="仿宋_GB2312"/>
          <w:color w:val="000000"/>
          <w:sz w:val="32"/>
          <w:szCs w:val="32"/>
          <w:shd w:val="clear" w:color="auto" w:fill="FFFFFF"/>
          <w:lang w:val="en-US" w:eastAsia="zh-CN"/>
        </w:rPr>
        <w:t>1.8</w:t>
      </w:r>
      <w:r>
        <w:rPr>
          <w:rFonts w:hint="eastAsia" w:ascii="Times New Roman" w:hAnsi="Times New Roman" w:eastAsia="仿宋_GB2312" w:cs="仿宋_GB2312"/>
          <w:color w:val="000000"/>
          <w:sz w:val="32"/>
          <w:szCs w:val="32"/>
          <w:shd w:val="clear" w:color="auto" w:fill="FFFFFF"/>
        </w:rPr>
        <w:t>万元，较上年预算</w:t>
      </w:r>
      <w:r>
        <w:rPr>
          <w:rFonts w:hint="eastAsia" w:ascii="Times New Roman" w:hAnsi="Times New Roman" w:eastAsia="仿宋_GB2312" w:cs="仿宋_GB2312"/>
          <w:color w:val="000000"/>
          <w:sz w:val="32"/>
          <w:szCs w:val="32"/>
          <w:shd w:val="clear" w:color="auto" w:fill="FFFFFF"/>
          <w:lang w:eastAsia="zh-CN"/>
        </w:rPr>
        <w:t>增加</w:t>
      </w:r>
      <w:r>
        <w:rPr>
          <w:rFonts w:hint="eastAsia" w:ascii="Times New Roman" w:hAnsi="Times New Roman" w:eastAsia="仿宋_GB2312" w:cs="仿宋_GB2312"/>
          <w:color w:val="000000"/>
          <w:sz w:val="32"/>
          <w:szCs w:val="32"/>
          <w:shd w:val="clear" w:color="auto" w:fill="FFFFFF"/>
          <w:lang w:val="en-US" w:eastAsia="zh-CN"/>
        </w:rPr>
        <w:t>1.8</w:t>
      </w:r>
      <w:r>
        <w:rPr>
          <w:rFonts w:hint="eastAsia" w:ascii="Times New Roman" w:hAnsi="Times New Roman" w:eastAsia="仿宋_GB2312" w:cs="仿宋_GB2312"/>
          <w:color w:val="000000"/>
          <w:sz w:val="32"/>
          <w:szCs w:val="32"/>
          <w:shd w:val="clear" w:color="auto" w:fill="FFFFFF"/>
        </w:rPr>
        <w:t>万元。 </w:t>
      </w:r>
    </w:p>
    <w:p w14:paraId="0B77267E">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rPr>
      </w:pPr>
      <w:r>
        <w:rPr>
          <w:rFonts w:hint="eastAsia" w:ascii="Times New Roman" w:hAnsi="Times New Roman" w:eastAsia="楷体_GB2312" w:cs="Times New Roman"/>
          <w:b w:val="0"/>
          <w:bCs/>
          <w:color w:val="auto"/>
          <w:sz w:val="32"/>
          <w:szCs w:val="32"/>
        </w:rPr>
        <w:t>（</w:t>
      </w:r>
      <w:r>
        <w:rPr>
          <w:rFonts w:hint="eastAsia" w:ascii="Times New Roman" w:hAnsi="Times New Roman" w:eastAsia="楷体_GB2312" w:cs="Times New Roman"/>
          <w:b w:val="0"/>
          <w:bCs/>
          <w:color w:val="auto"/>
          <w:sz w:val="32"/>
          <w:szCs w:val="32"/>
          <w:lang w:eastAsia="zh-CN"/>
        </w:rPr>
        <w:t>三</w:t>
      </w:r>
      <w:r>
        <w:rPr>
          <w:rFonts w:hint="eastAsia" w:ascii="Times New Roman" w:hAnsi="Times New Roman" w:eastAsia="楷体_GB2312" w:cs="Times New Roman"/>
          <w:b w:val="0"/>
          <w:bCs/>
          <w:color w:val="auto"/>
          <w:sz w:val="32"/>
          <w:szCs w:val="32"/>
        </w:rPr>
        <w:t>）国有资产占有使用情况。</w:t>
      </w:r>
    </w:p>
    <w:p w14:paraId="4ED57358">
      <w:pPr>
        <w:bidi w:val="0"/>
        <w:spacing w:line="360" w:lineRule="auto"/>
        <w:ind w:firstLine="640" w:firstLineChars="200"/>
        <w:jc w:val="left"/>
        <w:rPr>
          <w:rFonts w:hint="eastAsia" w:ascii="Times New Roman" w:hAnsi="Times New Roman" w:eastAsia="仿宋_GB2312" w:cs="仿宋_GB2312"/>
          <w:color w:val="000000"/>
          <w:sz w:val="32"/>
          <w:szCs w:val="32"/>
          <w:shd w:val="clear" w:color="auto" w:fill="FFFFFF"/>
          <w:lang w:eastAsia="zh-CN"/>
        </w:rPr>
      </w:pPr>
      <w:r>
        <w:rPr>
          <w:rFonts w:hint="eastAsia" w:ascii="Times New Roman" w:hAnsi="Times New Roman" w:eastAsia="仿宋_GB2312" w:cs="仿宋_GB2312"/>
          <w:color w:val="000000"/>
          <w:sz w:val="32"/>
          <w:szCs w:val="32"/>
          <w:shd w:val="clear" w:color="auto" w:fill="FFFFFF"/>
          <w:lang w:eastAsia="zh-CN"/>
        </w:rPr>
        <w:t>截至2024年底，统计局所属各预算单位共有车辆</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lang w:eastAsia="zh-CN"/>
        </w:rPr>
        <w:t>辆，其中，县级领导干部用车</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lang w:eastAsia="zh-CN"/>
        </w:rPr>
        <w:t>辆、定向保障用车</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lang w:eastAsia="zh-CN"/>
        </w:rPr>
        <w:t>辆、执法执勤用车</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lang w:eastAsia="zh-CN"/>
        </w:rPr>
        <w:t>辆。单位价值200万元以上大型设备</w:t>
      </w:r>
      <w:r>
        <w:rPr>
          <w:rFonts w:hint="eastAsia" w:ascii="Times New Roman" w:hAnsi="Times New Roman" w:eastAsia="仿宋_GB2312" w:cs="仿宋_GB2312"/>
          <w:color w:val="000000"/>
          <w:sz w:val="32"/>
          <w:szCs w:val="32"/>
          <w:shd w:val="clear" w:color="auto" w:fill="FFFFFF"/>
          <w:lang w:val="en-US" w:eastAsia="zh-CN"/>
        </w:rPr>
        <w:t>0</w:t>
      </w:r>
      <w:r>
        <w:rPr>
          <w:rFonts w:hint="eastAsia" w:ascii="Times New Roman" w:hAnsi="Times New Roman" w:eastAsia="仿宋_GB2312" w:cs="仿宋_GB2312"/>
          <w:color w:val="000000"/>
          <w:sz w:val="32"/>
          <w:szCs w:val="32"/>
          <w:shd w:val="clear" w:color="auto" w:fill="FFFFFF"/>
          <w:lang w:eastAsia="zh-CN"/>
        </w:rPr>
        <w:t>台（套）。</w:t>
      </w:r>
    </w:p>
    <w:p w14:paraId="14EAD487">
      <w:pPr>
        <w:bidi w:val="0"/>
        <w:spacing w:line="360" w:lineRule="auto"/>
        <w:ind w:firstLine="640" w:firstLineChars="200"/>
        <w:jc w:val="left"/>
        <w:rPr>
          <w:rFonts w:hint="eastAsia"/>
        </w:rPr>
      </w:pPr>
      <w:r>
        <w:rPr>
          <w:rFonts w:hint="eastAsia" w:ascii="Times New Roman" w:hAnsi="Times New Roman" w:eastAsia="仿宋_GB2312" w:cs="仿宋_GB2312"/>
          <w:color w:val="000000"/>
          <w:sz w:val="32"/>
          <w:szCs w:val="32"/>
          <w:shd w:val="clear" w:color="auto" w:fill="FFFFFF"/>
          <w:lang w:eastAsia="zh-CN"/>
        </w:rPr>
        <w:t>2025年部门预算未安排购置车辆及单位价值</w:t>
      </w:r>
      <w:r>
        <w:rPr>
          <w:rFonts w:hint="eastAsia" w:ascii="Times New Roman" w:hAnsi="Times New Roman" w:eastAsia="仿宋_GB2312" w:cs="仿宋_GB2312"/>
          <w:color w:val="000000"/>
          <w:sz w:val="32"/>
          <w:szCs w:val="32"/>
          <w:shd w:val="clear" w:color="auto" w:fill="FFFFFF"/>
          <w:lang w:val="en-US" w:eastAsia="zh-CN"/>
        </w:rPr>
        <w:t>200万元以上大型设备。</w:t>
      </w:r>
    </w:p>
    <w:p w14:paraId="0FF83611">
      <w:pPr>
        <w:widowControl/>
        <w:shd w:val="clear" w:color="auto" w:fill="FFFFFF"/>
        <w:ind w:firstLine="0"/>
        <w:jc w:val="left"/>
        <w:rPr>
          <w:rFonts w:hint="eastAsia" w:ascii="仿宋" w:hAnsi="宋体" w:eastAsia="仿宋" w:cs="宋体"/>
          <w:color w:val="auto"/>
          <w:kern w:val="0"/>
          <w:sz w:val="32"/>
          <w:szCs w:val="32"/>
          <w:lang w:eastAsia="zh-CN"/>
        </w:rPr>
      </w:pPr>
      <w:r>
        <w:rPr>
          <w:rFonts w:hint="eastAsia" w:ascii="仿宋" w:hAnsi="仿宋" w:eastAsia="仿宋" w:cs="宋体"/>
          <w:color w:val="auto"/>
          <w:kern w:val="0"/>
          <w:sz w:val="32"/>
          <w:szCs w:val="32"/>
        </w:rPr>
        <w:t>　</w:t>
      </w:r>
      <w:r>
        <w:rPr>
          <w:rFonts w:hint="eastAsia" w:ascii="仿宋" w:hAnsi="仿宋" w:eastAsia="仿宋" w:cs="宋体"/>
          <w:color w:val="auto"/>
          <w:kern w:val="0"/>
          <w:sz w:val="32"/>
          <w:szCs w:val="32"/>
          <w:lang w:val="en-US" w:eastAsia="zh-CN"/>
        </w:rPr>
        <w:t xml:space="preserve"> </w:t>
      </w:r>
      <w:r>
        <w:rPr>
          <w:rFonts w:hint="eastAsia" w:ascii="仿宋" w:hAnsi="仿宋" w:eastAsia="仿宋" w:cs="宋体"/>
          <w:color w:val="auto"/>
          <w:kern w:val="0"/>
          <w:sz w:val="32"/>
          <w:szCs w:val="32"/>
        </w:rPr>
        <w:t>（</w:t>
      </w:r>
      <w:r>
        <w:rPr>
          <w:rFonts w:hint="eastAsia" w:ascii="仿宋" w:hAnsi="仿宋" w:eastAsia="仿宋" w:cs="宋体"/>
          <w:color w:val="auto"/>
          <w:kern w:val="0"/>
          <w:sz w:val="32"/>
          <w:szCs w:val="32"/>
          <w:lang w:eastAsia="zh-CN"/>
        </w:rPr>
        <w:t>四</w:t>
      </w:r>
      <w:r>
        <w:rPr>
          <w:rFonts w:hint="eastAsia" w:ascii="仿宋" w:hAnsi="仿宋" w:eastAsia="仿宋" w:cs="宋体"/>
          <w:color w:val="auto"/>
          <w:kern w:val="0"/>
          <w:sz w:val="32"/>
          <w:szCs w:val="32"/>
        </w:rPr>
        <w:t>）绩效目标设置情况。</w:t>
      </w:r>
      <w:r>
        <w:rPr>
          <w:rFonts w:ascii="仿宋" w:hAnsi="宋体" w:eastAsia="仿宋" w:cs="宋体"/>
          <w:color w:val="auto"/>
          <w:kern w:val="0"/>
          <w:sz w:val="32"/>
          <w:szCs w:val="32"/>
        </w:rPr>
        <w:t> </w:t>
      </w:r>
    </w:p>
    <w:p w14:paraId="20532245">
      <w:pPr>
        <w:bidi w:val="0"/>
        <w:rPr>
          <w:rFonts w:hint="eastAsia" w:ascii="Times New Roman" w:hAnsi="Times New Roman" w:eastAsia="仿宋_GB2312" w:cs="仿宋_GB2312"/>
          <w:color w:val="000000"/>
          <w:kern w:val="0"/>
          <w:sz w:val="32"/>
          <w:szCs w:val="32"/>
          <w:lang w:eastAsia="zh-CN"/>
        </w:rPr>
      </w:pPr>
      <w:r>
        <w:rPr>
          <w:rFonts w:hint="eastAsia" w:ascii="仿宋" w:hAnsi="仿宋" w:eastAsia="仿宋" w:cs="宋体"/>
          <w:color w:val="auto"/>
          <w:kern w:val="0"/>
          <w:sz w:val="32"/>
          <w:szCs w:val="32"/>
        </w:rPr>
        <w:t>　</w:t>
      </w:r>
      <w:r>
        <w:rPr>
          <w:rFonts w:hint="eastAsia" w:ascii="Times New Roman" w:hAnsi="Times New Roman" w:eastAsia="仿宋_GB2312" w:cs="仿宋_GB2312"/>
          <w:color w:val="000000"/>
          <w:kern w:val="0"/>
          <w:sz w:val="32"/>
          <w:szCs w:val="32"/>
          <w:lang w:eastAsia="zh-CN"/>
        </w:rPr>
        <w:t>2025年，统计局开展绩效目标管理的项目</w:t>
      </w:r>
      <w:r>
        <w:rPr>
          <w:rFonts w:hint="eastAsia" w:ascii="Times New Roman" w:hAnsi="Times New Roman" w:eastAsia="仿宋_GB2312" w:cs="仿宋_GB2312"/>
          <w:color w:val="000000"/>
          <w:kern w:val="0"/>
          <w:sz w:val="32"/>
          <w:szCs w:val="32"/>
          <w:lang w:val="en-US" w:eastAsia="zh-CN"/>
        </w:rPr>
        <w:t>1</w:t>
      </w:r>
      <w:r>
        <w:rPr>
          <w:rFonts w:hint="eastAsia" w:ascii="Times New Roman" w:hAnsi="Times New Roman" w:eastAsia="仿宋_GB2312" w:cs="仿宋_GB2312"/>
          <w:color w:val="000000"/>
          <w:kern w:val="0"/>
          <w:sz w:val="32"/>
          <w:szCs w:val="32"/>
          <w:lang w:eastAsia="zh-CN"/>
        </w:rPr>
        <w:t>个，涉及预算</w:t>
      </w:r>
      <w:r>
        <w:rPr>
          <w:rFonts w:hint="eastAsia" w:ascii="Times New Roman" w:hAnsi="Times New Roman" w:eastAsia="仿宋_GB2312" w:cs="仿宋_GB2312"/>
          <w:color w:val="000000"/>
          <w:kern w:val="0"/>
          <w:sz w:val="32"/>
          <w:szCs w:val="32"/>
          <w:lang w:val="en-US" w:eastAsia="zh-CN"/>
        </w:rPr>
        <w:t>160</w:t>
      </w:r>
      <w:r>
        <w:rPr>
          <w:rFonts w:hint="eastAsia" w:ascii="Times New Roman" w:hAnsi="Times New Roman" w:eastAsia="仿宋_GB2312" w:cs="仿宋_GB2312"/>
          <w:color w:val="000000"/>
          <w:kern w:val="0"/>
          <w:sz w:val="32"/>
          <w:szCs w:val="32"/>
          <w:lang w:eastAsia="zh-CN"/>
        </w:rPr>
        <w:t>万元。其中：人员类项目</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lang w:eastAsia="zh-CN"/>
        </w:rPr>
        <w:t>个，涉及预算</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lang w:eastAsia="zh-CN"/>
        </w:rPr>
        <w:t>万元；运转类项目</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lang w:eastAsia="zh-CN"/>
        </w:rPr>
        <w:t>个，涉及预算</w:t>
      </w:r>
      <w:r>
        <w:rPr>
          <w:rFonts w:hint="eastAsia" w:ascii="Times New Roman" w:hAnsi="Times New Roman" w:eastAsia="仿宋_GB2312" w:cs="仿宋_GB2312"/>
          <w:color w:val="000000"/>
          <w:kern w:val="0"/>
          <w:sz w:val="32"/>
          <w:szCs w:val="32"/>
          <w:lang w:val="en-US" w:eastAsia="zh-CN"/>
        </w:rPr>
        <w:t>0</w:t>
      </w:r>
      <w:r>
        <w:rPr>
          <w:rFonts w:hint="eastAsia" w:ascii="Times New Roman" w:hAnsi="Times New Roman" w:eastAsia="仿宋_GB2312" w:cs="仿宋_GB2312"/>
          <w:color w:val="000000"/>
          <w:kern w:val="0"/>
          <w:sz w:val="32"/>
          <w:szCs w:val="32"/>
          <w:lang w:eastAsia="zh-CN"/>
        </w:rPr>
        <w:t>万元；特定目标类项目</w:t>
      </w:r>
      <w:r>
        <w:rPr>
          <w:rFonts w:hint="eastAsia" w:ascii="Times New Roman" w:hAnsi="Times New Roman" w:eastAsia="仿宋_GB2312" w:cs="仿宋_GB2312"/>
          <w:color w:val="000000"/>
          <w:kern w:val="0"/>
          <w:sz w:val="32"/>
          <w:szCs w:val="32"/>
          <w:lang w:val="en-US" w:eastAsia="zh-CN"/>
        </w:rPr>
        <w:t>1</w:t>
      </w:r>
      <w:r>
        <w:rPr>
          <w:rFonts w:hint="eastAsia" w:ascii="Times New Roman" w:hAnsi="Times New Roman" w:eastAsia="仿宋_GB2312" w:cs="仿宋_GB2312"/>
          <w:color w:val="000000"/>
          <w:kern w:val="0"/>
          <w:sz w:val="32"/>
          <w:szCs w:val="32"/>
          <w:lang w:eastAsia="zh-CN"/>
        </w:rPr>
        <w:t>个，涉及预算</w:t>
      </w:r>
      <w:r>
        <w:rPr>
          <w:rFonts w:hint="eastAsia" w:ascii="Times New Roman" w:hAnsi="Times New Roman" w:eastAsia="仿宋_GB2312" w:cs="仿宋_GB2312"/>
          <w:color w:val="000000"/>
          <w:kern w:val="0"/>
          <w:sz w:val="32"/>
          <w:szCs w:val="32"/>
          <w:lang w:val="en-US" w:eastAsia="zh-CN"/>
        </w:rPr>
        <w:t>160</w:t>
      </w:r>
      <w:r>
        <w:rPr>
          <w:rFonts w:hint="eastAsia" w:ascii="Times New Roman" w:hAnsi="Times New Roman" w:eastAsia="仿宋_GB2312" w:cs="仿宋_GB2312"/>
          <w:color w:val="000000"/>
          <w:kern w:val="0"/>
          <w:sz w:val="32"/>
          <w:szCs w:val="32"/>
          <w:lang w:eastAsia="zh-CN"/>
        </w:rPr>
        <w:t>万元</w:t>
      </w:r>
      <w:r>
        <w:rPr>
          <w:rFonts w:hint="eastAsia" w:ascii="Times New Roman" w:hAnsi="Times New Roman" w:eastAsia="仿宋_GB2312" w:cs="仿宋_GB2312"/>
          <w:color w:val="000000"/>
          <w:kern w:val="0"/>
          <w:sz w:val="32"/>
          <w:szCs w:val="32"/>
        </w:rPr>
        <w:t>。</w:t>
      </w:r>
    </w:p>
    <w:p w14:paraId="2EA4226D">
      <w:pPr>
        <w:widowControl/>
        <w:shd w:val="clear" w:color="auto" w:fill="FFFFFF"/>
        <w:ind w:firstLine="0"/>
        <w:jc w:val="left"/>
        <w:rPr>
          <w:rFonts w:hint="eastAsia" w:ascii="仿宋" w:hAnsi="宋体" w:eastAsia="仿宋" w:cs="宋体"/>
          <w:color w:val="auto"/>
          <w:kern w:val="0"/>
          <w:sz w:val="32"/>
          <w:szCs w:val="32"/>
        </w:rPr>
      </w:pPr>
    </w:p>
    <w:p w14:paraId="03E772D0">
      <w:pPr>
        <w:widowControl/>
        <w:shd w:val="clear" w:color="auto" w:fill="FFFFFF"/>
        <w:ind w:firstLine="643" w:firstLineChars="200"/>
        <w:jc w:val="left"/>
        <w:rPr>
          <w:rFonts w:ascii="仿宋" w:hAnsi="仿宋" w:eastAsia="仿宋" w:cs="宋体"/>
          <w:b/>
          <w:color w:val="auto"/>
          <w:kern w:val="0"/>
          <w:sz w:val="32"/>
          <w:szCs w:val="32"/>
        </w:rPr>
      </w:pPr>
    </w:p>
    <w:p w14:paraId="6EB1ACAC">
      <w:pPr>
        <w:widowControl/>
        <w:shd w:val="clear" w:color="auto" w:fill="FFFFFF"/>
        <w:ind w:firstLine="643" w:firstLineChars="200"/>
        <w:jc w:val="left"/>
        <w:rPr>
          <w:rFonts w:ascii="仿宋" w:hAnsi="仿宋" w:eastAsia="仿宋" w:cs="宋体"/>
          <w:b/>
          <w:color w:val="auto"/>
          <w:kern w:val="0"/>
          <w:sz w:val="32"/>
          <w:szCs w:val="32"/>
        </w:rPr>
      </w:pPr>
    </w:p>
    <w:p w14:paraId="00E3BA97">
      <w:pPr>
        <w:widowControl/>
        <w:shd w:val="clear" w:color="auto" w:fill="FFFFFF"/>
        <w:ind w:firstLine="643" w:firstLineChars="200"/>
        <w:jc w:val="left"/>
        <w:rPr>
          <w:rFonts w:ascii="仿宋" w:hAnsi="仿宋" w:eastAsia="仿宋" w:cs="宋体"/>
          <w:b/>
          <w:color w:val="auto"/>
          <w:kern w:val="0"/>
          <w:sz w:val="32"/>
          <w:szCs w:val="32"/>
        </w:rPr>
      </w:pPr>
    </w:p>
    <w:p w14:paraId="36DA8C4A">
      <w:pPr>
        <w:widowControl/>
        <w:numPr>
          <w:ilvl w:val="0"/>
          <w:numId w:val="0"/>
        </w:numPr>
        <w:shd w:val="clear" w:color="auto" w:fill="FFFFFF"/>
        <w:jc w:val="left"/>
        <w:rPr>
          <w:rFonts w:hint="default"/>
          <w:b/>
          <w:bCs/>
          <w:color w:val="auto"/>
          <w:sz w:val="52"/>
          <w:szCs w:val="52"/>
          <w:lang w:val="en-US" w:eastAsia="zh-CN"/>
        </w:rPr>
      </w:pPr>
    </w:p>
    <w:p w14:paraId="1CF05228">
      <w:pPr>
        <w:widowControl/>
        <w:numPr>
          <w:ilvl w:val="0"/>
          <w:numId w:val="0"/>
        </w:numPr>
        <w:shd w:val="clear" w:color="auto" w:fill="FFFFFF"/>
        <w:ind w:left="960" w:leftChars="0"/>
        <w:jc w:val="left"/>
        <w:rPr>
          <w:rFonts w:hint="default"/>
          <w:b/>
          <w:bCs/>
          <w:color w:val="auto"/>
          <w:sz w:val="52"/>
          <w:szCs w:val="52"/>
          <w:lang w:val="en-US" w:eastAsia="zh-CN"/>
        </w:rPr>
      </w:pPr>
    </w:p>
    <w:p w14:paraId="69679D2E">
      <w:pPr>
        <w:pStyle w:val="3"/>
        <w:rPr>
          <w:rFonts w:hint="default"/>
          <w:b/>
          <w:bCs/>
          <w:color w:val="auto"/>
          <w:sz w:val="52"/>
          <w:szCs w:val="52"/>
          <w:lang w:val="en-US" w:eastAsia="zh-CN"/>
        </w:rPr>
      </w:pPr>
    </w:p>
    <w:p w14:paraId="5DFF0D93">
      <w:pPr>
        <w:pStyle w:val="3"/>
        <w:rPr>
          <w:rFonts w:hint="default"/>
          <w:b/>
          <w:bCs/>
          <w:color w:val="auto"/>
          <w:sz w:val="52"/>
          <w:szCs w:val="52"/>
          <w:lang w:val="en-US" w:eastAsia="zh-CN"/>
        </w:rPr>
      </w:pPr>
    </w:p>
    <w:p w14:paraId="117F520D">
      <w:pPr>
        <w:widowControl/>
        <w:numPr>
          <w:ilvl w:val="0"/>
          <w:numId w:val="0"/>
        </w:numPr>
        <w:shd w:val="clear" w:color="auto" w:fill="FFFFFF"/>
        <w:jc w:val="center"/>
        <w:rPr>
          <w:rFonts w:hint="eastAsia"/>
          <w:b/>
          <w:bCs/>
          <w:color w:val="auto"/>
          <w:sz w:val="52"/>
          <w:szCs w:val="52"/>
          <w:lang w:val="en-US" w:eastAsia="zh-CN"/>
        </w:rPr>
      </w:pPr>
      <w:r>
        <w:rPr>
          <w:rFonts w:hint="eastAsia"/>
          <w:b/>
          <w:bCs/>
          <w:color w:val="auto"/>
          <w:sz w:val="52"/>
          <w:szCs w:val="52"/>
          <w:lang w:val="en-US" w:eastAsia="zh-CN"/>
        </w:rPr>
        <w:t>第四部分  名词解释</w:t>
      </w:r>
    </w:p>
    <w:p w14:paraId="5EE06BB1">
      <w:pPr>
        <w:widowControl/>
        <w:numPr>
          <w:ilvl w:val="0"/>
          <w:numId w:val="0"/>
        </w:numPr>
        <w:shd w:val="clear" w:color="auto" w:fill="FFFFFF"/>
        <w:ind w:left="960" w:leftChars="0"/>
        <w:jc w:val="left"/>
        <w:rPr>
          <w:rFonts w:hint="eastAsia" w:ascii="仿宋" w:hAnsi="宋体" w:eastAsia="仿宋" w:cs="宋体"/>
          <w:color w:val="auto"/>
          <w:kern w:val="0"/>
          <w:sz w:val="32"/>
          <w:szCs w:val="32"/>
        </w:rPr>
      </w:pPr>
    </w:p>
    <w:p w14:paraId="42068897">
      <w:pPr>
        <w:widowControl/>
        <w:numPr>
          <w:ilvl w:val="0"/>
          <w:numId w:val="0"/>
        </w:numPr>
        <w:shd w:val="clear" w:color="auto" w:fill="FFFFFF"/>
        <w:jc w:val="left"/>
        <w:rPr>
          <w:rFonts w:hint="eastAsia" w:ascii="仿宋" w:hAnsi="宋体" w:eastAsia="仿宋" w:cs="宋体"/>
          <w:color w:val="auto"/>
          <w:kern w:val="0"/>
          <w:sz w:val="32"/>
          <w:szCs w:val="32"/>
        </w:rPr>
      </w:pPr>
    </w:p>
    <w:p w14:paraId="254C397E">
      <w:pPr>
        <w:widowControl/>
        <w:numPr>
          <w:ilvl w:val="0"/>
          <w:numId w:val="0"/>
        </w:numPr>
        <w:shd w:val="clear" w:color="auto" w:fill="FFFFFF"/>
        <w:jc w:val="left"/>
        <w:rPr>
          <w:rFonts w:hint="eastAsia" w:ascii="仿宋" w:hAnsi="宋体" w:eastAsia="仿宋" w:cs="宋体"/>
          <w:color w:val="auto"/>
          <w:kern w:val="0"/>
          <w:sz w:val="32"/>
          <w:szCs w:val="32"/>
        </w:rPr>
      </w:pPr>
    </w:p>
    <w:p w14:paraId="44EA7277">
      <w:pPr>
        <w:widowControl/>
        <w:numPr>
          <w:ilvl w:val="0"/>
          <w:numId w:val="0"/>
        </w:numPr>
        <w:shd w:val="clear" w:color="auto" w:fill="FFFFFF"/>
        <w:jc w:val="left"/>
        <w:rPr>
          <w:rFonts w:hint="eastAsia" w:ascii="仿宋" w:hAnsi="宋体" w:eastAsia="仿宋" w:cs="宋体"/>
          <w:color w:val="auto"/>
          <w:kern w:val="0"/>
          <w:sz w:val="32"/>
          <w:szCs w:val="32"/>
        </w:rPr>
      </w:pPr>
    </w:p>
    <w:p w14:paraId="50C62234">
      <w:pPr>
        <w:widowControl/>
        <w:numPr>
          <w:ilvl w:val="0"/>
          <w:numId w:val="0"/>
        </w:numPr>
        <w:shd w:val="clear" w:color="auto" w:fill="FFFFFF"/>
        <w:jc w:val="left"/>
        <w:rPr>
          <w:rFonts w:hint="eastAsia" w:ascii="仿宋" w:hAnsi="宋体" w:eastAsia="仿宋" w:cs="宋体"/>
          <w:color w:val="auto"/>
          <w:kern w:val="0"/>
          <w:sz w:val="32"/>
          <w:szCs w:val="32"/>
        </w:rPr>
      </w:pPr>
    </w:p>
    <w:p w14:paraId="147DD334">
      <w:pPr>
        <w:widowControl/>
        <w:numPr>
          <w:ilvl w:val="0"/>
          <w:numId w:val="0"/>
        </w:numPr>
        <w:shd w:val="clear" w:color="auto" w:fill="FFFFFF"/>
        <w:jc w:val="left"/>
        <w:rPr>
          <w:rFonts w:hint="eastAsia" w:ascii="仿宋" w:hAnsi="宋体" w:eastAsia="仿宋" w:cs="宋体"/>
          <w:color w:val="auto"/>
          <w:kern w:val="0"/>
          <w:sz w:val="32"/>
          <w:szCs w:val="32"/>
        </w:rPr>
      </w:pPr>
    </w:p>
    <w:p w14:paraId="2CE3147D">
      <w:pPr>
        <w:widowControl/>
        <w:numPr>
          <w:ilvl w:val="0"/>
          <w:numId w:val="0"/>
        </w:numPr>
        <w:shd w:val="clear" w:color="auto" w:fill="FFFFFF"/>
        <w:jc w:val="left"/>
        <w:rPr>
          <w:rFonts w:hint="eastAsia" w:ascii="仿宋" w:hAnsi="宋体" w:eastAsia="仿宋" w:cs="宋体"/>
          <w:color w:val="auto"/>
          <w:kern w:val="0"/>
          <w:sz w:val="32"/>
          <w:szCs w:val="32"/>
        </w:rPr>
      </w:pPr>
    </w:p>
    <w:p w14:paraId="3F1BEE6C">
      <w:pPr>
        <w:widowControl/>
        <w:numPr>
          <w:ilvl w:val="0"/>
          <w:numId w:val="0"/>
        </w:numPr>
        <w:shd w:val="clear" w:color="auto" w:fill="FFFFFF"/>
        <w:jc w:val="left"/>
        <w:rPr>
          <w:rFonts w:hint="eastAsia" w:ascii="仿宋" w:hAnsi="宋体" w:eastAsia="仿宋" w:cs="宋体"/>
          <w:color w:val="auto"/>
          <w:kern w:val="0"/>
          <w:sz w:val="32"/>
          <w:szCs w:val="32"/>
        </w:rPr>
      </w:pPr>
    </w:p>
    <w:p w14:paraId="39AC3A5E">
      <w:pPr>
        <w:bidi w:val="0"/>
        <w:rPr>
          <w:rFonts w:hint="eastAsia" w:ascii="楷体" w:hAnsi="楷体" w:eastAsia="楷体" w:cs="楷体"/>
          <w:color w:val="auto"/>
          <w:lang w:eastAsia="zh-CN"/>
        </w:rPr>
      </w:pPr>
    </w:p>
    <w:p w14:paraId="7B9720E0">
      <w:pPr>
        <w:bidi w:val="0"/>
        <w:rPr>
          <w:rFonts w:hint="eastAsia" w:ascii="楷体" w:hAnsi="楷体" w:eastAsia="楷体" w:cs="楷体"/>
          <w:color w:val="auto"/>
          <w:lang w:eastAsia="zh-CN"/>
        </w:rPr>
      </w:pPr>
    </w:p>
    <w:p w14:paraId="16590560">
      <w:pPr>
        <w:bidi w:val="0"/>
        <w:rPr>
          <w:rFonts w:hint="eastAsia" w:ascii="楷体" w:hAnsi="楷体" w:eastAsia="楷体" w:cs="楷体"/>
          <w:color w:val="auto"/>
          <w:lang w:eastAsia="zh-CN"/>
        </w:rPr>
      </w:pPr>
    </w:p>
    <w:p w14:paraId="1554A361">
      <w:pPr>
        <w:bidi w:val="0"/>
        <w:rPr>
          <w:rFonts w:hint="eastAsia" w:ascii="楷体" w:hAnsi="楷体" w:eastAsia="楷体" w:cs="楷体"/>
          <w:color w:val="auto"/>
          <w:lang w:eastAsia="zh-CN"/>
        </w:rPr>
      </w:pPr>
    </w:p>
    <w:p w14:paraId="0D6989E4">
      <w:pPr>
        <w:bidi w:val="0"/>
        <w:rPr>
          <w:rFonts w:hint="eastAsia" w:ascii="楷体" w:hAnsi="楷体" w:eastAsia="楷体" w:cs="楷体"/>
          <w:color w:val="auto"/>
          <w:lang w:eastAsia="zh-CN"/>
        </w:rPr>
      </w:pPr>
    </w:p>
    <w:p w14:paraId="4CE4F4B4">
      <w:pPr>
        <w:bidi w:val="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kern w:val="0"/>
          <w:sz w:val="32"/>
          <w:szCs w:val="32"/>
          <w:lang w:val="en-US" w:eastAsia="zh-CN"/>
        </w:rPr>
        <w:t>一</w:t>
      </w:r>
      <w:r>
        <w:rPr>
          <w:rFonts w:hint="eastAsia" w:ascii="Times New Roman" w:hAnsi="Times New Roman" w:eastAsia="仿宋_GB2312" w:cs="仿宋_GB2312"/>
          <w:color w:val="auto"/>
          <w:kern w:val="0"/>
          <w:sz w:val="32"/>
          <w:szCs w:val="32"/>
          <w:lang w:eastAsia="zh-CN"/>
        </w:rPr>
        <w:t>）财政拨款收支情况：是指一般公共预算、政府性基金预算、国有资本经营预算拨款收支情况。</w:t>
      </w:r>
    </w:p>
    <w:p w14:paraId="137D643B">
      <w:pPr>
        <w:bidi w:val="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（二）财政拨款收入：指县级财政当年拨付的资金。</w:t>
      </w:r>
    </w:p>
    <w:p w14:paraId="0AEA0A00">
      <w:pPr>
        <w:bidi w:val="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（三）事业收入：指事业单位开展专业业务活动及辅助活动所取得的收入。</w:t>
      </w:r>
    </w:p>
    <w:p w14:paraId="379B5E29">
      <w:pPr>
        <w:bidi w:val="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（四）事业单位经营收入：指事业单位在专业业务活动及其辅助活动之外开展非独立核算经营活动取得的收入。</w:t>
      </w:r>
    </w:p>
    <w:p w14:paraId="7C261659">
      <w:pPr>
        <w:bidi w:val="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（五）其他收入：指除上述“一般公共预算拨款收入”“事业收入”“事业单位经营收入”等以外的收入。主要是利息收入、国有资产出租收入等。</w:t>
      </w:r>
    </w:p>
    <w:p w14:paraId="5C4BDCAF">
      <w:pPr>
        <w:bidi w:val="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（六）</w:t>
      </w:r>
      <w:r>
        <w:rPr>
          <w:rFonts w:hint="eastAsia" w:ascii="Times New Roman" w:hAnsi="Times New Roman" w:eastAsia="仿宋_GB2312" w:cs="仿宋_GB2312"/>
          <w:color w:val="auto"/>
          <w:kern w:val="0"/>
          <w:sz w:val="32"/>
          <w:szCs w:val="32"/>
          <w:lang w:eastAsia="zh-CN"/>
        </w:rPr>
        <w:t>上年结转：指以前年度安排、结转到本年仍按原规定用途继续使用的资金。</w:t>
      </w:r>
    </w:p>
    <w:p w14:paraId="71A63115">
      <w:pPr>
        <w:bidi w:val="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（七）</w:t>
      </w:r>
      <w:r>
        <w:rPr>
          <w:rFonts w:hint="eastAsia" w:ascii="Times New Roman" w:hAnsi="Times New Roman" w:eastAsia="仿宋_GB2312" w:cs="仿宋_GB2312"/>
          <w:color w:val="auto"/>
          <w:kern w:val="0"/>
          <w:sz w:val="32"/>
          <w:szCs w:val="32"/>
          <w:lang w:eastAsia="zh-CN"/>
        </w:rPr>
        <w:t>社会保障和就业（类）行政事业单位养老支出（款）事业单位离退休（项）：指事业单位开支的离退休经费。</w:t>
      </w:r>
    </w:p>
    <w:p w14:paraId="6FBD1657">
      <w:pPr>
        <w:bidi w:val="0"/>
        <w:rPr>
          <w:rFonts w:hint="eastAsia" w:eastAsia="仿宋"/>
          <w:color w:val="auto"/>
          <w:lang w:eastAsia="zh-CN"/>
        </w:rPr>
      </w:pPr>
      <w:r>
        <w:rPr>
          <w:rFonts w:hint="eastAsia" w:ascii="Times New Roman" w:hAnsi="Times New Roman" w:eastAsia="仿宋_GB2312" w:cs="仿宋_GB2312"/>
          <w:color w:val="auto"/>
          <w:kern w:val="0"/>
          <w:sz w:val="32"/>
          <w:szCs w:val="32"/>
          <w:lang w:val="en-US" w:eastAsia="zh-CN"/>
        </w:rPr>
        <w:t>（八）社会保障和就业支出（类）行政事业单位养老支出（款）行政单位离退休（项）：指行政单位（包括实行公务员管理的事业单位）开支</w:t>
      </w:r>
      <w:r>
        <w:rPr>
          <w:rFonts w:hint="eastAsia" w:ascii="Times New Roman" w:hAnsi="Times New Roman" w:eastAsia="仿宋_GB2312" w:cs="仿宋_GB2312"/>
          <w:color w:val="auto"/>
          <w:kern w:val="0"/>
          <w:sz w:val="32"/>
          <w:szCs w:val="32"/>
          <w:lang w:eastAsia="zh-CN"/>
        </w:rPr>
        <w:t>的离退休经费</w:t>
      </w:r>
      <w:r>
        <w:rPr>
          <w:rFonts w:hint="eastAsia" w:ascii="仿宋_GB2312" w:hAnsi="仿宋_GB2312" w:eastAsia="仿宋_GB2312" w:cs="仿宋_GB2312"/>
          <w:color w:val="auto"/>
          <w:lang w:eastAsia="zh-CN"/>
        </w:rPr>
        <w:t>。</w:t>
      </w:r>
    </w:p>
    <w:p w14:paraId="15AEC881">
      <w:pPr>
        <w:bidi w:val="0"/>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（九）社会保障和就业支出（类）行政事业单位养老支出（款）机关事业单位基本养老保险缴费支出（项）：指机关事业单位纳的职业年金的支出（含职业年金补记支出）。</w:t>
      </w:r>
    </w:p>
    <w:p w14:paraId="7D84F590">
      <w:pPr>
        <w:bidi w:val="0"/>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十一）社会保障和就业支出（类）其他社会保障和就业支出（款）其他社会保障和就业支出（项）：指除上述项目以外的其他用于社会保障和就业方面的支出。实施养老保险制度由单位缴纳的基本养老保险费的支出。</w:t>
      </w:r>
    </w:p>
    <w:p w14:paraId="76CAA7E1">
      <w:pPr>
        <w:bidi w:val="0"/>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（十）社会保障和就业支出（类）行政事业单位养老支出（款）的事业单位的公费医疗经费，按国家规定享受离休人员待遇的医疗经费。</w:t>
      </w:r>
    </w:p>
    <w:p w14:paraId="53690664">
      <w:pPr>
        <w:bidi w:val="0"/>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（十四）卫生健康支出（类）行政事业单位医疗（款）公务员医疗补助机关事业单位职业年金缴费支出（项）：指机关事业单位实施养老保险制度由单位缴</w:t>
      </w:r>
    </w:p>
    <w:p w14:paraId="4167B08B">
      <w:pPr>
        <w:bidi w:val="0"/>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十二）卫生健康支出（类）行政事业单位医疗（款）行政单位医疗（项）：指财政部门安排的行政单位（包括实行公务员管理的事业单位）基本医疗保险缴费经费，未参加医疗保险的行政单位的公费医疗经费，按国家规定享受离休人员、红军老战士待遇人员的医疗经费。</w:t>
      </w:r>
    </w:p>
    <w:p w14:paraId="22D27626">
      <w:pPr>
        <w:bidi w:val="0"/>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（十三）卫生健康支出（类）行政事业单位医疗（款）事业单位医疗（项）：指财政部门安排的事业单位基本医疗保险缴费经费，未参加医疗保险补助（项）：指财政部门安排的公务员医疗补助经费。</w:t>
      </w:r>
    </w:p>
    <w:p w14:paraId="6B8730E8">
      <w:pPr>
        <w:bidi w:val="0"/>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（十五）住房保障支出（类）住房改革支出（款）住房公积金（项）：指行政事业单位按人力资源和社会保障部、财政部规定的基本工资和津贴补贴以及规定比例为职工缴纳的住房公积金。</w:t>
      </w:r>
    </w:p>
    <w:p w14:paraId="37F4578E">
      <w:pPr>
        <w:bidi w:val="0"/>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（十六）基本支出：指为保障机构正常运转，完成日常工作任务而发生的人员支出和公用支出。</w:t>
      </w:r>
    </w:p>
    <w:p w14:paraId="7141565F">
      <w:pPr>
        <w:bidi w:val="0"/>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（十七）项目支出：指在基本支出之外为完成特定行政任务或事业发展目标所发生的支出。</w:t>
      </w:r>
    </w:p>
    <w:p w14:paraId="4595F7AB">
      <w:pPr>
        <w:bidi w:val="0"/>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十八）“三公”经费：纳入预算管理的“三公”经费，是指部门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牌照费）及单位按规定保留的公务用车燃料费、维修费、过路过桥费、保险费、安全奖励费用等支出；公务接待费反映单位按规定开支的各类公务接待（含外宾接待）支出。</w:t>
      </w:r>
    </w:p>
    <w:p w14:paraId="11A7742D">
      <w:pPr>
        <w:bidi w:val="0"/>
        <w:rPr>
          <w:rFonts w:hint="eastAsia" w:ascii="Times New Roman" w:hAnsi="Times New Roman" w:eastAsia="仿宋_GB2312" w:cs="仿宋_GB2312"/>
          <w:color w:val="auto"/>
          <w:kern w:val="0"/>
          <w:sz w:val="32"/>
          <w:szCs w:val="32"/>
          <w:lang w:val="en-US" w:eastAsia="zh-CN"/>
        </w:rPr>
      </w:pPr>
    </w:p>
    <w:p w14:paraId="048A7E02">
      <w:pPr>
        <w:bidi w:val="0"/>
        <w:rPr>
          <w:rFonts w:hint="eastAsia" w:ascii="Times New Roman" w:hAnsi="Times New Roman" w:eastAsia="仿宋_GB2312" w:cs="仿宋_GB2312"/>
          <w:color w:val="auto"/>
          <w:kern w:val="0"/>
          <w:sz w:val="32"/>
          <w:szCs w:val="32"/>
          <w:lang w:val="en-US" w:eastAsia="zh-CN"/>
        </w:rPr>
      </w:pPr>
    </w:p>
    <w:p w14:paraId="22A1CD93">
      <w:pPr>
        <w:widowControl/>
        <w:numPr>
          <w:ilvl w:val="0"/>
          <w:numId w:val="0"/>
        </w:numPr>
        <w:shd w:val="clear" w:color="auto" w:fill="FFFFFF"/>
        <w:jc w:val="left"/>
        <w:rPr>
          <w:rFonts w:hint="eastAsia" w:ascii="仿宋" w:hAnsi="宋体" w:eastAsia="仿宋" w:cs="宋体"/>
          <w:color w:val="auto"/>
          <w:kern w:val="0"/>
          <w:sz w:val="32"/>
          <w:szCs w:val="32"/>
        </w:rPr>
      </w:pPr>
    </w:p>
    <w:p w14:paraId="2B52C607">
      <w:pPr>
        <w:widowControl/>
        <w:numPr>
          <w:ilvl w:val="0"/>
          <w:numId w:val="0"/>
        </w:numPr>
        <w:shd w:val="clear" w:color="auto" w:fill="FFFFFF"/>
        <w:jc w:val="left"/>
        <w:rPr>
          <w:rFonts w:hint="eastAsia" w:ascii="仿宋" w:hAnsi="宋体" w:eastAsia="仿宋" w:cs="宋体"/>
          <w:color w:val="auto"/>
          <w:kern w:val="0"/>
          <w:sz w:val="32"/>
          <w:szCs w:val="32"/>
        </w:rPr>
      </w:pPr>
    </w:p>
    <w:p w14:paraId="69EC1896">
      <w:pPr>
        <w:widowControl/>
        <w:numPr>
          <w:ilvl w:val="0"/>
          <w:numId w:val="0"/>
        </w:numPr>
        <w:shd w:val="clear" w:color="auto" w:fill="FFFFFF"/>
        <w:jc w:val="left"/>
        <w:rPr>
          <w:rFonts w:hint="eastAsia" w:ascii="仿宋" w:hAnsi="宋体" w:eastAsia="仿宋" w:cs="宋体"/>
          <w:color w:val="auto"/>
          <w:kern w:val="0"/>
          <w:sz w:val="32"/>
          <w:szCs w:val="32"/>
        </w:rPr>
      </w:pPr>
    </w:p>
    <w:p w14:paraId="37683304">
      <w:pPr>
        <w:numPr>
          <w:ilvl w:val="0"/>
          <w:numId w:val="0"/>
        </w:numPr>
        <w:spacing w:line="600" w:lineRule="exact"/>
        <w:rPr>
          <w:rFonts w:hint="eastAsia" w:ascii="仿宋" w:hAnsi="仿宋" w:eastAsia="仿宋" w:cs="Times New Roman"/>
          <w:sz w:val="32"/>
          <w:szCs w:val="32"/>
          <w:lang w:val="en-US" w:eastAsia="zh-CN"/>
        </w:rPr>
      </w:pPr>
      <w:r>
        <w:rPr>
          <w:rFonts w:hint="eastAsia" w:ascii="仿宋" w:hAnsi="仿宋" w:eastAsia="仿宋" w:cs="宋体"/>
          <w:color w:val="auto"/>
          <w:kern w:val="0"/>
          <w:sz w:val="32"/>
          <w:szCs w:val="32"/>
        </w:rPr>
        <w:t>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Dialog . plai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Dialog . bold">
    <w:altName w:val="Segoe Print"/>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B2443">
    <w:pPr>
      <w:pStyle w:val="5"/>
      <w:pBdr>
        <w:bottom w:val="none" w:color="auto" w:sz="0" w:space="1"/>
      </w:pBdr>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C95392"/>
    <w:multiLevelType w:val="singleLevel"/>
    <w:tmpl w:val="C6C95392"/>
    <w:lvl w:ilvl="0" w:tentative="0">
      <w:start w:val="1"/>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xNjFmMzVhYmRmMjFjZDYxYzZmMDA5NjI2ZjA5ZjcifQ=="/>
  </w:docVars>
  <w:rsids>
    <w:rsidRoot w:val="683477C0"/>
    <w:rsid w:val="019D73AC"/>
    <w:rsid w:val="01A93FA3"/>
    <w:rsid w:val="02466466"/>
    <w:rsid w:val="02A03653"/>
    <w:rsid w:val="02AD31C8"/>
    <w:rsid w:val="02DC4F6F"/>
    <w:rsid w:val="02E42DB9"/>
    <w:rsid w:val="02FB4BBC"/>
    <w:rsid w:val="0405748B"/>
    <w:rsid w:val="04367644"/>
    <w:rsid w:val="0451447E"/>
    <w:rsid w:val="04C11604"/>
    <w:rsid w:val="07697D31"/>
    <w:rsid w:val="07BA2EC3"/>
    <w:rsid w:val="087E070D"/>
    <w:rsid w:val="08CB2A51"/>
    <w:rsid w:val="094445B2"/>
    <w:rsid w:val="09C6146A"/>
    <w:rsid w:val="0C3D0E44"/>
    <w:rsid w:val="0CA97CEF"/>
    <w:rsid w:val="0CFF0F1B"/>
    <w:rsid w:val="0E415563"/>
    <w:rsid w:val="0E52151F"/>
    <w:rsid w:val="0ED63EFE"/>
    <w:rsid w:val="0F89632F"/>
    <w:rsid w:val="0F900551"/>
    <w:rsid w:val="100308E1"/>
    <w:rsid w:val="102179AC"/>
    <w:rsid w:val="117E4D9E"/>
    <w:rsid w:val="11EE77B0"/>
    <w:rsid w:val="11F76665"/>
    <w:rsid w:val="12EC1F42"/>
    <w:rsid w:val="14716EBD"/>
    <w:rsid w:val="151439D2"/>
    <w:rsid w:val="15C01464"/>
    <w:rsid w:val="1638549E"/>
    <w:rsid w:val="16B72867"/>
    <w:rsid w:val="16D830D3"/>
    <w:rsid w:val="178C5AA1"/>
    <w:rsid w:val="181D494B"/>
    <w:rsid w:val="18BD7EDC"/>
    <w:rsid w:val="18ED4151"/>
    <w:rsid w:val="1A3B555D"/>
    <w:rsid w:val="1A807414"/>
    <w:rsid w:val="1ABC7A83"/>
    <w:rsid w:val="1BC17CE4"/>
    <w:rsid w:val="1C071B9A"/>
    <w:rsid w:val="1C8B457A"/>
    <w:rsid w:val="1D295B40"/>
    <w:rsid w:val="1D823B78"/>
    <w:rsid w:val="1DCD2970"/>
    <w:rsid w:val="1F0B19A2"/>
    <w:rsid w:val="1F8E7ECA"/>
    <w:rsid w:val="207D067D"/>
    <w:rsid w:val="20B63B8F"/>
    <w:rsid w:val="22325497"/>
    <w:rsid w:val="22BE6D2B"/>
    <w:rsid w:val="23020590"/>
    <w:rsid w:val="23E10F23"/>
    <w:rsid w:val="24D50D33"/>
    <w:rsid w:val="25396B3D"/>
    <w:rsid w:val="258B55EA"/>
    <w:rsid w:val="25F26AEC"/>
    <w:rsid w:val="266F0A68"/>
    <w:rsid w:val="285C501C"/>
    <w:rsid w:val="28A013AD"/>
    <w:rsid w:val="29B669AE"/>
    <w:rsid w:val="2A104310"/>
    <w:rsid w:val="2A9C5BA4"/>
    <w:rsid w:val="2B147E30"/>
    <w:rsid w:val="2B8E1990"/>
    <w:rsid w:val="2D151C3D"/>
    <w:rsid w:val="2D875411"/>
    <w:rsid w:val="2E1D4954"/>
    <w:rsid w:val="2E75471A"/>
    <w:rsid w:val="2E862DF3"/>
    <w:rsid w:val="2EF51D26"/>
    <w:rsid w:val="2EFE6E2D"/>
    <w:rsid w:val="30191B9A"/>
    <w:rsid w:val="30476957"/>
    <w:rsid w:val="3115045E"/>
    <w:rsid w:val="31496090"/>
    <w:rsid w:val="31B934DF"/>
    <w:rsid w:val="31CA5C04"/>
    <w:rsid w:val="325BF317"/>
    <w:rsid w:val="32C57C62"/>
    <w:rsid w:val="335C2374"/>
    <w:rsid w:val="33D22636"/>
    <w:rsid w:val="348002E4"/>
    <w:rsid w:val="34AE6BFF"/>
    <w:rsid w:val="34FF6560"/>
    <w:rsid w:val="353510CF"/>
    <w:rsid w:val="35DE3514"/>
    <w:rsid w:val="37E77E05"/>
    <w:rsid w:val="3A802DEC"/>
    <w:rsid w:val="3B0357CB"/>
    <w:rsid w:val="3B0C4680"/>
    <w:rsid w:val="3B710987"/>
    <w:rsid w:val="3B7641EF"/>
    <w:rsid w:val="3C065573"/>
    <w:rsid w:val="3C1E28BD"/>
    <w:rsid w:val="3D0715A3"/>
    <w:rsid w:val="3DBC5242"/>
    <w:rsid w:val="3E29379B"/>
    <w:rsid w:val="3E417779"/>
    <w:rsid w:val="3E7F160D"/>
    <w:rsid w:val="3EF91476"/>
    <w:rsid w:val="40275488"/>
    <w:rsid w:val="405A5E8D"/>
    <w:rsid w:val="41E82DA2"/>
    <w:rsid w:val="425C40E8"/>
    <w:rsid w:val="446E74B4"/>
    <w:rsid w:val="44F57038"/>
    <w:rsid w:val="45F55888"/>
    <w:rsid w:val="4617674C"/>
    <w:rsid w:val="477F7F3B"/>
    <w:rsid w:val="47CC7DD3"/>
    <w:rsid w:val="48D41552"/>
    <w:rsid w:val="49B05850"/>
    <w:rsid w:val="4ABB39CC"/>
    <w:rsid w:val="4F7F5E4A"/>
    <w:rsid w:val="4FF71B4E"/>
    <w:rsid w:val="4FFC63D1"/>
    <w:rsid w:val="50B138A7"/>
    <w:rsid w:val="54C01E94"/>
    <w:rsid w:val="55120E81"/>
    <w:rsid w:val="55825812"/>
    <w:rsid w:val="57083BF6"/>
    <w:rsid w:val="572B1EDA"/>
    <w:rsid w:val="5748483A"/>
    <w:rsid w:val="578810DA"/>
    <w:rsid w:val="57F329F7"/>
    <w:rsid w:val="58360B36"/>
    <w:rsid w:val="587F428B"/>
    <w:rsid w:val="59AC10B0"/>
    <w:rsid w:val="59C208D3"/>
    <w:rsid w:val="5B9937E4"/>
    <w:rsid w:val="5BAB1544"/>
    <w:rsid w:val="5BC0292E"/>
    <w:rsid w:val="5D407B47"/>
    <w:rsid w:val="5D7C523D"/>
    <w:rsid w:val="5DB91FED"/>
    <w:rsid w:val="5EFB60AA"/>
    <w:rsid w:val="5FC90902"/>
    <w:rsid w:val="61534507"/>
    <w:rsid w:val="61744C0B"/>
    <w:rsid w:val="63A70B3A"/>
    <w:rsid w:val="649C61C5"/>
    <w:rsid w:val="66242265"/>
    <w:rsid w:val="663A5C95"/>
    <w:rsid w:val="66CD08B8"/>
    <w:rsid w:val="66D32372"/>
    <w:rsid w:val="671B0793"/>
    <w:rsid w:val="680D3662"/>
    <w:rsid w:val="683477C0"/>
    <w:rsid w:val="6C7C0DB6"/>
    <w:rsid w:val="6EE115E7"/>
    <w:rsid w:val="6F8D5088"/>
    <w:rsid w:val="6FF9271D"/>
    <w:rsid w:val="701E75A8"/>
    <w:rsid w:val="71235CA4"/>
    <w:rsid w:val="71461992"/>
    <w:rsid w:val="7238752D"/>
    <w:rsid w:val="7258197D"/>
    <w:rsid w:val="72A9042B"/>
    <w:rsid w:val="7306762B"/>
    <w:rsid w:val="73FC27DC"/>
    <w:rsid w:val="74EC2851"/>
    <w:rsid w:val="75994786"/>
    <w:rsid w:val="76A65303"/>
    <w:rsid w:val="76EC7118"/>
    <w:rsid w:val="774C61F1"/>
    <w:rsid w:val="778E7BEF"/>
    <w:rsid w:val="77CB0E43"/>
    <w:rsid w:val="78063C29"/>
    <w:rsid w:val="793D18CD"/>
    <w:rsid w:val="793F6EF7"/>
    <w:rsid w:val="7A401675"/>
    <w:rsid w:val="7B3960C4"/>
    <w:rsid w:val="7BBA7205"/>
    <w:rsid w:val="7D034BDB"/>
    <w:rsid w:val="7D6E0B58"/>
    <w:rsid w:val="7EBA7FB8"/>
    <w:rsid w:val="7EDC56E4"/>
    <w:rsid w:val="7F233313"/>
    <w:rsid w:val="7FC07B58"/>
    <w:rsid w:val="976773C6"/>
    <w:rsid w:val="AFD3300A"/>
    <w:rsid w:val="FDD9F6C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spacing w:line="240" w:lineRule="atLeast"/>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Emphasis"/>
    <w:basedOn w:val="8"/>
    <w:qFormat/>
    <w:uiPriority w:val="0"/>
    <w:rPr>
      <w:i/>
    </w:rPr>
  </w:style>
  <w:style w:type="paragraph" w:customStyle="1" w:styleId="10">
    <w:name w:val="〖C01〗正文"/>
    <w:basedOn w:val="1"/>
    <w:qFormat/>
    <w:uiPriority w:val="0"/>
    <w:pPr>
      <w:topLinePunct/>
      <w:spacing w:line="600" w:lineRule="exact"/>
      <w:ind w:firstLine="640" w:firstLineChars="200"/>
    </w:pPr>
    <w:rPr>
      <w:rFonts w:ascii="仿宋_GB2312" w:eastAsia="仿宋_GB2312"/>
      <w:sz w:val="32"/>
      <w:szCs w:val="32"/>
    </w:rPr>
  </w:style>
  <w:style w:type="character" w:customStyle="1" w:styleId="11">
    <w:name w:val="font01"/>
    <w:basedOn w:val="8"/>
    <w:qFormat/>
    <w:uiPriority w:val="0"/>
    <w:rPr>
      <w:rFonts w:hint="eastAsia" w:ascii="宋体" w:hAnsi="宋体" w:eastAsia="宋体" w:cs="宋体"/>
      <w:color w:val="000000"/>
      <w:sz w:val="22"/>
      <w:szCs w:val="22"/>
      <w:u w:val="none"/>
    </w:rPr>
  </w:style>
  <w:style w:type="paragraph" w:customStyle="1" w:styleId="12">
    <w:name w:val="Normal Indent1"/>
    <w:basedOn w:val="1"/>
    <w:qFormat/>
    <w:uiPriority w:val="0"/>
    <w:pPr>
      <w:spacing w:line="660" w:lineRule="exact"/>
      <w:ind w:firstLine="720" w:firstLineChars="200"/>
    </w:pPr>
    <w:rPr>
      <w:rFonts w:ascii="Calibri" w:hAnsi="Calibri" w:eastAsia="楷体_GB2312" w:cs="Calibri"/>
      <w:sz w:val="36"/>
      <w:szCs w:val="36"/>
    </w:rPr>
  </w:style>
  <w:style w:type="character" w:customStyle="1" w:styleId="13">
    <w:name w:val="font71"/>
    <w:basedOn w:val="8"/>
    <w:qFormat/>
    <w:uiPriority w:val="0"/>
    <w:rPr>
      <w:rFonts w:ascii="Dialog . plain" w:hAnsi="Dialog . plain" w:eastAsia="Dialog . plain" w:cs="Dialog . plain"/>
      <w:color w:val="000000"/>
      <w:sz w:val="22"/>
      <w:szCs w:val="22"/>
      <w:u w:val="none"/>
    </w:rPr>
  </w:style>
  <w:style w:type="character" w:customStyle="1" w:styleId="14">
    <w:name w:val="font81"/>
    <w:basedOn w:val="8"/>
    <w:qFormat/>
    <w:uiPriority w:val="0"/>
    <w:rPr>
      <w:rFonts w:ascii="Dialog . bold" w:hAnsi="Dialog . bold" w:eastAsia="Dialog . bold" w:cs="Dialog . bold"/>
      <w:b/>
      <w:bCs/>
      <w:color w:val="000000"/>
      <w:sz w:val="22"/>
      <w:szCs w:val="22"/>
      <w:u w:val="none"/>
    </w:rPr>
  </w:style>
  <w:style w:type="paragraph" w:customStyle="1" w:styleId="15">
    <w:name w:val="BodyTextIndent2"/>
    <w:basedOn w:val="1"/>
    <w:next w:val="1"/>
    <w:qFormat/>
    <w:uiPriority w:val="99"/>
    <w:pPr>
      <w:spacing w:before="100" w:beforeAutospacing="1" w:after="120" w:line="480" w:lineRule="auto"/>
      <w:ind w:left="420" w:leftChars="200"/>
      <w:textAlignment w:val="baseline"/>
    </w:pPr>
    <w:rPr>
      <w:rFonts w:ascii="Times New Roman" w:hAnsi="Times New Roman" w:cs="Times New Roman"/>
    </w:rPr>
  </w:style>
  <w:style w:type="character" w:customStyle="1" w:styleId="16">
    <w:name w:val="font91"/>
    <w:basedOn w:val="8"/>
    <w:qFormat/>
    <w:uiPriority w:val="0"/>
    <w:rPr>
      <w:rFonts w:ascii="Dialog . bold" w:hAnsi="Dialog . bold" w:eastAsia="Dialog . bold" w:cs="Dialog . bold"/>
      <w:b/>
      <w:bC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5011</Words>
  <Characters>5344</Characters>
  <Lines>0</Lines>
  <Paragraphs>0</Paragraphs>
  <TotalTime>3</TotalTime>
  <ScaleCrop>false</ScaleCrop>
  <LinksUpToDate>false</LinksUpToDate>
  <CharactersWithSpaces>5421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2022-04-16T15:41:00Z</dcterms:created>
  <dc:creator>Administrator</dc:creator>
  <cp:lastModifiedBy>碧云天</cp:lastModifiedBy>
  <cp:lastPrinted>2024-02-29T14:20:00Z</cp:lastPrinted>
  <dcterms:modified xsi:type="dcterms:W3CDTF">2025-05-16T01:51:55Z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6FBB292B3BC64388A65FC7AE8CD7C3B8_13</vt:lpwstr>
  </property>
  <property fmtid="{D5CDD505-2E9C-101B-9397-08002B2CF9AE}" pid="4" name="KSOTemplateDocerSaveRecord">
    <vt:lpwstr>eyJoZGlkIjoiNzI2ZGI0OGUzMDAzMzk0YmE1OTYyMDVlZGMwMmYyODYiLCJ1c2VySWQiOiIzNjIzMDEzMzQifQ==</vt:lpwstr>
  </property>
</Properties>
</file>