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B0DC4">
      <w:pPr>
        <w:spacing w:line="600" w:lineRule="exact"/>
        <w:jc w:val="both"/>
        <w:outlineLvl w:val="0"/>
        <w:rPr>
          <w:rFonts w:hint="eastAsia" w:ascii="仿宋_GB2312" w:hAnsi="仿宋_GB2312" w:eastAsia="仿宋_GB2312" w:cs="仿宋_GB2312"/>
          <w:color w:val="auto"/>
          <w:sz w:val="32"/>
          <w:szCs w:val="32"/>
          <w:highlight w:val="none"/>
          <w:lang w:val="en-US" w:eastAsia="zh-CN"/>
        </w:rPr>
      </w:pPr>
      <w:bookmarkStart w:id="0" w:name="_Toc15396475"/>
      <w:bookmarkStart w:id="1" w:name="_Toc15377425"/>
      <w:bookmarkStart w:id="2" w:name="_Toc15377193"/>
      <w:bookmarkStart w:id="3" w:name="_Toc15396597"/>
      <w:bookmarkStart w:id="4" w:name="_Toc15378441"/>
      <w:bookmarkStart w:id="5" w:name="_Toc15306267"/>
    </w:p>
    <w:p w14:paraId="0F6DE30B">
      <w:pPr>
        <w:spacing w:line="600" w:lineRule="exact"/>
        <w:jc w:val="center"/>
        <w:outlineLvl w:val="9"/>
        <w:rPr>
          <w:rFonts w:ascii="方正小标宋简体" w:hAnsi="宋体" w:eastAsia="方正小标宋简体"/>
          <w:color w:val="auto"/>
          <w:sz w:val="72"/>
          <w:szCs w:val="72"/>
          <w:highlight w:val="none"/>
        </w:rPr>
      </w:pPr>
    </w:p>
    <w:p w14:paraId="79AAC37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8070"/>
      <w:bookmarkStart w:id="7" w:name="_Toc6021"/>
    </w:p>
    <w:p w14:paraId="09E421CC">
      <w:pPr>
        <w:adjustRightInd w:val="0"/>
        <w:snapToGrid w:val="0"/>
        <w:spacing w:line="360" w:lineRule="auto"/>
        <w:jc w:val="both"/>
        <w:outlineLvl w:val="0"/>
        <w:rPr>
          <w:rFonts w:hint="eastAsia" w:ascii="方正小标宋简体" w:hAnsi="方正小标宋简体" w:eastAsia="方正小标宋简体" w:cs="方正小标宋简体"/>
          <w:color w:val="auto"/>
          <w:sz w:val="72"/>
          <w:szCs w:val="72"/>
          <w:highlight w:val="none"/>
        </w:rPr>
      </w:pPr>
    </w:p>
    <w:p w14:paraId="7F4DC07B">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23</w:t>
      </w:r>
      <w:r>
        <w:rPr>
          <w:rFonts w:hint="eastAsia" w:ascii="方正小标宋简体" w:hAnsi="方正小标宋简体" w:eastAsia="方正小标宋简体" w:cs="方正小标宋简体"/>
          <w:color w:val="auto"/>
          <w:sz w:val="52"/>
          <w:szCs w:val="52"/>
          <w:highlight w:val="none"/>
        </w:rPr>
        <w:t>年度</w:t>
      </w:r>
      <w:bookmarkEnd w:id="0"/>
      <w:bookmarkEnd w:id="1"/>
      <w:bookmarkEnd w:id="2"/>
      <w:bookmarkEnd w:id="3"/>
      <w:bookmarkEnd w:id="4"/>
      <w:bookmarkEnd w:id="6"/>
      <w:bookmarkEnd w:id="7"/>
    </w:p>
    <w:p w14:paraId="4F901CA1">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52"/>
          <w:szCs w:val="52"/>
          <w:highlight w:val="none"/>
          <w:lang w:eastAsia="zh-CN"/>
          <w14:textFill>
            <w14:solidFill>
              <w14:schemeClr w14:val="tx1"/>
            </w14:solidFill>
          </w14:textFill>
        </w:rPr>
      </w:pPr>
      <w:bookmarkStart w:id="8" w:name="_Toc31108"/>
      <w:bookmarkStart w:id="9" w:name="_Toc9068"/>
      <w:bookmarkStart w:id="10" w:name="_Toc15396598"/>
      <w:bookmarkStart w:id="11" w:name="_Toc15378442"/>
      <w:bookmarkStart w:id="12" w:name="_Toc15377194"/>
      <w:bookmarkStart w:id="13" w:name="_Toc15396476"/>
      <w:bookmarkStart w:id="14" w:name="_Toc15377426"/>
      <w:r>
        <w:rPr>
          <w:rFonts w:hint="eastAsia" w:ascii="方正小标宋简体" w:hAnsi="方正小标宋简体" w:eastAsia="方正小标宋简体" w:cs="方正小标宋简体"/>
          <w:color w:val="000000" w:themeColor="text1"/>
          <w:sz w:val="52"/>
          <w:szCs w:val="52"/>
          <w:highlight w:val="none"/>
          <w:lang w:eastAsia="zh-CN"/>
          <w14:textFill>
            <w14:solidFill>
              <w14:schemeClr w14:val="tx1"/>
            </w14:solidFill>
          </w14:textFill>
        </w:rPr>
        <w:t>峨边彝族自治县</w:t>
      </w:r>
      <w:bookmarkEnd w:id="5"/>
      <w:bookmarkStart w:id="15" w:name="_Toc15306268"/>
      <w:r>
        <w:rPr>
          <w:rFonts w:hint="eastAsia" w:ascii="方正小标宋简体" w:hAnsi="方正小标宋简体" w:eastAsia="方正小标宋简体" w:cs="方正小标宋简体"/>
          <w:color w:val="000000" w:themeColor="text1"/>
          <w:sz w:val="52"/>
          <w:szCs w:val="52"/>
          <w:highlight w:val="none"/>
          <w:lang w:eastAsia="zh-CN"/>
          <w14:textFill>
            <w14:solidFill>
              <w14:schemeClr w14:val="tx1"/>
            </w14:solidFill>
          </w14:textFill>
        </w:rPr>
        <w:t>统计局</w:t>
      </w:r>
      <w:bookmarkEnd w:id="8"/>
      <w:bookmarkEnd w:id="9"/>
    </w:p>
    <w:p w14:paraId="57EB1BB4">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52"/>
          <w:szCs w:val="52"/>
          <w:highlight w:val="none"/>
          <w:lang w:eastAsia="zh-CN"/>
          <w14:textFill>
            <w14:solidFill>
              <w14:schemeClr w14:val="tx1"/>
            </w14:solidFill>
          </w14:textFill>
        </w:rPr>
      </w:pPr>
      <w:bookmarkStart w:id="16" w:name="_Toc17207"/>
      <w:bookmarkStart w:id="17" w:name="_Toc2143"/>
      <w:r>
        <w:rPr>
          <w:rFonts w:hint="eastAsia" w:ascii="方正小标宋简体" w:hAnsi="方正小标宋简体" w:eastAsia="方正小标宋简体" w:cs="方正小标宋简体"/>
          <w:color w:val="000000" w:themeColor="text1"/>
          <w:sz w:val="52"/>
          <w:szCs w:val="52"/>
          <w:highlight w:val="none"/>
          <w:lang w:val="en-US" w:eastAsia="zh-CN"/>
          <w14:textFill>
            <w14:solidFill>
              <w14:schemeClr w14:val="tx1"/>
            </w14:solidFill>
          </w14:textFill>
        </w:rPr>
        <w:t>单位</w:t>
      </w:r>
      <w:r>
        <w:rPr>
          <w:rFonts w:hint="eastAsia" w:ascii="方正小标宋简体" w:hAnsi="方正小标宋简体" w:eastAsia="方正小标宋简体" w:cs="方正小标宋简体"/>
          <w:color w:val="000000" w:themeColor="text1"/>
          <w:sz w:val="52"/>
          <w:szCs w:val="52"/>
          <w:highlight w:val="none"/>
          <w14:textFill>
            <w14:solidFill>
              <w14:schemeClr w14:val="tx1"/>
            </w14:solidFill>
          </w14:textFill>
        </w:rPr>
        <w:t>决算</w:t>
      </w:r>
      <w:bookmarkEnd w:id="10"/>
      <w:bookmarkEnd w:id="11"/>
      <w:bookmarkEnd w:id="12"/>
      <w:bookmarkEnd w:id="13"/>
      <w:bookmarkEnd w:id="14"/>
      <w:bookmarkEnd w:id="15"/>
      <w:bookmarkEnd w:id="16"/>
      <w:bookmarkEnd w:id="17"/>
    </w:p>
    <w:p w14:paraId="187CFB4F">
      <w:pPr>
        <w:adjustRightInd w:val="0"/>
        <w:snapToGrid w:val="0"/>
        <w:spacing w:line="360" w:lineRule="auto"/>
        <w:jc w:val="center"/>
        <w:outlineLvl w:val="0"/>
        <w:rPr>
          <w:rFonts w:ascii="方正小标宋简体" w:hAnsi="宋体" w:eastAsia="方正小标宋简体"/>
          <w:color w:val="000000" w:themeColor="text1"/>
          <w:sz w:val="52"/>
          <w:szCs w:val="52"/>
          <w:highlight w:val="none"/>
          <w14:textFill>
            <w14:solidFill>
              <w14:schemeClr w14:val="tx1"/>
            </w14:solidFill>
          </w14:textFill>
        </w:rPr>
      </w:pPr>
    </w:p>
    <w:p w14:paraId="1E0A8F6D">
      <w:pPr>
        <w:widowControl/>
        <w:adjustRightInd w:val="0"/>
        <w:snapToGrid w:val="0"/>
        <w:spacing w:line="440" w:lineRule="exact"/>
        <w:jc w:val="left"/>
        <w:rPr>
          <w:rFonts w:ascii="仿宋" w:hAnsi="仿宋" w:eastAsia="仿宋"/>
          <w:b/>
          <w:bCs/>
          <w:color w:val="auto"/>
          <w:sz w:val="44"/>
          <w:szCs w:val="44"/>
          <w:highlight w:val="yellow"/>
        </w:rPr>
      </w:pPr>
    </w:p>
    <w:p w14:paraId="7C358CE4">
      <w:pPr>
        <w:widowControl/>
        <w:spacing w:line="440" w:lineRule="exact"/>
        <w:jc w:val="both"/>
        <w:rPr>
          <w:rFonts w:ascii="仿宋" w:hAnsi="仿宋" w:eastAsia="仿宋"/>
          <w:b/>
          <w:bCs/>
          <w:color w:val="auto"/>
          <w:sz w:val="44"/>
          <w:szCs w:val="44"/>
          <w:highlight w:val="yellow"/>
        </w:rPr>
        <w:sectPr>
          <w:footerReference r:id="rId4" w:type="first"/>
          <w:footerReference r:id="rId3" w:type="default"/>
          <w:pgSz w:w="11906" w:h="16839"/>
          <w:pgMar w:top="1431" w:right="1373" w:bottom="1373" w:left="1479" w:header="0" w:footer="1208" w:gutter="0"/>
          <w:cols w:space="720" w:num="1"/>
        </w:sectPr>
      </w:pPr>
      <w:bookmarkStart w:id="18" w:name="_Toc15377196"/>
      <w:bookmarkStart w:id="19" w:name="_Toc15396599"/>
      <w:r>
        <w:rPr>
          <w:rFonts w:ascii="仿宋" w:hAnsi="仿宋" w:eastAsia="仿宋"/>
          <w:b/>
          <w:bCs/>
          <w:color w:val="auto"/>
          <w:sz w:val="44"/>
          <w:szCs w:val="44"/>
          <w:highlight w:val="yellow"/>
        </w:rPr>
        <w:br w:type="page"/>
      </w:r>
    </w:p>
    <w:p w14:paraId="2C4D36D0">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仿宋_GB2312" w:hAnsi="仿宋_GB2312" w:eastAsia="仿宋_GB2312" w:cs="仿宋_GB2312"/>
          <w:b w:val="0"/>
          <w:color w:val="auto"/>
          <w:sz w:val="40"/>
          <w:szCs w:val="40"/>
          <w:highlight w:val="none"/>
        </w:rPr>
      </w:pPr>
      <w:bookmarkStart w:id="20" w:name="_Toc2154"/>
      <w:bookmarkStart w:id="21" w:name="_Toc12028"/>
      <w:r>
        <w:rPr>
          <w:rFonts w:hint="eastAsia" w:ascii="仿宋_GB2312" w:hAnsi="仿宋_GB2312" w:eastAsia="仿宋_GB2312" w:cs="仿宋_GB2312"/>
          <w:b w:val="0"/>
          <w:color w:val="auto"/>
          <w:sz w:val="44"/>
          <w:szCs w:val="44"/>
          <w:highlight w:val="none"/>
        </w:rPr>
        <w:t xml:space="preserve">目 </w:t>
      </w:r>
      <w:r>
        <w:rPr>
          <w:rFonts w:hint="eastAsia" w:ascii="仿宋_GB2312" w:hAnsi="仿宋_GB2312" w:eastAsia="仿宋_GB2312" w:cs="仿宋_GB2312"/>
          <w:b w:val="0"/>
          <w:color w:val="auto"/>
          <w:sz w:val="44"/>
          <w:szCs w:val="44"/>
          <w:highlight w:val="none"/>
          <w:lang w:val="en-US" w:eastAsia="zh-CN"/>
        </w:rPr>
        <w:t xml:space="preserve"> </w:t>
      </w:r>
      <w:r>
        <w:rPr>
          <w:rFonts w:hint="eastAsia" w:ascii="仿宋_GB2312" w:hAnsi="仿宋_GB2312" w:eastAsia="仿宋_GB2312" w:cs="仿宋_GB2312"/>
          <w:b w:val="0"/>
          <w:color w:val="auto"/>
          <w:sz w:val="44"/>
          <w:szCs w:val="44"/>
          <w:highlight w:val="none"/>
        </w:rPr>
        <w:t>录</w:t>
      </w:r>
    </w:p>
    <w:p w14:paraId="1797594F">
      <w:pPr>
        <w:pStyle w:val="3"/>
        <w:keepNext/>
        <w:keepLines/>
        <w:pageBreakBefore w:val="0"/>
        <w:widowControl w:val="0"/>
        <w:kinsoku/>
        <w:wordWrap/>
        <w:overflowPunct/>
        <w:topLinePunct w:val="0"/>
        <w:autoSpaceDE/>
        <w:autoSpaceDN/>
        <w:bidi w:val="0"/>
        <w:adjustRightInd/>
        <w:snapToGrid/>
        <w:spacing w:before="0" w:after="0" w:line="460" w:lineRule="exact"/>
        <w:ind w:firstLine="1920" w:firstLineChars="600"/>
        <w:jc w:val="left"/>
        <w:textAlignment w:val="auto"/>
        <w:rPr>
          <w:rFonts w:hint="default"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eastAsia="zh-CN"/>
        </w:rPr>
        <w:t>公开时间：</w:t>
      </w:r>
      <w:r>
        <w:rPr>
          <w:rFonts w:hint="eastAsia" w:ascii="仿宋_GB2312" w:hAnsi="仿宋_GB2312" w:eastAsia="仿宋_GB2312" w:cs="仿宋_GB2312"/>
          <w:b w:val="0"/>
          <w:color w:val="auto"/>
          <w:sz w:val="32"/>
          <w:szCs w:val="32"/>
          <w:highlight w:val="none"/>
          <w:lang w:val="en-US" w:eastAsia="zh-CN"/>
        </w:rPr>
        <w:t>2024年10月28日</w:t>
      </w:r>
    </w:p>
    <w:p w14:paraId="6BE62653">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rPr>
        <w:t>第一部分</w:t>
      </w:r>
      <w:r>
        <w:rPr>
          <w:rFonts w:hint="eastAsia" w:ascii="仿宋_GB2312" w:hAnsi="仿宋_GB2312" w:eastAsia="仿宋_GB2312" w:cs="仿宋_GB2312"/>
          <w:b w:val="0"/>
          <w:color w:val="auto"/>
          <w:sz w:val="32"/>
          <w:szCs w:val="32"/>
          <w:highlight w:val="none"/>
          <w:lang w:val="en-US" w:eastAsia="zh-CN"/>
        </w:rPr>
        <w:t xml:space="preserve"> </w:t>
      </w:r>
      <w:r>
        <w:rPr>
          <w:rFonts w:hint="eastAsia" w:ascii="仿宋_GB2312" w:hAnsi="仿宋_GB2312" w:eastAsia="仿宋_GB2312" w:cs="仿宋_GB2312"/>
          <w:b w:val="0"/>
          <w:color w:val="auto"/>
          <w:sz w:val="32"/>
          <w:szCs w:val="32"/>
          <w:highlight w:val="none"/>
          <w:lang w:eastAsia="zh-CN"/>
        </w:rPr>
        <w:t>单位</w:t>
      </w:r>
      <w:r>
        <w:rPr>
          <w:rFonts w:hint="eastAsia" w:ascii="仿宋_GB2312" w:hAnsi="仿宋_GB2312" w:eastAsia="仿宋_GB2312" w:cs="仿宋_GB2312"/>
          <w:b w:val="0"/>
          <w:color w:val="auto"/>
          <w:sz w:val="32"/>
          <w:szCs w:val="32"/>
          <w:highlight w:val="none"/>
        </w:rPr>
        <w:t>概况..........................</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4</w:t>
      </w:r>
    </w:p>
    <w:p w14:paraId="1C878418">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一、</w:t>
      </w:r>
      <w:r>
        <w:rPr>
          <w:rFonts w:hint="eastAsia" w:ascii="仿宋_GB2312" w:hAnsi="仿宋_GB2312" w:eastAsia="仿宋_GB2312" w:cs="仿宋_GB2312"/>
          <w:b w:val="0"/>
          <w:color w:val="auto"/>
          <w:sz w:val="32"/>
          <w:szCs w:val="32"/>
          <w:highlight w:val="none"/>
          <w:lang w:eastAsia="zh-CN"/>
        </w:rPr>
        <w:t>主要</w:t>
      </w:r>
      <w:r>
        <w:rPr>
          <w:rFonts w:hint="eastAsia" w:ascii="仿宋_GB2312" w:hAnsi="仿宋_GB2312" w:eastAsia="仿宋_GB2312" w:cs="仿宋_GB2312"/>
          <w:b w:val="0"/>
          <w:color w:val="auto"/>
          <w:sz w:val="32"/>
          <w:szCs w:val="32"/>
          <w:highlight w:val="none"/>
        </w:rPr>
        <w:t>职责..............................</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.4</w:t>
      </w:r>
    </w:p>
    <w:p w14:paraId="01B11A74">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二、机构设置..............................</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.5</w:t>
      </w:r>
    </w:p>
    <w:p w14:paraId="50C180C4">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第二部分 202</w:t>
      </w:r>
      <w:r>
        <w:rPr>
          <w:rFonts w:hint="eastAsia" w:ascii="仿宋_GB2312" w:hAnsi="仿宋_GB2312" w:eastAsia="仿宋_GB2312" w:cs="仿宋_GB2312"/>
          <w:b w:val="0"/>
          <w:color w:val="auto"/>
          <w:sz w:val="32"/>
          <w:szCs w:val="32"/>
          <w:highlight w:val="none"/>
          <w:lang w:val="en-US" w:eastAsia="zh-CN"/>
        </w:rPr>
        <w:t>3</w:t>
      </w:r>
      <w:r>
        <w:rPr>
          <w:rFonts w:hint="eastAsia" w:ascii="仿宋_GB2312" w:hAnsi="仿宋_GB2312" w:eastAsia="仿宋_GB2312" w:cs="仿宋_GB2312"/>
          <w:b w:val="0"/>
          <w:color w:val="auto"/>
          <w:sz w:val="32"/>
          <w:szCs w:val="32"/>
          <w:highlight w:val="none"/>
        </w:rPr>
        <w:t>年度</w:t>
      </w:r>
      <w:r>
        <w:rPr>
          <w:rFonts w:hint="eastAsia" w:ascii="仿宋_GB2312" w:hAnsi="仿宋_GB2312" w:eastAsia="仿宋_GB2312" w:cs="仿宋_GB2312"/>
          <w:b w:val="0"/>
          <w:color w:val="auto"/>
          <w:sz w:val="32"/>
          <w:szCs w:val="32"/>
          <w:highlight w:val="none"/>
          <w:lang w:eastAsia="zh-CN"/>
        </w:rPr>
        <w:t>单位</w:t>
      </w:r>
      <w:r>
        <w:rPr>
          <w:rFonts w:hint="eastAsia" w:ascii="仿宋_GB2312" w:hAnsi="仿宋_GB2312" w:eastAsia="仿宋_GB2312" w:cs="仿宋_GB2312"/>
          <w:b w:val="0"/>
          <w:color w:val="auto"/>
          <w:sz w:val="32"/>
          <w:szCs w:val="32"/>
          <w:highlight w:val="none"/>
        </w:rPr>
        <w:t>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...6</w:t>
      </w:r>
    </w:p>
    <w:p w14:paraId="22A6693A">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一、收入支出决算总体情况说明...............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.6</w:t>
      </w:r>
    </w:p>
    <w:p w14:paraId="580CC121">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二、收入决算情况说明.......................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6</w:t>
      </w:r>
    </w:p>
    <w:p w14:paraId="188CAE81">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三、支出决算情况说明.......................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....7</w:t>
      </w:r>
    </w:p>
    <w:p w14:paraId="40681C58">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四、财政拨款收入支出决算总体情况说明......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..8</w:t>
      </w:r>
    </w:p>
    <w:p w14:paraId="4FCE3692">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五、一般公共预算财政拨款支出决算情况说明....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.8</w:t>
      </w:r>
    </w:p>
    <w:p w14:paraId="5E2BEF5C">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六、一般公共预算财政拨款基本支出决算情况说明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.11</w:t>
      </w:r>
    </w:p>
    <w:p w14:paraId="389F43A8">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七、财政拨款“三公”经费支出决算情况说明....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11</w:t>
      </w:r>
    </w:p>
    <w:p w14:paraId="492C1EAD">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八、政府性基金预算支出决算情况说明........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..13</w:t>
      </w:r>
    </w:p>
    <w:p w14:paraId="08AA7C12">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九、国有资本经营预算支出决算情况说明......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..13</w:t>
      </w:r>
    </w:p>
    <w:p w14:paraId="1B00CCFB">
      <w:pPr>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十、其他重要事项的情况说明................</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..13</w:t>
      </w:r>
    </w:p>
    <w:p w14:paraId="183B062F">
      <w:pPr>
        <w:pageBreakBefore w:val="0"/>
        <w:widowControl w:val="0"/>
        <w:kinsoku/>
        <w:wordWrap/>
        <w:overflowPunct/>
        <w:topLinePunct w:val="0"/>
        <w:autoSpaceDE/>
        <w:autoSpaceDN/>
        <w:bidi w:val="0"/>
        <w:adjustRightInd/>
        <w:snapToGrid/>
        <w:spacing w:line="700" w:lineRule="exact"/>
        <w:textAlignment w:val="auto"/>
        <w:rPr>
          <w:rFonts w:hint="default" w:ascii="仿宋_GB2312" w:hAnsi="仿宋_GB2312" w:eastAsia="仿宋_GB2312" w:cs="仿宋_GB2312"/>
          <w:b w:val="0"/>
          <w:color w:val="auto"/>
          <w:sz w:val="32"/>
          <w:szCs w:val="32"/>
          <w:highlight w:val="none"/>
          <w:lang w:val="en-US"/>
        </w:rPr>
      </w:pPr>
      <w:r>
        <w:rPr>
          <w:rFonts w:hint="eastAsia" w:ascii="仿宋_GB2312" w:hAnsi="仿宋_GB2312" w:eastAsia="仿宋_GB2312" w:cs="仿宋_GB2312"/>
          <w:b w:val="0"/>
          <w:color w:val="auto"/>
          <w:sz w:val="32"/>
          <w:szCs w:val="32"/>
          <w:highlight w:val="none"/>
        </w:rPr>
        <w:t>第三部分 名词解释...........................</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15</w:t>
      </w:r>
      <w:r>
        <w:rPr>
          <w:rFonts w:hint="eastAsia" w:ascii="仿宋_GB2312" w:hAnsi="仿宋_GB2312" w:eastAsia="仿宋_GB2312" w:cs="仿宋_GB2312"/>
          <w:b w:val="0"/>
          <w:color w:val="auto"/>
          <w:sz w:val="32"/>
          <w:szCs w:val="32"/>
          <w:highlight w:val="none"/>
        </w:rPr>
        <w:t>第四部分 附件</w:t>
      </w:r>
      <w:r>
        <w:rPr>
          <w:rFonts w:hint="eastAsia" w:ascii="仿宋_GB2312" w:hAnsi="仿宋_GB2312" w:eastAsia="仿宋_GB2312" w:cs="仿宋_GB2312"/>
          <w:b w:val="0"/>
          <w:color w:val="auto"/>
          <w:sz w:val="32"/>
          <w:szCs w:val="32"/>
          <w:highlight w:val="none"/>
        </w:rPr>
        <w:tab/>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18</w:t>
      </w:r>
    </w:p>
    <w:p w14:paraId="23952365">
      <w:pPr>
        <w:pageBreakBefore w:val="0"/>
        <w:widowControl w:val="0"/>
        <w:kinsoku/>
        <w:wordWrap/>
        <w:overflowPunct/>
        <w:topLinePunct w:val="0"/>
        <w:autoSpaceDE/>
        <w:autoSpaceDN/>
        <w:bidi w:val="0"/>
        <w:adjustRightInd/>
        <w:snapToGrid/>
        <w:spacing w:line="700" w:lineRule="exact"/>
        <w:textAlignment w:val="auto"/>
        <w:rPr>
          <w:rFonts w:hint="default" w:ascii="仿宋_GB2312" w:hAnsi="仿宋_GB2312" w:eastAsia="仿宋_GB2312" w:cs="仿宋_GB2312"/>
          <w:b w:val="0"/>
          <w:color w:val="auto"/>
          <w:sz w:val="32"/>
          <w:szCs w:val="32"/>
          <w:highlight w:val="none"/>
          <w:lang w:val="en-US"/>
        </w:rPr>
      </w:pPr>
      <w:r>
        <w:rPr>
          <w:rFonts w:hint="eastAsia" w:ascii="仿宋_GB2312" w:hAnsi="仿宋_GB2312" w:eastAsia="仿宋_GB2312" w:cs="仿宋_GB2312"/>
          <w:b w:val="0"/>
          <w:color w:val="auto"/>
          <w:sz w:val="32"/>
          <w:szCs w:val="32"/>
          <w:highlight w:val="none"/>
        </w:rPr>
        <w:t>第五部分 附表</w:t>
      </w:r>
      <w:r>
        <w:rPr>
          <w:rFonts w:hint="eastAsia" w:ascii="仿宋_GB2312" w:hAnsi="仿宋_GB2312" w:eastAsia="仿宋_GB2312" w:cs="仿宋_GB2312"/>
          <w:b w:val="0"/>
          <w:color w:val="auto"/>
          <w:sz w:val="32"/>
          <w:szCs w:val="32"/>
          <w:highlight w:val="none"/>
        </w:rPr>
        <w:tab/>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一、收入支出决算总表.........................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二、收入决算表........................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三、支出决算表...........................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四、财政拨款收入支出决算总表..............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五、财政拨款支出决算明细表..................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六、一般公共预算财政拨款支出决算表...........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p>
    <w:p w14:paraId="63E6C0D3">
      <w:pPr>
        <w:pageBreakBefore w:val="0"/>
        <w:widowControl w:val="0"/>
        <w:kinsoku/>
        <w:wordWrap/>
        <w:overflowPunct/>
        <w:topLinePunct w:val="0"/>
        <w:autoSpaceDE/>
        <w:autoSpaceDN/>
        <w:bidi w:val="0"/>
        <w:adjustRightInd/>
        <w:snapToGrid/>
        <w:spacing w:line="700" w:lineRule="exact"/>
        <w:textAlignment w:val="auto"/>
        <w:rPr>
          <w:rFonts w:hint="default" w:ascii="仿宋_GB2312" w:hAnsi="仿宋_GB2312" w:eastAsia="仿宋_GB2312" w:cs="仿宋_GB2312"/>
          <w:b w:val="0"/>
          <w:color w:val="auto"/>
          <w:sz w:val="32"/>
          <w:szCs w:val="32"/>
          <w:highlight w:val="none"/>
          <w:lang w:val="en-US"/>
        </w:rPr>
      </w:pPr>
      <w:r>
        <w:rPr>
          <w:rFonts w:hint="eastAsia" w:ascii="仿宋_GB2312" w:hAnsi="仿宋_GB2312" w:eastAsia="仿宋_GB2312" w:cs="仿宋_GB2312"/>
          <w:b w:val="0"/>
          <w:color w:val="auto"/>
          <w:sz w:val="32"/>
          <w:szCs w:val="32"/>
          <w:highlight w:val="none"/>
        </w:rPr>
        <w:t>七、</w:t>
      </w:r>
      <w:r>
        <w:rPr>
          <w:rFonts w:hint="eastAsia" w:ascii="仿宋_GB2312" w:hAnsi="仿宋_GB2312" w:eastAsia="仿宋_GB2312" w:cs="仿宋_GB2312"/>
          <w:b w:val="0"/>
          <w:color w:val="auto"/>
          <w:spacing w:val="-6"/>
          <w:sz w:val="32"/>
          <w:szCs w:val="32"/>
          <w:highlight w:val="none"/>
        </w:rPr>
        <w:t>一般公共预算财政拨款支出决算明细表.......</w:t>
      </w:r>
      <w:r>
        <w:rPr>
          <w:rFonts w:hint="eastAsia" w:ascii="仿宋_GB2312" w:hAnsi="仿宋_GB2312" w:eastAsia="仿宋_GB2312" w:cs="仿宋_GB2312"/>
          <w:b w:val="0"/>
          <w:color w:val="auto"/>
          <w:spacing w:val="-6"/>
          <w:sz w:val="32"/>
          <w:szCs w:val="32"/>
          <w:highlight w:val="none"/>
          <w:lang w:val="en-US" w:eastAsia="zh-CN"/>
        </w:rPr>
        <w:t>.</w:t>
      </w:r>
      <w:r>
        <w:rPr>
          <w:rFonts w:hint="eastAsia" w:ascii="仿宋_GB2312" w:hAnsi="仿宋_GB2312" w:eastAsia="仿宋_GB2312" w:cs="仿宋_GB2312"/>
          <w:b w:val="0"/>
          <w:color w:val="auto"/>
          <w:spacing w:val="-6"/>
          <w:sz w:val="32"/>
          <w:szCs w:val="32"/>
          <w:highlight w:val="none"/>
        </w:rPr>
        <w:t>.</w:t>
      </w:r>
      <w:r>
        <w:rPr>
          <w:rFonts w:hint="eastAsia" w:ascii="仿宋_GB2312" w:hAnsi="仿宋_GB2312" w:eastAsia="仿宋_GB2312" w:cs="仿宋_GB2312"/>
          <w:b w:val="0"/>
          <w:color w:val="auto"/>
          <w:spacing w:val="-6"/>
          <w:sz w:val="32"/>
          <w:szCs w:val="32"/>
          <w:highlight w:val="none"/>
          <w:lang w:val="en-US" w:eastAsia="zh-CN"/>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八、一般公共预算财政拨款基本支出决算表.....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九、一般公共预算财政拨款项目支出决算表........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p>
    <w:p w14:paraId="7B117E4F">
      <w:pPr>
        <w:pageBreakBefore w:val="0"/>
        <w:widowControl w:val="0"/>
        <w:kinsoku/>
        <w:wordWrap/>
        <w:overflowPunct/>
        <w:topLinePunct w:val="0"/>
        <w:autoSpaceDE/>
        <w:autoSpaceDN/>
        <w:bidi w:val="0"/>
        <w:adjustRightInd/>
        <w:snapToGrid/>
        <w:spacing w:line="700" w:lineRule="exact"/>
        <w:textAlignment w:val="auto"/>
        <w:rPr>
          <w:rFonts w:hint="default" w:ascii="仿宋_GB2312" w:hAnsi="仿宋_GB2312" w:eastAsia="仿宋_GB2312" w:cs="仿宋_GB2312"/>
          <w:b w:val="0"/>
          <w:color w:val="auto"/>
          <w:sz w:val="32"/>
          <w:szCs w:val="32"/>
          <w:highlight w:val="none"/>
          <w:lang w:val="en-US"/>
        </w:rPr>
      </w:pPr>
      <w:r>
        <w:rPr>
          <w:rFonts w:hint="eastAsia" w:ascii="仿宋_GB2312" w:hAnsi="仿宋_GB2312" w:eastAsia="仿宋_GB2312" w:cs="仿宋_GB2312"/>
          <w:b w:val="0"/>
          <w:color w:val="auto"/>
          <w:sz w:val="32"/>
          <w:szCs w:val="32"/>
          <w:highlight w:val="none"/>
        </w:rPr>
        <w:t>十、政府性基金预算财政拨款收入支出决算表..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p>
    <w:p w14:paraId="6673772D">
      <w:pPr>
        <w:pageBreakBefore w:val="0"/>
        <w:widowControl w:val="0"/>
        <w:kinsoku/>
        <w:wordWrap/>
        <w:overflowPunct/>
        <w:topLinePunct w:val="0"/>
        <w:autoSpaceDE/>
        <w:autoSpaceDN/>
        <w:bidi w:val="0"/>
        <w:adjustRightInd/>
        <w:snapToGrid/>
        <w:spacing w:line="700" w:lineRule="exact"/>
        <w:textAlignment w:val="auto"/>
        <w:rPr>
          <w:rFonts w:hint="eastAsia" w:ascii="黑体" w:hAnsi="黑体" w:eastAsia="黑体"/>
          <w:b w:val="0"/>
          <w:color w:val="auto"/>
          <w:highlight w:val="none"/>
        </w:rPr>
      </w:pPr>
      <w:r>
        <w:rPr>
          <w:rFonts w:hint="eastAsia" w:ascii="仿宋_GB2312" w:hAnsi="仿宋_GB2312" w:eastAsia="仿宋_GB2312" w:cs="仿宋_GB2312"/>
          <w:b w:val="0"/>
          <w:color w:val="auto"/>
          <w:sz w:val="32"/>
          <w:szCs w:val="32"/>
          <w:highlight w:val="none"/>
        </w:rPr>
        <w:t>十一、国有资本经营预算财政拨款收入支出决算表.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十二、国有资本经营预算财政拨款支出决算表.....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十三、财政拨款“三公”经费支出决算表.........</w:t>
      </w:r>
      <w:r>
        <w:rPr>
          <w:rFonts w:hint="eastAsia" w:ascii="仿宋_GB2312" w:hAnsi="仿宋_GB2312" w:eastAsia="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23</w:t>
      </w:r>
      <w:r>
        <w:rPr>
          <w:rFonts w:hint="eastAsia" w:ascii="仿宋_GB2312" w:hAnsi="仿宋_GB2312" w:eastAsia="仿宋_GB2312" w:cs="仿宋_GB2312"/>
          <w:b w:val="0"/>
          <w:color w:val="auto"/>
          <w:sz w:val="32"/>
          <w:szCs w:val="32"/>
          <w:highlight w:val="none"/>
        </w:rPr>
        <w:tab/>
      </w:r>
    </w:p>
    <w:p w14:paraId="4C3E77AC">
      <w:pPr>
        <w:pStyle w:val="2"/>
        <w:rPr>
          <w:rFonts w:hint="eastAsia" w:ascii="黑体" w:hAnsi="黑体" w:eastAsia="黑体"/>
          <w:b w:val="0"/>
          <w:color w:val="auto"/>
          <w:highlight w:val="none"/>
        </w:rPr>
      </w:pPr>
    </w:p>
    <w:p w14:paraId="17223162">
      <w:pPr>
        <w:rPr>
          <w:rFonts w:hint="eastAsia" w:ascii="黑体" w:hAnsi="黑体" w:eastAsia="黑体"/>
          <w:b w:val="0"/>
          <w:color w:val="auto"/>
          <w:highlight w:val="none"/>
        </w:rPr>
      </w:pPr>
    </w:p>
    <w:p w14:paraId="7B309D45">
      <w:pPr>
        <w:pStyle w:val="2"/>
        <w:rPr>
          <w:rFonts w:hint="eastAsia" w:ascii="黑体" w:hAnsi="黑体" w:eastAsia="黑体"/>
          <w:b w:val="0"/>
          <w:color w:val="auto"/>
          <w:highlight w:val="none"/>
        </w:rPr>
      </w:pPr>
    </w:p>
    <w:p w14:paraId="4130BBD6">
      <w:pPr>
        <w:rPr>
          <w:rFonts w:hint="eastAsia" w:ascii="黑体" w:hAnsi="黑体" w:eastAsia="黑体"/>
          <w:b w:val="0"/>
          <w:color w:val="auto"/>
          <w:highlight w:val="none"/>
        </w:rPr>
      </w:pPr>
    </w:p>
    <w:p w14:paraId="4807466A">
      <w:pPr>
        <w:pStyle w:val="2"/>
        <w:rPr>
          <w:rFonts w:hint="eastAsia" w:ascii="黑体" w:hAnsi="黑体" w:eastAsia="黑体"/>
          <w:b w:val="0"/>
          <w:color w:val="auto"/>
          <w:highlight w:val="none"/>
        </w:rPr>
      </w:pPr>
    </w:p>
    <w:p w14:paraId="5E7CB649">
      <w:pPr>
        <w:rPr>
          <w:rFonts w:hint="eastAsia"/>
        </w:rPr>
      </w:pPr>
    </w:p>
    <w:p w14:paraId="4439AD34">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1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19"/>
          <w:rFonts w:hint="eastAsia" w:ascii="黑体" w:hAnsi="黑体" w:eastAsia="黑体"/>
          <w:b w:val="0"/>
          <w:bCs w:val="0"/>
          <w:color w:val="auto"/>
          <w:highlight w:val="none"/>
          <w:lang w:eastAsia="zh-CN"/>
        </w:rPr>
        <w:t>单位</w:t>
      </w:r>
      <w:r>
        <w:rPr>
          <w:rStyle w:val="19"/>
          <w:rFonts w:hint="eastAsia" w:ascii="黑体" w:hAnsi="黑体" w:eastAsia="黑体"/>
          <w:b w:val="0"/>
          <w:bCs w:val="0"/>
          <w:color w:val="auto"/>
          <w:highlight w:val="none"/>
        </w:rPr>
        <w:t>概况</w:t>
      </w:r>
      <w:bookmarkEnd w:id="18"/>
      <w:bookmarkEnd w:id="19"/>
      <w:bookmarkEnd w:id="20"/>
      <w:bookmarkEnd w:id="21"/>
    </w:p>
    <w:p w14:paraId="43E1E4A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黑体" w:eastAsia="黑体"/>
          <w:color w:val="auto"/>
          <w:sz w:val="32"/>
          <w:szCs w:val="32"/>
          <w:highlight w:val="none"/>
        </w:rPr>
      </w:pPr>
    </w:p>
    <w:p w14:paraId="1247F9D3">
      <w:pPr>
        <w:pStyle w:val="4"/>
        <w:pageBreakBefore w:val="0"/>
        <w:widowControl w:val="0"/>
        <w:numPr>
          <w:ilvl w:val="0"/>
          <w:numId w:val="0"/>
        </w:numPr>
        <w:kinsoku/>
        <w:wordWrap/>
        <w:overflowPunct/>
        <w:topLinePunct w:val="0"/>
        <w:autoSpaceDE/>
        <w:autoSpaceDN/>
        <w:bidi w:val="0"/>
        <w:adjustRightInd/>
        <w:snapToGrid/>
        <w:spacing w:before="0" w:after="0" w:line="600" w:lineRule="exact"/>
        <w:ind w:left="0" w:right="0" w:firstLine="640" w:firstLineChars="200"/>
        <w:textAlignment w:val="auto"/>
        <w:rPr>
          <w:rFonts w:hint="eastAsia" w:ascii="黑体" w:hAnsi="黑体" w:eastAsia="黑体"/>
          <w:b w:val="0"/>
          <w:color w:val="auto"/>
          <w:highlight w:val="none"/>
          <w:lang w:eastAsia="zh-CN"/>
        </w:rPr>
      </w:pPr>
      <w:bookmarkStart w:id="22" w:name="_Toc14905"/>
      <w:bookmarkStart w:id="23" w:name="_Toc31191"/>
      <w:r>
        <w:rPr>
          <w:rFonts w:hint="eastAsia" w:ascii="黑体" w:hAnsi="黑体" w:eastAsia="黑体" w:cstheme="majorBidi"/>
          <w:b w:val="0"/>
          <w:bCs/>
          <w:color w:val="auto"/>
          <w:kern w:val="2"/>
          <w:sz w:val="32"/>
          <w:szCs w:val="32"/>
          <w:lang w:val="en-US" w:eastAsia="zh-CN" w:bidi="ar-SA"/>
        </w:rPr>
        <w:t>一、主要</w:t>
      </w:r>
      <w:r>
        <w:rPr>
          <w:rFonts w:hint="eastAsia" w:ascii="黑体" w:hAnsi="黑体" w:eastAsia="黑体"/>
          <w:b w:val="0"/>
          <w:color w:val="auto"/>
          <w:highlight w:val="none"/>
          <w:lang w:eastAsia="zh-CN"/>
        </w:rPr>
        <w:t>职责</w:t>
      </w:r>
      <w:bookmarkEnd w:id="22"/>
      <w:bookmarkEnd w:id="23"/>
    </w:p>
    <w:p w14:paraId="12796FFF">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贯彻执行国家有关统计工作的</w:t>
      </w:r>
      <w:r>
        <w:rPr>
          <w:rFonts w:hint="eastAsia" w:hAnsi="仿宋_GB2312" w:cs="仿宋_GB2312"/>
          <w:spacing w:val="3"/>
          <w:sz w:val="32"/>
          <w:szCs w:val="32"/>
          <w:lang w:eastAsia="zh-CN"/>
        </w:rPr>
        <w:t>法律法规</w:t>
      </w:r>
      <w:r>
        <w:rPr>
          <w:rFonts w:hint="eastAsia" w:ascii="仿宋_GB2312" w:hAnsi="仿宋_GB2312" w:eastAsia="仿宋_GB2312" w:cs="仿宋_GB2312"/>
          <w:spacing w:val="3"/>
          <w:sz w:val="32"/>
          <w:szCs w:val="32"/>
        </w:rPr>
        <w:t>、草拟全县统计</w:t>
      </w:r>
      <w:r>
        <w:rPr>
          <w:rFonts w:hint="eastAsia" w:ascii="仿宋_GB2312" w:hAnsi="仿宋_GB2312" w:eastAsia="仿宋_GB2312" w:cs="仿宋_GB2312"/>
          <w:spacing w:val="10"/>
          <w:sz w:val="32"/>
          <w:szCs w:val="32"/>
        </w:rPr>
        <w:t>现代化建设规划和统计调查计划，组织领导和监督全县</w:t>
      </w:r>
      <w:r>
        <w:rPr>
          <w:rFonts w:hint="eastAsia" w:ascii="仿宋_GB2312" w:hAnsi="仿宋_GB2312" w:eastAsia="仿宋_GB2312" w:cs="仿宋_GB2312"/>
          <w:spacing w:val="9"/>
          <w:sz w:val="32"/>
          <w:szCs w:val="32"/>
        </w:rPr>
        <w:t>各乡镇、</w:t>
      </w:r>
      <w:r>
        <w:rPr>
          <w:rFonts w:hint="eastAsia" w:ascii="仿宋_GB2312" w:hAnsi="仿宋_GB2312" w:eastAsia="仿宋_GB2312" w:cs="仿宋_GB2312"/>
          <w:spacing w:val="10"/>
          <w:sz w:val="32"/>
          <w:szCs w:val="32"/>
        </w:rPr>
        <w:t>各部门的统计和国民经济核算工作，监督检查统计</w:t>
      </w:r>
      <w:r>
        <w:rPr>
          <w:rFonts w:hint="eastAsia" w:hAnsi="仿宋_GB2312" w:cs="仿宋_GB2312"/>
          <w:spacing w:val="10"/>
          <w:sz w:val="32"/>
          <w:szCs w:val="32"/>
          <w:lang w:eastAsia="zh-CN"/>
        </w:rPr>
        <w:t>法律法规</w:t>
      </w:r>
      <w:r>
        <w:rPr>
          <w:rFonts w:hint="eastAsia" w:ascii="仿宋_GB2312" w:hAnsi="仿宋_GB2312" w:eastAsia="仿宋_GB2312" w:cs="仿宋_GB2312"/>
          <w:spacing w:val="9"/>
          <w:sz w:val="32"/>
          <w:szCs w:val="32"/>
        </w:rPr>
        <w:t>的</w:t>
      </w:r>
      <w:r>
        <w:rPr>
          <w:rFonts w:hint="eastAsia" w:ascii="仿宋_GB2312" w:hAnsi="仿宋_GB2312" w:eastAsia="仿宋_GB2312" w:cs="仿宋_GB2312"/>
          <w:spacing w:val="-4"/>
          <w:sz w:val="32"/>
          <w:szCs w:val="32"/>
        </w:rPr>
        <w:t>实施。</w:t>
      </w:r>
    </w:p>
    <w:p w14:paraId="018DE470">
      <w:pPr>
        <w:pStyle w:val="6"/>
        <w:keepNext w:val="0"/>
        <w:keepLines w:val="0"/>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负责建立健全全县国民经济核算体系，建立和管理全县基本统计报表。</w:t>
      </w:r>
    </w:p>
    <w:p w14:paraId="59ABB8E3">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z w:val="32"/>
          <w:szCs w:val="32"/>
        </w:rPr>
      </w:pPr>
      <w:r>
        <w:rPr>
          <w:rFonts w:hint="eastAsia" w:hAnsi="仿宋_GB2312" w:cs="仿宋_GB2312"/>
          <w:spacing w:val="3"/>
          <w:sz w:val="32"/>
          <w:szCs w:val="32"/>
          <w:lang w:val="en-US" w:eastAsia="zh-CN"/>
        </w:rPr>
        <w:t>3.</w:t>
      </w:r>
      <w:r>
        <w:rPr>
          <w:rFonts w:hint="eastAsia" w:ascii="仿宋_GB2312" w:hAnsi="仿宋_GB2312" w:eastAsia="仿宋_GB2312" w:cs="仿宋_GB2312"/>
          <w:spacing w:val="3"/>
          <w:sz w:val="32"/>
          <w:szCs w:val="32"/>
        </w:rPr>
        <w:t>负责组织实施全县农林牧渔业、工业、建筑业</w:t>
      </w:r>
      <w:r>
        <w:rPr>
          <w:rFonts w:hint="eastAsia" w:ascii="仿宋_GB2312" w:hAnsi="仿宋_GB2312" w:eastAsia="仿宋_GB2312" w:cs="仿宋_GB2312"/>
          <w:spacing w:val="2"/>
          <w:sz w:val="32"/>
          <w:szCs w:val="32"/>
        </w:rPr>
        <w:t>、批发和零售业、住宿和餐饮业、房地产业等国民经济行业以及能源、投资、</w:t>
      </w:r>
      <w:r>
        <w:rPr>
          <w:rFonts w:hint="eastAsia" w:ascii="仿宋_GB2312" w:hAnsi="仿宋_GB2312" w:eastAsia="仿宋_GB2312" w:cs="仿宋_GB2312"/>
          <w:spacing w:val="8"/>
          <w:sz w:val="32"/>
          <w:szCs w:val="32"/>
        </w:rPr>
        <w:t>人口、收入、社会发展基本情况等领域的统计调查。</w:t>
      </w:r>
    </w:p>
    <w:p w14:paraId="2500C050">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监督检查统计</w:t>
      </w:r>
      <w:r>
        <w:rPr>
          <w:rFonts w:hint="eastAsia" w:hAnsi="仿宋_GB2312" w:cs="仿宋_GB2312"/>
          <w:spacing w:val="3"/>
          <w:sz w:val="32"/>
          <w:szCs w:val="32"/>
          <w:lang w:eastAsia="zh-CN"/>
        </w:rPr>
        <w:t>法律法规</w:t>
      </w:r>
      <w:r>
        <w:rPr>
          <w:rFonts w:hint="eastAsia" w:ascii="仿宋_GB2312" w:hAnsi="仿宋_GB2312" w:eastAsia="仿宋_GB2312" w:cs="仿宋_GB2312"/>
          <w:spacing w:val="3"/>
          <w:sz w:val="32"/>
          <w:szCs w:val="32"/>
        </w:rPr>
        <w:t>的贯彻执行，组织开展全县性的统计法规大检查。</w:t>
      </w:r>
    </w:p>
    <w:p w14:paraId="6B63BF6C">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情国力专项调查、投入产出调查以及社情民意调查； 汇总、整 理全县的基本统计资料；对全县国民经济、社会发展等情况进行统计分析和预测，向市统计局和县委、县政府及有关部门提供统计信息和咨询建议，向社会公众提供统计信息服务。</w:t>
      </w:r>
    </w:p>
    <w:p w14:paraId="7372F5CC">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9"/>
          <w:position w:val="21"/>
          <w:sz w:val="32"/>
          <w:szCs w:val="32"/>
          <w:lang w:eastAsia="zh-CN"/>
        </w:rPr>
      </w:pPr>
      <w:r>
        <w:rPr>
          <w:rFonts w:hint="eastAsia" w:ascii="仿宋_GB2312" w:hAnsi="仿宋_GB2312" w:eastAsia="仿宋_GB2312" w:cs="仿宋_GB2312"/>
          <w:spacing w:val="3"/>
          <w:sz w:val="32"/>
          <w:szCs w:val="32"/>
        </w:rPr>
        <w:t>6</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负责管理和组织峨边彝族自治县统计局普查中心和峨边彝族自治县统计局社情民意调查中心的相应工作，组织管理全县</w:t>
      </w:r>
      <w:r>
        <w:rPr>
          <w:rFonts w:hint="eastAsia" w:ascii="仿宋_GB2312" w:hAnsi="仿宋_GB2312" w:eastAsia="仿宋_GB2312" w:cs="仿宋_GB2312"/>
          <w:spacing w:val="3"/>
          <w:sz w:val="32"/>
          <w:szCs w:val="32"/>
          <w:lang w:eastAsia="zh-CN"/>
        </w:rPr>
        <w:t>统计专业资格考试和职务评审。</w:t>
      </w:r>
    </w:p>
    <w:p w14:paraId="495CCC61">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7</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负责全县统计信息化管理，建立健全和管理全县基本单位名录库，牵头构建全县信息化网络体系，建立健全全县统计数据 库系统、统计信息自动化系统和县级部门统计信息共享制度，指导地方统计信息化建设。</w:t>
      </w:r>
    </w:p>
    <w:p w14:paraId="239CCF31">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承担县政府公布的有关行政审批事项。</w:t>
      </w:r>
    </w:p>
    <w:p w14:paraId="13B4E121">
      <w:pPr>
        <w:pStyle w:val="6"/>
        <w:pageBreakBefore w:val="0"/>
        <w:widowControl w:val="0"/>
        <w:kinsoku/>
        <w:wordWrap/>
        <w:overflowPunct/>
        <w:topLinePunct w:val="0"/>
        <w:autoSpaceDE/>
        <w:autoSpaceDN/>
        <w:bidi w:val="0"/>
        <w:adjustRightInd/>
        <w:snapToGrid/>
        <w:spacing w:beforeLines="0" w:line="600" w:lineRule="exact"/>
        <w:ind w:left="0" w:right="0" w:firstLine="652" w:firstLineChars="200"/>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rPr>
        <w:t>9</w:t>
      </w:r>
      <w:r>
        <w:rPr>
          <w:rFonts w:hint="eastAsia" w:hAnsi="仿宋_GB2312" w:cs="仿宋_GB2312"/>
          <w:spacing w:val="3"/>
          <w:sz w:val="32"/>
          <w:szCs w:val="32"/>
          <w:lang w:val="en-US" w:eastAsia="zh-CN"/>
        </w:rPr>
        <w:t>.</w:t>
      </w:r>
      <w:r>
        <w:rPr>
          <w:rFonts w:hint="eastAsia" w:ascii="仿宋_GB2312" w:hAnsi="仿宋_GB2312" w:eastAsia="仿宋_GB2312" w:cs="仿宋_GB2312"/>
          <w:spacing w:val="3"/>
          <w:sz w:val="32"/>
          <w:szCs w:val="32"/>
        </w:rPr>
        <w:t>承办自治县委、县政府交办的其他事项。</w:t>
      </w:r>
    </w:p>
    <w:p w14:paraId="23E82BA1">
      <w:pPr>
        <w:pStyle w:val="4"/>
        <w:pageBreakBefore w:val="0"/>
        <w:widowControl w:val="0"/>
        <w:kinsoku/>
        <w:wordWrap/>
        <w:overflowPunct/>
        <w:topLinePunct w:val="0"/>
        <w:autoSpaceDE/>
        <w:autoSpaceDN/>
        <w:bidi w:val="0"/>
        <w:adjustRightInd/>
        <w:snapToGrid/>
        <w:spacing w:before="0" w:after="0" w:line="600" w:lineRule="exact"/>
        <w:ind w:left="0" w:right="0" w:firstLine="640" w:firstLineChars="200"/>
        <w:textAlignment w:val="auto"/>
        <w:rPr>
          <w:rStyle w:val="20"/>
          <w:rFonts w:hint="eastAsia" w:ascii="黑体" w:hAnsi="黑体" w:eastAsia="黑体" w:cs="黑体"/>
          <w:b w:val="0"/>
          <w:bCs w:val="0"/>
          <w:color w:val="auto"/>
          <w:sz w:val="32"/>
          <w:szCs w:val="32"/>
          <w:highlight w:val="none"/>
        </w:rPr>
      </w:pPr>
      <w:bookmarkStart w:id="24" w:name="_Toc14536"/>
      <w:bookmarkStart w:id="25" w:name="_Toc15377200"/>
      <w:bookmarkStart w:id="26" w:name="_Toc15396601"/>
      <w:bookmarkStart w:id="27" w:name="_Toc14944"/>
      <w:r>
        <w:rPr>
          <w:rFonts w:hint="eastAsia" w:ascii="黑体" w:hAnsi="黑体" w:eastAsia="黑体" w:cs="黑体"/>
          <w:b w:val="0"/>
          <w:color w:val="auto"/>
          <w:sz w:val="32"/>
          <w:szCs w:val="32"/>
          <w:highlight w:val="none"/>
        </w:rPr>
        <w:t>二、机</w:t>
      </w:r>
      <w:r>
        <w:rPr>
          <w:rStyle w:val="20"/>
          <w:rFonts w:hint="eastAsia" w:ascii="黑体" w:hAnsi="黑体" w:eastAsia="黑体" w:cs="黑体"/>
          <w:b w:val="0"/>
          <w:bCs w:val="0"/>
          <w:color w:val="auto"/>
          <w:sz w:val="32"/>
          <w:szCs w:val="32"/>
          <w:highlight w:val="none"/>
        </w:rPr>
        <w:t>构设置</w:t>
      </w:r>
      <w:bookmarkEnd w:id="24"/>
      <w:bookmarkEnd w:id="25"/>
      <w:bookmarkEnd w:id="26"/>
      <w:bookmarkEnd w:id="27"/>
    </w:p>
    <w:p w14:paraId="2A190127">
      <w:pPr>
        <w:pageBreakBefore w:val="0"/>
        <w:widowControl w:val="0"/>
        <w:shd w:val="clear" w:fill="FFFFFF" w:themeFill="background1"/>
        <w:kinsoku/>
        <w:wordWrap/>
        <w:overflowPunct/>
        <w:topLinePunct w:val="0"/>
        <w:autoSpaceDE/>
        <w:autoSpaceDN/>
        <w:bidi w:val="0"/>
        <w:adjustRightInd/>
        <w:snapToGrid/>
        <w:spacing w:line="600" w:lineRule="exact"/>
        <w:ind w:left="0" w:right="0" w:firstLine="652" w:firstLineChars="200"/>
        <w:textAlignment w:val="auto"/>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统计局下属二级预算单位2个，其中参照公务员法管理的事业单位1个，其他事业单位1个。</w:t>
      </w:r>
    </w:p>
    <w:p w14:paraId="471398EB">
      <w:pPr>
        <w:widowControl/>
        <w:jc w:val="both"/>
        <w:rPr>
          <w:rStyle w:val="19"/>
          <w:rFonts w:hint="eastAsia" w:ascii="黑体" w:hAnsi="黑体" w:eastAsia="黑体" w:cstheme="minorBidi"/>
          <w:b w:val="0"/>
          <w:bCs/>
          <w:color w:val="auto"/>
          <w:highlight w:val="none"/>
        </w:rPr>
      </w:pPr>
      <w:bookmarkStart w:id="28" w:name="_Toc15377204"/>
      <w:bookmarkStart w:id="29" w:name="_Toc15396602"/>
      <w:bookmarkStart w:id="30" w:name="_Toc2723"/>
      <w:bookmarkStart w:id="31" w:name="_Toc8216"/>
    </w:p>
    <w:p w14:paraId="6DD653D1">
      <w:pPr>
        <w:pStyle w:val="2"/>
        <w:rPr>
          <w:rStyle w:val="19"/>
          <w:rFonts w:hint="eastAsia" w:ascii="黑体" w:hAnsi="黑体" w:eastAsia="黑体" w:cstheme="minorBidi"/>
          <w:b w:val="0"/>
          <w:bCs/>
          <w:color w:val="auto"/>
          <w:highlight w:val="none"/>
        </w:rPr>
      </w:pPr>
    </w:p>
    <w:p w14:paraId="6A167002">
      <w:pPr>
        <w:rPr>
          <w:rStyle w:val="19"/>
          <w:rFonts w:hint="eastAsia" w:ascii="黑体" w:hAnsi="黑体" w:eastAsia="黑体" w:cstheme="minorBidi"/>
          <w:b w:val="0"/>
          <w:bCs/>
          <w:color w:val="auto"/>
          <w:highlight w:val="none"/>
        </w:rPr>
      </w:pPr>
    </w:p>
    <w:p w14:paraId="117121BA">
      <w:pPr>
        <w:pStyle w:val="2"/>
        <w:rPr>
          <w:rStyle w:val="19"/>
          <w:rFonts w:hint="eastAsia" w:ascii="黑体" w:hAnsi="黑体" w:eastAsia="黑体" w:cstheme="minorBidi"/>
          <w:b w:val="0"/>
          <w:bCs/>
          <w:color w:val="auto"/>
          <w:highlight w:val="none"/>
        </w:rPr>
      </w:pPr>
    </w:p>
    <w:p w14:paraId="480C523F">
      <w:pPr>
        <w:rPr>
          <w:rStyle w:val="19"/>
          <w:rFonts w:hint="eastAsia" w:ascii="黑体" w:hAnsi="黑体" w:eastAsia="黑体" w:cstheme="minorBidi"/>
          <w:b w:val="0"/>
          <w:bCs/>
          <w:color w:val="auto"/>
          <w:highlight w:val="none"/>
        </w:rPr>
      </w:pPr>
    </w:p>
    <w:p w14:paraId="3062CFF1">
      <w:pPr>
        <w:pStyle w:val="2"/>
        <w:rPr>
          <w:rStyle w:val="19"/>
          <w:rFonts w:hint="eastAsia" w:ascii="黑体" w:hAnsi="黑体" w:eastAsia="黑体" w:cstheme="minorBidi"/>
          <w:b w:val="0"/>
          <w:bCs/>
          <w:color w:val="auto"/>
          <w:highlight w:val="none"/>
        </w:rPr>
      </w:pPr>
    </w:p>
    <w:p w14:paraId="7A0E758F">
      <w:pPr>
        <w:rPr>
          <w:rStyle w:val="19"/>
          <w:rFonts w:hint="eastAsia" w:ascii="黑体" w:hAnsi="黑体" w:eastAsia="黑体" w:cstheme="minorBidi"/>
          <w:b w:val="0"/>
          <w:bCs/>
          <w:color w:val="auto"/>
          <w:highlight w:val="none"/>
        </w:rPr>
      </w:pPr>
    </w:p>
    <w:p w14:paraId="7B056087">
      <w:pPr>
        <w:pStyle w:val="2"/>
        <w:rPr>
          <w:rFonts w:hint="eastAsia"/>
        </w:rPr>
      </w:pPr>
    </w:p>
    <w:p w14:paraId="06EF2271">
      <w:pPr>
        <w:rPr>
          <w:rFonts w:hint="eastAsia"/>
        </w:rPr>
      </w:pPr>
    </w:p>
    <w:p w14:paraId="5DAA75F6">
      <w:pPr>
        <w:pStyle w:val="2"/>
        <w:rPr>
          <w:rFonts w:hint="eastAsia"/>
        </w:rPr>
      </w:pPr>
    </w:p>
    <w:p w14:paraId="1E066107">
      <w:pPr>
        <w:widowControl/>
        <w:ind w:firstLine="440" w:firstLineChars="100"/>
        <w:jc w:val="both"/>
        <w:rPr>
          <w:rStyle w:val="19"/>
          <w:rFonts w:hint="eastAsia" w:ascii="黑体" w:hAnsi="黑体" w:eastAsia="黑体" w:cstheme="minorBidi"/>
          <w:b w:val="0"/>
          <w:bCs/>
          <w:color w:val="auto"/>
          <w:highlight w:val="none"/>
        </w:rPr>
      </w:pPr>
    </w:p>
    <w:p w14:paraId="375332A3">
      <w:pPr>
        <w:widowControl/>
        <w:ind w:firstLine="440" w:firstLineChars="100"/>
        <w:jc w:val="both"/>
        <w:rPr>
          <w:rStyle w:val="19"/>
          <w:rFonts w:hint="eastAsia" w:ascii="黑体" w:hAnsi="黑体" w:eastAsia="黑体" w:cstheme="minorBidi"/>
          <w:b w:val="0"/>
          <w:bCs/>
          <w:color w:val="auto"/>
          <w:highlight w:val="none"/>
        </w:rPr>
      </w:pPr>
    </w:p>
    <w:p w14:paraId="00390C38">
      <w:pPr>
        <w:widowControl/>
        <w:ind w:firstLine="440" w:firstLineChars="100"/>
        <w:jc w:val="both"/>
        <w:rPr>
          <w:color w:val="auto"/>
          <w:highlight w:val="none"/>
        </w:rPr>
      </w:pPr>
      <w:r>
        <w:rPr>
          <w:rStyle w:val="19"/>
          <w:rFonts w:hint="eastAsia" w:ascii="黑体" w:hAnsi="黑体" w:eastAsia="黑体" w:cstheme="minorBidi"/>
          <w:b w:val="0"/>
          <w:bCs/>
          <w:color w:val="auto"/>
          <w:highlight w:val="none"/>
        </w:rPr>
        <w:t xml:space="preserve">第二部分 </w:t>
      </w:r>
      <w:r>
        <w:rPr>
          <w:rStyle w:val="19"/>
          <w:rFonts w:hint="eastAsia" w:ascii="黑体" w:hAnsi="黑体" w:eastAsia="黑体" w:cstheme="minorBidi"/>
          <w:b w:val="0"/>
          <w:bCs/>
          <w:color w:val="auto"/>
          <w:highlight w:val="none"/>
          <w:lang w:val="en-US" w:eastAsia="zh-CN"/>
        </w:rPr>
        <w:t>2023年度</w:t>
      </w:r>
      <w:r>
        <w:rPr>
          <w:rStyle w:val="19"/>
          <w:rFonts w:hint="eastAsia" w:ascii="黑体" w:hAnsi="黑体" w:eastAsia="黑体" w:cstheme="minorBidi"/>
          <w:b w:val="0"/>
          <w:bCs/>
          <w:color w:val="auto"/>
          <w:highlight w:val="none"/>
          <w:lang w:eastAsia="zh-CN"/>
        </w:rPr>
        <w:t>单位</w:t>
      </w:r>
      <w:r>
        <w:rPr>
          <w:rStyle w:val="19"/>
          <w:rFonts w:hint="eastAsia" w:ascii="黑体" w:hAnsi="黑体" w:eastAsia="黑体" w:cstheme="minorBidi"/>
          <w:b w:val="0"/>
          <w:bCs/>
          <w:color w:val="auto"/>
          <w:highlight w:val="none"/>
        </w:rPr>
        <w:t>决算情况说明</w:t>
      </w:r>
      <w:bookmarkEnd w:id="28"/>
      <w:bookmarkEnd w:id="29"/>
      <w:bookmarkEnd w:id="30"/>
      <w:bookmarkEnd w:id="31"/>
    </w:p>
    <w:p w14:paraId="2D95B5ED">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黑体" w:hAnsi="黑体" w:eastAsia="黑体"/>
          <w:color w:val="auto"/>
          <w:sz w:val="32"/>
          <w:szCs w:val="32"/>
          <w:highlight w:val="none"/>
          <w:lang w:eastAsia="zh-CN"/>
        </w:rPr>
      </w:pPr>
      <w:bookmarkStart w:id="32" w:name="_Toc15377205"/>
      <w:bookmarkStart w:id="33" w:name="_Toc9307"/>
      <w:bookmarkStart w:id="34" w:name="_Toc15396603"/>
      <w:bookmarkStart w:id="35" w:name="_Toc17586"/>
    </w:p>
    <w:p w14:paraId="3A4E9F6F">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32"/>
      <w:bookmarkEnd w:id="33"/>
      <w:bookmarkEnd w:id="34"/>
      <w:bookmarkEnd w:id="35"/>
    </w:p>
    <w:p w14:paraId="4312F556">
      <w:pPr>
        <w:keepNext w:val="0"/>
        <w:keepLines w:val="0"/>
        <w:pageBreakBefore w:val="0"/>
        <w:widowControl w:val="0"/>
        <w:kinsoku/>
        <w:wordWrap/>
        <w:overflowPunct/>
        <w:topLinePunct w:val="0"/>
        <w:autoSpaceDE/>
        <w:autoSpaceDN/>
        <w:bidi w:val="0"/>
        <w:adjustRightInd/>
        <w:snapToGrid/>
        <w:spacing w:line="600" w:lineRule="exact"/>
        <w:ind w:left="0" w:firstLine="652" w:firstLineChars="200"/>
        <w:textAlignment w:val="auto"/>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2023年度收、支总计541万元。与2022年相比，收、支总计各增加52.37万元，增长10.72%。主要变动原因是项目增加。</w:t>
      </w:r>
    </w:p>
    <w:p w14:paraId="5AC72234">
      <w:pPr>
        <w:keepNext w:val="0"/>
        <w:keepLines w:val="0"/>
        <w:pageBreakBefore w:val="0"/>
        <w:widowControl w:val="0"/>
        <w:kinsoku/>
        <w:wordWrap/>
        <w:overflowPunct/>
        <w:topLinePunct w:val="0"/>
        <w:autoSpaceDE/>
        <w:autoSpaceDN/>
        <w:bidi w:val="0"/>
        <w:adjustRightInd/>
        <w:snapToGrid/>
        <w:spacing w:line="600" w:lineRule="exact"/>
        <w:ind w:left="0" w:firstLine="652" w:firstLineChars="200"/>
        <w:textAlignment w:val="auto"/>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（图1：收、支决算总计变动情况图）（柱状图）</w:t>
      </w:r>
    </w:p>
    <w:p w14:paraId="133B793F">
      <w:pPr>
        <w:keepNext w:val="0"/>
        <w:keepLines w:val="0"/>
        <w:pageBreakBefore w:val="0"/>
        <w:widowControl w:val="0"/>
        <w:kinsoku/>
        <w:wordWrap/>
        <w:overflowPunct/>
        <w:topLinePunct w:val="0"/>
        <w:autoSpaceDE/>
        <w:autoSpaceDN/>
        <w:bidi w:val="0"/>
        <w:adjustRightInd/>
        <w:snapToGrid/>
        <w:spacing w:line="600" w:lineRule="exact"/>
        <w:ind w:firstLine="630" w:firstLineChars="300"/>
        <w:jc w:val="left"/>
        <w:textAlignment w:val="auto"/>
        <w:rPr>
          <w:rStyle w:val="20"/>
          <w:rFonts w:ascii="黑体" w:hAnsi="黑体" w:eastAsia="黑体"/>
          <w:b w:val="0"/>
          <w:color w:val="auto"/>
          <w:highlight w:val="none"/>
        </w:rPr>
      </w:pPr>
      <w:r>
        <w:rPr>
          <w:position w:val="-108"/>
        </w:rPr>
        <w:drawing>
          <wp:anchor distT="0" distB="0" distL="114300" distR="114300" simplePos="0" relativeHeight="251659264" behindDoc="0" locked="0" layoutInCell="1" allowOverlap="1">
            <wp:simplePos x="0" y="0"/>
            <wp:positionH relativeFrom="column">
              <wp:posOffset>97790</wp:posOffset>
            </wp:positionH>
            <wp:positionV relativeFrom="paragraph">
              <wp:posOffset>186690</wp:posOffset>
            </wp:positionV>
            <wp:extent cx="5080000" cy="3423920"/>
            <wp:effectExtent l="5080" t="4445" r="20320" b="1968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36" w:name="_Toc32617"/>
      <w:bookmarkStart w:id="37" w:name="_Toc15396604"/>
      <w:bookmarkStart w:id="38" w:name="_Toc13486"/>
      <w:bookmarkStart w:id="39"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36"/>
      <w:bookmarkEnd w:id="37"/>
      <w:bookmarkEnd w:id="38"/>
      <w:bookmarkEnd w:id="39"/>
    </w:p>
    <w:p w14:paraId="43A9015C">
      <w:pPr>
        <w:keepNext w:val="0"/>
        <w:keepLines w:val="0"/>
        <w:pageBreakBefore w:val="0"/>
        <w:widowControl w:val="0"/>
        <w:kinsoku/>
        <w:wordWrap/>
        <w:overflowPunct/>
        <w:topLinePunct w:val="0"/>
        <w:autoSpaceDE/>
        <w:autoSpaceDN/>
        <w:bidi w:val="0"/>
        <w:adjustRightInd/>
        <w:snapToGrid/>
        <w:spacing w:line="600" w:lineRule="exact"/>
        <w:ind w:firstLine="652" w:firstLineChars="200"/>
        <w:textAlignment w:val="auto"/>
        <w:outlineLvl w:val="1"/>
        <w:rPr>
          <w:rFonts w:hint="default"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2023年本年收入合计541万元，其中：一般公共预算财政拨款收入309.45万元，占57.20%；政府性基金预算财政拨款收入231.55，占42.80%。</w:t>
      </w:r>
    </w:p>
    <w:p w14:paraId="5B81F4D8">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（图2：收入决算结构图）（饼状图）</w:t>
      </w:r>
    </w:p>
    <w:p w14:paraId="7B85B773">
      <w:pPr>
        <w:pStyle w:val="2"/>
        <w:rPr>
          <w:rFonts w:hint="eastAsia" w:ascii="仿宋" w:hAnsi="仿宋" w:eastAsia="仿宋"/>
          <w:color w:val="auto"/>
          <w:sz w:val="32"/>
          <w:szCs w:val="32"/>
          <w:highlight w:val="none"/>
        </w:rPr>
      </w:pPr>
    </w:p>
    <w:p w14:paraId="26C5381A">
      <w:pPr>
        <w:spacing w:line="600" w:lineRule="exact"/>
        <w:ind w:firstLine="640" w:firstLineChars="200"/>
        <w:rPr>
          <w:rStyle w:val="20"/>
          <w:rFonts w:ascii="黑体" w:hAnsi="黑体" w:eastAsia="黑体"/>
          <w:b w:val="0"/>
          <w:color w:val="auto"/>
          <w:highlight w:val="none"/>
        </w:rPr>
      </w:pPr>
      <w:r>
        <w:rPr>
          <w:rFonts w:hint="eastAsia" w:ascii="仿宋_GB2312" w:eastAsia="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121285</wp:posOffset>
            </wp:positionH>
            <wp:positionV relativeFrom="paragraph">
              <wp:posOffset>128270</wp:posOffset>
            </wp:positionV>
            <wp:extent cx="5080000" cy="3117850"/>
            <wp:effectExtent l="4445" t="4445" r="20955" b="2095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40" w:name="_Toc4569"/>
      <w:bookmarkStart w:id="41" w:name="_Toc15377207"/>
      <w:bookmarkStart w:id="42" w:name="_Toc15396605"/>
      <w:bookmarkStart w:id="43" w:name="_Toc14709"/>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40"/>
      <w:bookmarkEnd w:id="41"/>
      <w:bookmarkEnd w:id="42"/>
      <w:bookmarkEnd w:id="43"/>
    </w:p>
    <w:p w14:paraId="081EB28A">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2023年本年支出合计541万元，其中：基本支出309.45万元，占57.20%；项目支出231.55万元，占42.80%。</w:t>
      </w:r>
      <w:r>
        <w:rPr>
          <w:rFonts w:hint="eastAsia" w:ascii="仿宋_GB2312" w:hAnsi="仿宋_GB2312" w:eastAsia="仿宋_GB2312" w:cs="仿宋_GB2312"/>
          <w:spacing w:val="3"/>
          <w:kern w:val="0"/>
          <w:sz w:val="32"/>
          <w:szCs w:val="32"/>
          <w:lang w:val="en-US" w:eastAsia="zh-CN" w:bidi="ar-SA"/>
        </w:rPr>
        <w:drawing>
          <wp:anchor distT="0" distB="0" distL="114300" distR="114300" simplePos="0" relativeHeight="251661312" behindDoc="0" locked="0" layoutInCell="1" allowOverlap="1">
            <wp:simplePos x="0" y="0"/>
            <wp:positionH relativeFrom="column">
              <wp:posOffset>62230</wp:posOffset>
            </wp:positionH>
            <wp:positionV relativeFrom="paragraph">
              <wp:posOffset>1454785</wp:posOffset>
            </wp:positionV>
            <wp:extent cx="5080000" cy="3472815"/>
            <wp:effectExtent l="4445" t="4445" r="20955" b="889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69CC19F">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（图3：支出决算结构图）（饼状图）</w:t>
      </w:r>
      <w:bookmarkStart w:id="44" w:name="_Toc15396606"/>
      <w:bookmarkStart w:id="45" w:name="_Toc15377208"/>
      <w:bookmarkStart w:id="46" w:name="_Toc29625"/>
      <w:bookmarkStart w:id="47" w:name="_Toc26982"/>
    </w:p>
    <w:p w14:paraId="123C0F67">
      <w:pPr>
        <w:spacing w:line="600" w:lineRule="exact"/>
        <w:ind w:firstLine="640" w:firstLineChars="200"/>
        <w:outlineLvl w:val="1"/>
        <w:rPr>
          <w:rStyle w:val="20"/>
          <w:rFonts w:ascii="黑体" w:hAnsi="黑体" w:eastAsia="黑体"/>
          <w:b w:val="0"/>
          <w:color w:val="auto"/>
          <w:highlight w:val="none"/>
        </w:rPr>
      </w:pPr>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44"/>
      <w:bookmarkEnd w:id="45"/>
      <w:bookmarkEnd w:id="46"/>
      <w:bookmarkEnd w:id="47"/>
    </w:p>
    <w:p w14:paraId="6CBBA5C1">
      <w:pPr>
        <w:spacing w:line="600" w:lineRule="exact"/>
        <w:ind w:firstLine="64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2023年财政拨款收、支总计541万元。与2022年相比，财政拨款收、支总计各增加52.37万元，增长10.72%。主要变动原因是项目增加。</w:t>
      </w:r>
    </w:p>
    <w:p w14:paraId="72B9818E">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（图4：财政拨款收、支决算总计变动情况）（柱状图）</w:t>
      </w:r>
    </w:p>
    <w:p w14:paraId="66D3A85D">
      <w:pPr>
        <w:spacing w:line="600" w:lineRule="exact"/>
        <w:rPr>
          <w:rStyle w:val="20"/>
          <w:rFonts w:ascii="黑体" w:hAnsi="黑体" w:eastAsia="黑体"/>
          <w:b w:val="0"/>
          <w:color w:val="auto"/>
          <w:highlight w:val="none"/>
        </w:rPr>
      </w:pPr>
      <w:r>
        <w:rPr>
          <w:position w:val="-108"/>
        </w:rPr>
        <w:drawing>
          <wp:anchor distT="0" distB="0" distL="114300" distR="114300" simplePos="0" relativeHeight="251662336" behindDoc="0" locked="0" layoutInCell="1" allowOverlap="1">
            <wp:simplePos x="0" y="0"/>
            <wp:positionH relativeFrom="column">
              <wp:posOffset>132080</wp:posOffset>
            </wp:positionH>
            <wp:positionV relativeFrom="paragraph">
              <wp:posOffset>210185</wp:posOffset>
            </wp:positionV>
            <wp:extent cx="5080000" cy="3423920"/>
            <wp:effectExtent l="5080" t="4445" r="20320" b="1968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48" w:name="_Toc9128"/>
      <w:bookmarkStart w:id="49" w:name="_Toc9832"/>
      <w:bookmarkStart w:id="50" w:name="_Toc15377209"/>
      <w:bookmarkStart w:id="51" w:name="_Toc15396607"/>
      <w:r>
        <w:rPr>
          <w:rFonts w:hint="eastAsia"/>
          <w:position w:val="-108"/>
          <w:lang w:val="en-US" w:eastAsia="zh-CN"/>
        </w:rPr>
        <w:t xml:space="preserve">      </w:t>
      </w: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48"/>
      <w:bookmarkEnd w:id="49"/>
      <w:bookmarkEnd w:id="50"/>
      <w:bookmarkEnd w:id="51"/>
    </w:p>
    <w:p w14:paraId="4821BD85">
      <w:pPr>
        <w:spacing w:line="600" w:lineRule="exact"/>
        <w:ind w:firstLine="643" w:firstLineChars="200"/>
        <w:outlineLvl w:val="2"/>
        <w:rPr>
          <w:rFonts w:ascii="仿宋" w:hAnsi="仿宋" w:eastAsia="仿宋"/>
          <w:b/>
          <w:color w:val="auto"/>
          <w:sz w:val="32"/>
          <w:szCs w:val="32"/>
          <w:highlight w:val="none"/>
        </w:rPr>
      </w:pPr>
      <w:bookmarkStart w:id="52" w:name="_Toc15377210"/>
      <w:r>
        <w:rPr>
          <w:rFonts w:hint="eastAsia" w:ascii="仿宋" w:hAnsi="仿宋" w:eastAsia="仿宋"/>
          <w:b/>
          <w:color w:val="auto"/>
          <w:sz w:val="32"/>
          <w:szCs w:val="32"/>
          <w:highlight w:val="none"/>
        </w:rPr>
        <w:t>（一）一般公共预算财政拨款支出决算总体情况</w:t>
      </w:r>
      <w:bookmarkEnd w:id="52"/>
    </w:p>
    <w:p w14:paraId="55EC10B5">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2023年一般公共预算财政拨款支出309.45万元，占本年支出合计的57.20%。与2022年相比，一般公共预算财政拨款支出减少179.18万元，减少42.10%。主要变动原因是2023年部门项目用政府性基金预算，2022年所有项目均用一般公共预算。</w:t>
      </w:r>
    </w:p>
    <w:p w14:paraId="0EB62BED">
      <w:pPr>
        <w:spacing w:line="600" w:lineRule="exact"/>
        <w:ind w:firstLine="652" w:firstLineChars="200"/>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（图5：一般公共预算财政拨款支出决算变动情况）（柱状图）</w:t>
      </w:r>
    </w:p>
    <w:p w14:paraId="507B6D2C">
      <w:pPr>
        <w:spacing w:line="600" w:lineRule="exact"/>
        <w:rPr>
          <w:rFonts w:ascii="仿宋" w:hAnsi="仿宋" w:eastAsia="仿宋"/>
          <w:b/>
          <w:color w:val="auto"/>
          <w:sz w:val="32"/>
          <w:szCs w:val="32"/>
          <w:highlight w:val="none"/>
        </w:rPr>
      </w:pPr>
      <w:r>
        <w:rPr>
          <w:position w:val="-108"/>
        </w:rPr>
        <w:drawing>
          <wp:anchor distT="0" distB="0" distL="114300" distR="114300" simplePos="0" relativeHeight="251663360" behindDoc="0" locked="0" layoutInCell="1" allowOverlap="1">
            <wp:simplePos x="0" y="0"/>
            <wp:positionH relativeFrom="column">
              <wp:posOffset>112395</wp:posOffset>
            </wp:positionH>
            <wp:positionV relativeFrom="paragraph">
              <wp:posOffset>117475</wp:posOffset>
            </wp:positionV>
            <wp:extent cx="5080000" cy="2635250"/>
            <wp:effectExtent l="4445" t="4445" r="20955" b="825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53" w:name="_Toc15377211"/>
      <w:r>
        <w:rPr>
          <w:rFonts w:hint="eastAsia"/>
          <w:position w:val="-108"/>
          <w:lang w:val="en-US" w:eastAsia="zh-CN"/>
        </w:rPr>
        <w:t xml:space="preserve">    </w:t>
      </w:r>
      <w:r>
        <w:rPr>
          <w:rFonts w:hint="eastAsia" w:ascii="仿宋" w:hAnsi="仿宋" w:eastAsia="仿宋"/>
          <w:b/>
          <w:color w:val="auto"/>
          <w:sz w:val="32"/>
          <w:szCs w:val="32"/>
          <w:highlight w:val="none"/>
        </w:rPr>
        <w:t>（二）一般公共预算财政拨款支出决算结构情况</w:t>
      </w:r>
      <w:bookmarkEnd w:id="53"/>
    </w:p>
    <w:p w14:paraId="1878001D">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309.45</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234.87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75.90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b w:val="0"/>
          <w:bCs w:val="0"/>
          <w:color w:val="auto"/>
          <w:sz w:val="32"/>
          <w:szCs w:val="32"/>
          <w:highlight w:val="none"/>
          <w:lang w:val="en-US" w:eastAsia="zh-CN"/>
        </w:rPr>
        <w:t>45.24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14.62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8.27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2.67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21.07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6.81</w:t>
      </w:r>
      <w:r>
        <w:rPr>
          <w:rFonts w:hint="eastAsia" w:ascii="仿宋_GB2312" w:hAnsi="仿宋_GB2312" w:eastAsia="仿宋_GB2312" w:cs="仿宋_GB2312"/>
          <w:color w:val="auto"/>
          <w:sz w:val="32"/>
          <w:szCs w:val="32"/>
          <w:highlight w:val="none"/>
        </w:rPr>
        <w:t>%。</w:t>
      </w:r>
    </w:p>
    <w:p w14:paraId="2DA46D24">
      <w:pPr>
        <w:spacing w:line="600" w:lineRule="exact"/>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pct10" w:color="auto" w:fill="FFFFFF"/>
          <w:lang w:eastAsia="zh-CN"/>
        </w:rPr>
        <w:drawing>
          <wp:anchor distT="0" distB="0" distL="114300" distR="114300" simplePos="0" relativeHeight="251664384" behindDoc="0" locked="0" layoutInCell="1" allowOverlap="1">
            <wp:simplePos x="0" y="0"/>
            <wp:positionH relativeFrom="column">
              <wp:posOffset>17780</wp:posOffset>
            </wp:positionH>
            <wp:positionV relativeFrom="paragraph">
              <wp:posOffset>403860</wp:posOffset>
            </wp:positionV>
            <wp:extent cx="5080000" cy="2818765"/>
            <wp:effectExtent l="4445" t="4445" r="20955" b="1524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s="仿宋_GB2312"/>
          <w:color w:val="auto"/>
          <w:sz w:val="32"/>
          <w:szCs w:val="32"/>
          <w:highlight w:val="none"/>
        </w:rPr>
        <w:t>（图6：一般公共预算财政拨款支出决算结构）（饼状图）</w:t>
      </w:r>
    </w:p>
    <w:p w14:paraId="4CBE9114">
      <w:pPr>
        <w:spacing w:line="600" w:lineRule="exact"/>
        <w:ind w:firstLine="643" w:firstLineChars="200"/>
        <w:outlineLvl w:val="2"/>
        <w:rPr>
          <w:rFonts w:ascii="仿宋" w:hAnsi="仿宋" w:eastAsia="仿宋"/>
          <w:b/>
          <w:color w:val="auto"/>
          <w:sz w:val="32"/>
          <w:szCs w:val="32"/>
          <w:highlight w:val="none"/>
        </w:rPr>
      </w:pPr>
      <w:bookmarkStart w:id="54" w:name="_Toc15377212"/>
      <w:r>
        <w:rPr>
          <w:rFonts w:hint="eastAsia" w:ascii="仿宋" w:hAnsi="仿宋" w:eastAsia="仿宋"/>
          <w:b/>
          <w:color w:val="auto"/>
          <w:sz w:val="32"/>
          <w:szCs w:val="32"/>
          <w:highlight w:val="none"/>
        </w:rPr>
        <w:t>（三）一般公共预算财政拨款支出决算具体情况</w:t>
      </w:r>
      <w:bookmarkEnd w:id="54"/>
    </w:p>
    <w:p w14:paraId="6F4698B9">
      <w:pPr>
        <w:spacing w:line="600" w:lineRule="exact"/>
        <w:ind w:firstLine="643" w:firstLineChars="200"/>
        <w:outlineLvl w:val="2"/>
        <w:rPr>
          <w:rFonts w:hint="eastAsia" w:ascii="仿宋_GB2312" w:hAnsi="仿宋_GB2312" w:eastAsia="仿宋_GB2312" w:cs="仿宋_GB2312"/>
          <w:color w:val="auto"/>
          <w:sz w:val="32"/>
          <w:szCs w:val="32"/>
          <w:highlight w:val="none"/>
        </w:rPr>
      </w:pPr>
      <w:bookmarkStart w:id="55" w:name="_Toc15378460"/>
      <w:bookmarkStart w:id="56" w:name="_Toc15377213"/>
      <w:bookmarkStart w:id="57" w:name="_Toc15377444"/>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23</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309.45万元</w:t>
      </w:r>
      <w:r>
        <w:rPr>
          <w:rFonts w:hint="eastAsia" w:ascii="仿宋_GB2312" w:hAnsi="仿宋_GB2312" w:eastAsia="仿宋_GB2312" w:cs="仿宋_GB2312"/>
          <w:color w:val="auto"/>
          <w:sz w:val="32"/>
          <w:szCs w:val="32"/>
          <w:highlight w:val="none"/>
        </w:rPr>
        <w:t>，</w:t>
      </w:r>
      <w:r>
        <w:rPr>
          <w:rStyle w:val="16"/>
          <w:rFonts w:hint="eastAsia" w:ascii="仿宋_GB2312" w:hAnsi="仿宋_GB2312" w:eastAsia="仿宋_GB2312" w:cs="仿宋_GB2312"/>
          <w:bCs/>
          <w:color w:val="auto"/>
          <w:sz w:val="32"/>
          <w:szCs w:val="32"/>
          <w:highlight w:val="none"/>
        </w:rPr>
        <w:t>完成预算</w:t>
      </w:r>
      <w:r>
        <w:rPr>
          <w:rStyle w:val="16"/>
          <w:rFonts w:hint="eastAsia" w:ascii="仿宋_GB2312" w:hAnsi="仿宋_GB2312" w:eastAsia="仿宋_GB2312" w:cs="仿宋_GB2312"/>
          <w:bCs/>
          <w:color w:val="auto"/>
          <w:sz w:val="32"/>
          <w:szCs w:val="32"/>
          <w:highlight w:val="none"/>
          <w:lang w:val="en-US" w:eastAsia="zh-CN"/>
        </w:rPr>
        <w:t>100</w:t>
      </w:r>
      <w:r>
        <w:rPr>
          <w:rStyle w:val="16"/>
          <w:rFonts w:hint="eastAsia" w:ascii="仿宋_GB2312" w:hAnsi="仿宋_GB2312" w:eastAsia="仿宋_GB2312" w:cs="仿宋_GB2312"/>
          <w:bCs/>
          <w:color w:val="auto"/>
          <w:sz w:val="32"/>
          <w:szCs w:val="32"/>
          <w:highlight w:val="none"/>
        </w:rPr>
        <w:t>%。其中：</w:t>
      </w:r>
      <w:bookmarkEnd w:id="55"/>
      <w:bookmarkEnd w:id="56"/>
      <w:bookmarkEnd w:id="57"/>
    </w:p>
    <w:p w14:paraId="03A1FBDA">
      <w:pPr>
        <w:numPr>
          <w:ilvl w:val="0"/>
          <w:numId w:val="1"/>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lang w:eastAsia="zh-CN"/>
        </w:rPr>
      </w:pPr>
      <w:r>
        <w:rPr>
          <w:rStyle w:val="16"/>
          <w:rFonts w:hint="eastAsia" w:ascii="仿宋_GB2312" w:hAnsi="仿宋_GB2312" w:eastAsia="仿宋_GB2312" w:cs="仿宋_GB2312"/>
          <w:bCs/>
          <w:color w:val="auto"/>
          <w:sz w:val="32"/>
          <w:szCs w:val="32"/>
          <w:highlight w:val="none"/>
        </w:rPr>
        <w:t>一般公共服务</w:t>
      </w:r>
      <w:r>
        <w:rPr>
          <w:rStyle w:val="16"/>
          <w:rFonts w:hint="eastAsia" w:ascii="仿宋_GB2312" w:hAnsi="仿宋_GB2312" w:eastAsia="仿宋_GB2312" w:cs="仿宋_GB2312"/>
          <w:bCs/>
          <w:color w:val="auto"/>
          <w:sz w:val="32"/>
          <w:szCs w:val="32"/>
          <w:highlight w:val="none"/>
          <w:lang w:eastAsia="zh-CN"/>
        </w:rPr>
        <w:t>支出</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统计信息事务</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行政运行</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180.62</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6CB547F7">
      <w:pPr>
        <w:numPr>
          <w:ilvl w:val="0"/>
          <w:numId w:val="0"/>
        </w:numPr>
        <w:spacing w:line="600" w:lineRule="exact"/>
        <w:ind w:left="-13" w:leftChars="0" w:firstLine="643" w:firstLineChars="0"/>
        <w:rPr>
          <w:rStyle w:val="16"/>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kern w:val="2"/>
          <w:sz w:val="32"/>
          <w:szCs w:val="32"/>
          <w:lang w:val="en-US" w:eastAsia="zh-CN" w:bidi="ar-SA"/>
        </w:rPr>
        <w:t>2</w:t>
      </w:r>
      <w:r>
        <w:rPr>
          <w:rFonts w:hint="default" w:ascii="仿宋_GB2312" w:hAnsi="仿宋_GB2312" w:eastAsia="仿宋_GB2312" w:cs="仿宋_GB2312"/>
          <w:b/>
          <w:bCs/>
          <w:color w:val="auto"/>
          <w:kern w:val="2"/>
          <w:sz w:val="32"/>
          <w:szCs w:val="32"/>
          <w:lang w:val="en-US" w:eastAsia="zh-CN" w:bidi="ar-SA"/>
        </w:rPr>
        <w:t>.</w:t>
      </w:r>
      <w:r>
        <w:rPr>
          <w:rStyle w:val="16"/>
          <w:rFonts w:hint="eastAsia" w:ascii="仿宋_GB2312" w:hAnsi="仿宋_GB2312" w:eastAsia="仿宋_GB2312" w:cs="仿宋_GB2312"/>
          <w:bCs/>
          <w:color w:val="auto"/>
          <w:sz w:val="32"/>
          <w:szCs w:val="32"/>
          <w:highlight w:val="none"/>
        </w:rPr>
        <w:t>一般公共服务</w:t>
      </w:r>
      <w:r>
        <w:rPr>
          <w:rStyle w:val="16"/>
          <w:rFonts w:hint="eastAsia" w:ascii="仿宋_GB2312" w:hAnsi="仿宋_GB2312" w:eastAsia="仿宋_GB2312" w:cs="仿宋_GB2312"/>
          <w:bCs/>
          <w:color w:val="auto"/>
          <w:sz w:val="32"/>
          <w:szCs w:val="32"/>
          <w:highlight w:val="none"/>
          <w:lang w:eastAsia="zh-CN"/>
        </w:rPr>
        <w:t>支出</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统计信息事务</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事业运行</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54.25</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5E75AF0C">
      <w:pPr>
        <w:numPr>
          <w:ilvl w:val="0"/>
          <w:numId w:val="0"/>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color w:val="auto"/>
          <w:kern w:val="2"/>
          <w:sz w:val="32"/>
          <w:szCs w:val="32"/>
          <w:lang w:val="en-US" w:eastAsia="zh-CN" w:bidi="ar-SA"/>
        </w:rPr>
        <w:t>3</w:t>
      </w:r>
      <w:r>
        <w:rPr>
          <w:rFonts w:hint="default" w:ascii="仿宋_GB2312" w:hAnsi="仿宋_GB2312" w:eastAsia="仿宋_GB2312" w:cs="仿宋_GB2312"/>
          <w:b/>
          <w:bCs/>
          <w:color w:val="auto"/>
          <w:kern w:val="2"/>
          <w:sz w:val="32"/>
          <w:szCs w:val="32"/>
          <w:lang w:val="en-US" w:eastAsia="zh-CN" w:bidi="ar-SA"/>
        </w:rPr>
        <w:t>.</w:t>
      </w:r>
      <w:r>
        <w:rPr>
          <w:rStyle w:val="16"/>
          <w:rFonts w:hint="eastAsia" w:ascii="仿宋_GB2312" w:hAnsi="仿宋_GB2312" w:eastAsia="仿宋_GB2312" w:cs="仿宋_GB2312"/>
          <w:bCs/>
          <w:color w:val="auto"/>
          <w:sz w:val="32"/>
          <w:szCs w:val="32"/>
          <w:highlight w:val="none"/>
        </w:rPr>
        <w:t>社会保障和就业</w:t>
      </w:r>
      <w:r>
        <w:rPr>
          <w:rStyle w:val="16"/>
          <w:rFonts w:hint="eastAsia" w:ascii="仿宋_GB2312" w:hAnsi="仿宋_GB2312" w:eastAsia="仿宋_GB2312" w:cs="仿宋_GB2312"/>
          <w:bCs/>
          <w:color w:val="auto"/>
          <w:sz w:val="32"/>
          <w:szCs w:val="32"/>
          <w:highlight w:val="none"/>
          <w:lang w:eastAsia="zh-CN"/>
        </w:rPr>
        <w:t>支出</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行政事业单位养老支出</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机关事业单位基本养老保险缴费支出</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28.01</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6DD50D18">
      <w:pPr>
        <w:numPr>
          <w:ilvl w:val="0"/>
          <w:numId w:val="0"/>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lang w:eastAsia="zh-CN"/>
        </w:rPr>
      </w:pPr>
      <w:r>
        <w:rPr>
          <w:rStyle w:val="16"/>
          <w:rFonts w:hint="eastAsia" w:ascii="仿宋_GB2312" w:hAnsi="仿宋_GB2312" w:eastAsia="仿宋_GB2312" w:cs="仿宋_GB2312"/>
          <w:bCs/>
          <w:color w:val="auto"/>
          <w:sz w:val="32"/>
          <w:szCs w:val="32"/>
          <w:highlight w:val="none"/>
          <w:lang w:val="en-US" w:eastAsia="zh-CN"/>
        </w:rPr>
        <w:t>4</w:t>
      </w:r>
      <w:r>
        <w:rPr>
          <w:rStyle w:val="16"/>
          <w:rFonts w:hint="eastAsia" w:ascii="仿宋_GB2312" w:hAnsi="仿宋_GB2312" w:eastAsia="仿宋_GB2312" w:cs="仿宋_GB2312"/>
          <w:bCs/>
          <w:color w:val="auto"/>
          <w:sz w:val="32"/>
          <w:szCs w:val="32"/>
          <w:highlight w:val="none"/>
        </w:rPr>
        <w:t>.社会保障和就业（类）</w:t>
      </w:r>
      <w:r>
        <w:rPr>
          <w:rStyle w:val="16"/>
          <w:rFonts w:hint="eastAsia" w:ascii="仿宋_GB2312" w:hAnsi="仿宋_GB2312" w:eastAsia="仿宋_GB2312" w:cs="仿宋_GB2312"/>
          <w:bCs/>
          <w:color w:val="auto"/>
          <w:sz w:val="32"/>
          <w:szCs w:val="32"/>
          <w:highlight w:val="none"/>
          <w:lang w:eastAsia="zh-CN"/>
        </w:rPr>
        <w:t>行政事业单位养老支出</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机关事业单位职业年金缴费支出</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14</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0E3BF74F">
      <w:pPr>
        <w:numPr>
          <w:ilvl w:val="0"/>
          <w:numId w:val="0"/>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lang w:eastAsia="zh-CN"/>
        </w:rPr>
      </w:pPr>
      <w:r>
        <w:rPr>
          <w:rStyle w:val="16"/>
          <w:rFonts w:hint="eastAsia" w:ascii="仿宋_GB2312" w:hAnsi="仿宋_GB2312" w:eastAsia="仿宋_GB2312" w:cs="仿宋_GB2312"/>
          <w:bCs/>
          <w:color w:val="auto"/>
          <w:sz w:val="32"/>
          <w:szCs w:val="32"/>
          <w:highlight w:val="none"/>
          <w:lang w:val="en-US" w:eastAsia="zh-CN"/>
        </w:rPr>
        <w:t>5</w:t>
      </w:r>
      <w:r>
        <w:rPr>
          <w:rStyle w:val="16"/>
          <w:rFonts w:hint="eastAsia" w:ascii="仿宋_GB2312" w:hAnsi="仿宋_GB2312" w:eastAsia="仿宋_GB2312" w:cs="仿宋_GB2312"/>
          <w:bCs/>
          <w:color w:val="auto"/>
          <w:sz w:val="32"/>
          <w:szCs w:val="32"/>
          <w:highlight w:val="none"/>
        </w:rPr>
        <w:t>.社会保障和就业（类）</w:t>
      </w:r>
      <w:r>
        <w:rPr>
          <w:rStyle w:val="16"/>
          <w:rFonts w:hint="eastAsia" w:ascii="仿宋_GB2312" w:hAnsi="仿宋_GB2312" w:eastAsia="仿宋_GB2312" w:cs="仿宋_GB2312"/>
          <w:bCs/>
          <w:color w:val="auto"/>
          <w:sz w:val="32"/>
          <w:szCs w:val="32"/>
          <w:highlight w:val="none"/>
          <w:lang w:eastAsia="zh-CN"/>
        </w:rPr>
        <w:t>其他社会保障和就业支出</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其他社会保障和就业支出</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3.23</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7CCA6E5A">
      <w:pPr>
        <w:numPr>
          <w:ilvl w:val="0"/>
          <w:numId w:val="0"/>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lang w:eastAsia="zh-CN"/>
        </w:rPr>
      </w:pPr>
      <w:r>
        <w:rPr>
          <w:rStyle w:val="16"/>
          <w:rFonts w:hint="eastAsia" w:ascii="仿宋_GB2312" w:hAnsi="仿宋_GB2312" w:eastAsia="仿宋_GB2312" w:cs="仿宋_GB2312"/>
          <w:bCs/>
          <w:color w:val="auto"/>
          <w:sz w:val="32"/>
          <w:szCs w:val="32"/>
          <w:highlight w:val="none"/>
          <w:lang w:val="en-US" w:eastAsia="zh-CN"/>
        </w:rPr>
        <w:t>6</w:t>
      </w:r>
      <w:r>
        <w:rPr>
          <w:rStyle w:val="16"/>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Fonts w:hint="eastAsia" w:ascii="仿宋_GB2312" w:hAnsi="仿宋_GB2312" w:eastAsia="仿宋_GB2312" w:cs="仿宋_GB2312"/>
          <w:b/>
          <w:bCs/>
          <w:color w:val="auto"/>
          <w:sz w:val="32"/>
          <w:szCs w:val="32"/>
          <w:highlight w:val="none"/>
          <w:lang w:eastAsia="zh-CN"/>
        </w:rPr>
        <w:t>支出</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行政事业单位医疗</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行政单位医疗</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7.25</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67CC9512">
      <w:pPr>
        <w:numPr>
          <w:ilvl w:val="0"/>
          <w:numId w:val="0"/>
        </w:numPr>
        <w:spacing w:line="600" w:lineRule="exact"/>
        <w:ind w:left="-13" w:leftChars="0" w:firstLine="643" w:firstLineChars="0"/>
        <w:rPr>
          <w:rStyle w:val="16"/>
          <w:rFonts w:hint="eastAsia" w:ascii="仿宋_GB2312" w:hAnsi="仿宋_GB2312" w:eastAsia="仿宋_GB2312" w:cs="仿宋_GB2312"/>
          <w:b w:val="0"/>
          <w:bCs/>
          <w:color w:val="auto"/>
          <w:sz w:val="32"/>
          <w:szCs w:val="32"/>
          <w:highlight w:val="none"/>
          <w:lang w:eastAsia="zh-CN"/>
        </w:rPr>
      </w:pPr>
      <w:r>
        <w:rPr>
          <w:rStyle w:val="16"/>
          <w:rFonts w:hint="eastAsia" w:ascii="仿宋_GB2312" w:hAnsi="仿宋_GB2312" w:eastAsia="仿宋_GB2312" w:cs="仿宋_GB2312"/>
          <w:bCs/>
          <w:color w:val="auto"/>
          <w:sz w:val="32"/>
          <w:szCs w:val="32"/>
          <w:highlight w:val="none"/>
          <w:lang w:val="en-US" w:eastAsia="zh-CN"/>
        </w:rPr>
        <w:t>7</w:t>
      </w:r>
      <w:r>
        <w:rPr>
          <w:rStyle w:val="16"/>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行政事业单位医疗</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公务员医疗补助</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1.02</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4BA9D76A">
      <w:pPr>
        <w:numPr>
          <w:ilvl w:val="0"/>
          <w:numId w:val="0"/>
        </w:numPr>
        <w:spacing w:line="600" w:lineRule="exact"/>
        <w:ind w:firstLine="643" w:firstLineChars="200"/>
        <w:rPr>
          <w:rFonts w:hint="eastAsia" w:ascii="仿宋_GB2312" w:hAnsi="仿宋_GB2312" w:eastAsia="仿宋_GB2312" w:cs="仿宋_GB2312"/>
          <w:b/>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8</w:t>
      </w:r>
      <w:r>
        <w:rPr>
          <w:rStyle w:val="16"/>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住房保障支出</w:t>
      </w:r>
      <w:r>
        <w:rPr>
          <w:rStyle w:val="16"/>
          <w:rFonts w:hint="eastAsia" w:ascii="仿宋_GB2312" w:hAnsi="仿宋_GB2312" w:eastAsia="仿宋_GB2312" w:cs="仿宋_GB2312"/>
          <w:bCs/>
          <w:color w:val="auto"/>
          <w:sz w:val="32"/>
          <w:szCs w:val="32"/>
          <w:highlight w:val="none"/>
        </w:rPr>
        <w:t>（类）</w:t>
      </w:r>
      <w:r>
        <w:rPr>
          <w:rStyle w:val="16"/>
          <w:rFonts w:hint="eastAsia" w:ascii="仿宋_GB2312" w:hAnsi="仿宋_GB2312" w:eastAsia="仿宋_GB2312" w:cs="仿宋_GB2312"/>
          <w:bCs/>
          <w:color w:val="auto"/>
          <w:sz w:val="32"/>
          <w:szCs w:val="32"/>
          <w:highlight w:val="none"/>
          <w:lang w:eastAsia="zh-CN"/>
        </w:rPr>
        <w:t>住房改革支出</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eastAsia="zh-CN"/>
        </w:rPr>
        <w:t>住房公积金</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21.07</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eastAsia="zh-CN"/>
        </w:rPr>
        <w:t>，决算数与预算数持平。</w:t>
      </w:r>
    </w:p>
    <w:p w14:paraId="7BF3FE8D">
      <w:pPr>
        <w:tabs>
          <w:tab w:val="right" w:pos="8306"/>
        </w:tabs>
        <w:spacing w:line="600" w:lineRule="exact"/>
        <w:ind w:firstLine="640"/>
        <w:outlineLvl w:val="1"/>
        <w:rPr>
          <w:rStyle w:val="20"/>
          <w:color w:val="auto"/>
          <w:highlight w:val="none"/>
        </w:rPr>
      </w:pPr>
      <w:bookmarkStart w:id="58" w:name="_Toc15377214"/>
      <w:bookmarkStart w:id="59" w:name="_Toc9685"/>
      <w:bookmarkStart w:id="60" w:name="_Toc15396608"/>
      <w:bookmarkStart w:id="61" w:name="_Toc226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58"/>
      <w:bookmarkEnd w:id="59"/>
      <w:bookmarkEnd w:id="60"/>
      <w:bookmarkEnd w:id="61"/>
      <w:r>
        <w:rPr>
          <w:rStyle w:val="20"/>
          <w:rFonts w:ascii="黑体" w:hAnsi="黑体" w:eastAsia="黑体"/>
          <w:b w:val="0"/>
          <w:color w:val="auto"/>
          <w:highlight w:val="none"/>
        </w:rPr>
        <w:tab/>
      </w:r>
    </w:p>
    <w:p w14:paraId="01BE75CF">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b/>
          <w:bCs/>
          <w:color w:val="auto"/>
          <w:sz w:val="32"/>
          <w:szCs w:val="32"/>
          <w:highlight w:val="none"/>
          <w:lang w:val="en-US" w:eastAsia="zh-CN"/>
        </w:rPr>
        <w:t>309.45</w:t>
      </w:r>
      <w:r>
        <w:rPr>
          <w:rFonts w:hint="eastAsia" w:ascii="仿宋_GB2312" w:hAnsi="仿宋_GB2312" w:eastAsia="仿宋_GB2312" w:cs="仿宋_GB2312"/>
          <w:color w:val="auto"/>
          <w:sz w:val="32"/>
          <w:szCs w:val="32"/>
          <w:highlight w:val="none"/>
        </w:rPr>
        <w:t>万元，其中：</w:t>
      </w:r>
    </w:p>
    <w:p w14:paraId="0039B6DD">
      <w:pPr>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b/>
          <w:bCs/>
          <w:color w:val="auto"/>
          <w:sz w:val="32"/>
          <w:szCs w:val="32"/>
          <w:highlight w:val="none"/>
          <w:lang w:val="en-US" w:eastAsia="zh-CN"/>
        </w:rPr>
        <w:t>264.27</w:t>
      </w:r>
      <w:r>
        <w:rPr>
          <w:rFonts w:hint="eastAsia" w:ascii="仿宋_GB2312" w:hAnsi="仿宋_GB2312" w:eastAsia="仿宋_GB2312" w:cs="仿宋_GB2312"/>
          <w:color w:val="auto"/>
          <w:sz w:val="32"/>
          <w:szCs w:val="32"/>
          <w:highlight w:val="none"/>
        </w:rPr>
        <w:t>元，主要包括：基本工资、津贴补贴、奖金、伙食补助费、绩效工资、机关事业单位基本养老保险缴费、职业年金缴费、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其他工资福利支出。</w:t>
      </w:r>
    </w:p>
    <w:p w14:paraId="42546C4E">
      <w:pPr>
        <w:spacing w:line="600" w:lineRule="exact"/>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b/>
          <w:bCs/>
          <w:color w:val="auto"/>
          <w:sz w:val="32"/>
          <w:szCs w:val="32"/>
          <w:highlight w:val="none"/>
          <w:lang w:val="en-US" w:eastAsia="zh-CN"/>
        </w:rPr>
        <w:t>45.18</w:t>
      </w:r>
      <w:r>
        <w:rPr>
          <w:rFonts w:hint="eastAsia" w:ascii="仿宋_GB2312" w:hAnsi="仿宋_GB2312" w:eastAsia="仿宋_GB2312" w:cs="仿宋_GB2312"/>
          <w:color w:val="auto"/>
          <w:sz w:val="32"/>
          <w:szCs w:val="32"/>
          <w:highlight w:val="none"/>
        </w:rPr>
        <w:t>万元，主要包括：办公费、印刷费、邮电费、差旅费、培训费、公务接待费、工会经费、福利费、其他交通费、其他商品和服务支出等。</w:t>
      </w:r>
    </w:p>
    <w:p w14:paraId="0F3BEA92">
      <w:pPr>
        <w:spacing w:line="600" w:lineRule="exact"/>
        <w:ind w:firstLine="640"/>
        <w:outlineLvl w:val="1"/>
        <w:rPr>
          <w:rStyle w:val="20"/>
          <w:rFonts w:ascii="黑体" w:hAnsi="黑体" w:eastAsia="黑体"/>
          <w:b w:val="0"/>
          <w:color w:val="auto"/>
          <w:highlight w:val="none"/>
        </w:rPr>
      </w:pPr>
      <w:bookmarkStart w:id="62" w:name="_Toc15377215"/>
      <w:bookmarkStart w:id="63" w:name="_Toc29024"/>
      <w:bookmarkStart w:id="64" w:name="_Toc15396609"/>
      <w:bookmarkStart w:id="65" w:name="_Toc21819"/>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62"/>
      <w:bookmarkEnd w:id="63"/>
      <w:bookmarkEnd w:id="64"/>
      <w:bookmarkEnd w:id="65"/>
    </w:p>
    <w:p w14:paraId="1BC4EEB5">
      <w:pPr>
        <w:spacing w:line="600" w:lineRule="exact"/>
        <w:ind w:firstLine="640"/>
        <w:outlineLvl w:val="2"/>
        <w:rPr>
          <w:rFonts w:hint="eastAsia" w:ascii="仿宋_GB2312" w:hAnsi="仿宋_GB2312" w:eastAsia="仿宋_GB2312" w:cs="仿宋_GB2312"/>
          <w:b/>
          <w:color w:val="auto"/>
          <w:sz w:val="32"/>
          <w:szCs w:val="32"/>
          <w:highlight w:val="none"/>
        </w:rPr>
      </w:pPr>
      <w:bookmarkStart w:id="66" w:name="_Toc15377216"/>
      <w:r>
        <w:rPr>
          <w:rFonts w:hint="eastAsia" w:ascii="仿宋_GB2312" w:hAnsi="仿宋_GB2312" w:eastAsia="仿宋_GB2312" w:cs="仿宋_GB2312"/>
          <w:b/>
          <w:color w:val="auto"/>
          <w:sz w:val="32"/>
          <w:szCs w:val="32"/>
          <w:highlight w:val="none"/>
        </w:rPr>
        <w:t>（一）“三公”经费财政拨款支出决算总体情况说明</w:t>
      </w:r>
      <w:bookmarkEnd w:id="66"/>
    </w:p>
    <w:p w14:paraId="4988392B">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1.44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减少0.47万元，下降24.58%。</w:t>
      </w:r>
      <w:r>
        <w:rPr>
          <w:rFonts w:hint="eastAsia" w:ascii="仿宋_GB2312" w:hAnsi="仿宋_GB2312" w:eastAsia="仿宋_GB2312" w:cs="仿宋_GB2312"/>
          <w:color w:val="auto"/>
          <w:sz w:val="32"/>
          <w:szCs w:val="32"/>
          <w:highlight w:val="none"/>
        </w:rPr>
        <w:t>决算数小于预算数主要原因是</w:t>
      </w:r>
      <w:r>
        <w:rPr>
          <w:rFonts w:hint="eastAsia" w:ascii="仿宋_GB2312" w:hAnsi="仿宋_GB2312" w:eastAsia="仿宋_GB2312" w:cs="仿宋_GB2312"/>
          <w:color w:val="auto"/>
          <w:sz w:val="32"/>
          <w:szCs w:val="32"/>
          <w:highlight w:val="none"/>
          <w:lang w:eastAsia="zh-CN"/>
        </w:rPr>
        <w:t>厉行节约，减少开支</w:t>
      </w:r>
      <w:r>
        <w:rPr>
          <w:rFonts w:hint="eastAsia" w:ascii="仿宋_GB2312" w:hAnsi="仿宋_GB2312" w:eastAsia="仿宋_GB2312" w:cs="仿宋_GB2312"/>
          <w:color w:val="auto"/>
          <w:sz w:val="32"/>
          <w:szCs w:val="32"/>
          <w:highlight w:val="none"/>
        </w:rPr>
        <w:t>。</w:t>
      </w:r>
    </w:p>
    <w:p w14:paraId="744F27BB">
      <w:pPr>
        <w:spacing w:line="600" w:lineRule="exact"/>
        <w:ind w:firstLine="640"/>
        <w:outlineLvl w:val="2"/>
        <w:rPr>
          <w:rFonts w:hint="eastAsia" w:ascii="仿宋_GB2312" w:hAnsi="仿宋_GB2312" w:eastAsia="仿宋_GB2312" w:cs="仿宋_GB2312"/>
          <w:b/>
          <w:color w:val="auto"/>
          <w:sz w:val="32"/>
          <w:szCs w:val="32"/>
          <w:highlight w:val="none"/>
        </w:rPr>
      </w:pPr>
      <w:bookmarkStart w:id="67" w:name="_Toc15377217"/>
      <w:r>
        <w:rPr>
          <w:rFonts w:hint="eastAsia" w:ascii="仿宋_GB2312" w:hAnsi="仿宋_GB2312" w:eastAsia="仿宋_GB2312" w:cs="仿宋_GB2312"/>
          <w:b/>
          <w:color w:val="auto"/>
          <w:sz w:val="32"/>
          <w:szCs w:val="32"/>
          <w:highlight w:val="none"/>
        </w:rPr>
        <w:t>（二）“三公”经费财政拨款支出决算具体情况说明</w:t>
      </w:r>
      <w:bookmarkEnd w:id="67"/>
    </w:p>
    <w:p w14:paraId="33AEFA71">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1.44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14:paraId="3B72E859">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（图7：“三公”经费财政拨款支出结构）（饼状图）</w:t>
      </w:r>
    </w:p>
    <w:p w14:paraId="2338D26F">
      <w:pPr>
        <w:spacing w:line="600" w:lineRule="exact"/>
        <w:ind w:firstLine="420" w:firstLineChars="200"/>
        <w:rPr>
          <w:rFonts w:hint="eastAsia" w:ascii="仿宋_GB2312" w:hAnsi="仿宋_GB2312" w:eastAsia="仿宋_GB2312" w:cs="仿宋_GB2312"/>
          <w:b/>
          <w:color w:val="auto"/>
          <w:sz w:val="32"/>
          <w:szCs w:val="32"/>
          <w:highlight w:val="none"/>
        </w:rPr>
      </w:pPr>
      <w:r>
        <w:rPr>
          <w:position w:val="-84"/>
        </w:rPr>
        <w:drawing>
          <wp:anchor distT="0" distB="0" distL="0" distR="0" simplePos="0" relativeHeight="251665408" behindDoc="0" locked="0" layoutInCell="1" allowOverlap="1">
            <wp:simplePos x="0" y="0"/>
            <wp:positionH relativeFrom="column">
              <wp:posOffset>237490</wp:posOffset>
            </wp:positionH>
            <wp:positionV relativeFrom="paragraph">
              <wp:posOffset>65405</wp:posOffset>
            </wp:positionV>
            <wp:extent cx="4947920" cy="3301365"/>
            <wp:effectExtent l="0" t="0" r="5080" b="13335"/>
            <wp:wrapTopAndBottom/>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4947920" cy="3301365"/>
                    </a:xfrm>
                    <a:prstGeom prst="rect">
                      <a:avLst/>
                    </a:prstGeom>
                  </pic:spPr>
                </pic:pic>
              </a:graphicData>
            </a:graphic>
          </wp:anchor>
        </w:drawing>
      </w:r>
      <w:r>
        <w:rPr>
          <w:rFonts w:hint="eastAsia"/>
          <w:position w:val="-84"/>
          <w:lang w:val="en-US" w:eastAsia="zh-CN"/>
        </w:rPr>
        <w:t xml:space="preserve"> </w:t>
      </w:r>
      <w:r>
        <w:rPr>
          <w:rFonts w:hint="eastAsia" w:ascii="仿宋_GB2312" w:hAnsi="仿宋_GB2312" w:eastAsia="仿宋_GB2312" w:cs="仿宋_GB2312"/>
          <w:position w:val="-84"/>
          <w:lang w:val="en-US" w:eastAsia="zh-CN"/>
        </w:rPr>
        <w:t xml:space="preserve"> </w:t>
      </w: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万元，完成预算</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全年安排因公出国（境）团组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次，出国（境）</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人。因公出国（境）支出决算比20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14:paraId="19DFB100">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%。公务用车购置及运行维护费支出决算比20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年增加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14:paraId="6E2BDD8B">
      <w:pPr>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万元。全年按规定更新购置公务用车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辆，其中：轿车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万元，越野车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万元，载客汽车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万元。截至20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辆，其中：轿车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辆、越野车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辆、载客汽车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14:paraId="18F25306">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eastAsia="仿宋_GB2312"/>
          <w:color w:val="auto"/>
          <w:sz w:val="32"/>
          <w:szCs w:val="32"/>
          <w:highlight w:val="none"/>
        </w:rPr>
        <w:t>主要用于</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（具体工作）等所需的公务用车燃料费、维修费、过路过桥费、保险费等支出。</w:t>
      </w:r>
    </w:p>
    <w:p w14:paraId="05B65C43">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color w:val="auto"/>
          <w:sz w:val="32"/>
          <w:szCs w:val="32"/>
          <w:highlight w:val="none"/>
          <w:lang w:val="en-US" w:eastAsia="zh-CN"/>
        </w:rPr>
        <w:t>1.44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0.47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24.58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厉行节约。</w:t>
      </w:r>
      <w:r>
        <w:rPr>
          <w:rFonts w:hint="eastAsia" w:ascii="仿宋_GB2312" w:hAnsi="仿宋_GB2312" w:eastAsia="仿宋_GB2312" w:cs="仿宋_GB2312"/>
          <w:color w:val="auto"/>
          <w:sz w:val="32"/>
          <w:szCs w:val="32"/>
          <w:highlight w:val="none"/>
        </w:rPr>
        <w:t>其中：</w:t>
      </w:r>
    </w:p>
    <w:p w14:paraId="28EAF3BF">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1.44</w:t>
      </w:r>
      <w:r>
        <w:rPr>
          <w:rFonts w:hint="eastAsia" w:ascii="仿宋_GB2312" w:hAnsi="仿宋_GB2312" w:eastAsia="仿宋_GB2312" w:cs="仿宋_GB2312"/>
          <w:color w:val="auto"/>
          <w:sz w:val="32"/>
          <w:szCs w:val="32"/>
          <w:highlight w:val="none"/>
        </w:rPr>
        <w:t>万元，主要用于执行公务、开展业务活动开支的用餐费。国内公务接待</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150</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1.44</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eastAsia="仿宋_GB2312" w:cs="仿宋_GB2312"/>
          <w:color w:val="auto"/>
          <w:sz w:val="32"/>
          <w:szCs w:val="32"/>
          <w:highlight w:val="none"/>
          <w:lang w:eastAsia="zh-CN"/>
        </w:rPr>
        <w:t>公务接待用餐费</w:t>
      </w:r>
      <w:r>
        <w:rPr>
          <w:rFonts w:hint="eastAsia" w:ascii="仿宋_GB2312" w:hAnsi="仿宋_GB2312" w:eastAsia="仿宋_GB2312" w:cs="仿宋_GB2312"/>
          <w:color w:val="auto"/>
          <w:sz w:val="32"/>
          <w:szCs w:val="32"/>
          <w:highlight w:val="none"/>
          <w:lang w:val="en-US" w:eastAsia="zh-CN"/>
        </w:rPr>
        <w:t>1.44万元</w:t>
      </w:r>
      <w:r>
        <w:rPr>
          <w:rFonts w:hint="eastAsia" w:ascii="仿宋_GB2312" w:hAnsi="仿宋_GB2312" w:eastAsia="仿宋_GB2312" w:cs="仿宋_GB2312"/>
          <w:color w:val="auto"/>
          <w:sz w:val="32"/>
          <w:szCs w:val="32"/>
          <w:highlight w:val="none"/>
        </w:rPr>
        <w:t>。</w:t>
      </w:r>
    </w:p>
    <w:p w14:paraId="1BE0D003">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26D1D922">
      <w:pPr>
        <w:spacing w:line="600" w:lineRule="exact"/>
        <w:ind w:firstLine="640"/>
        <w:outlineLvl w:val="1"/>
        <w:rPr>
          <w:rStyle w:val="20"/>
          <w:rFonts w:ascii="黑体" w:hAnsi="黑体" w:eastAsia="黑体"/>
          <w:color w:val="auto"/>
          <w:highlight w:val="none"/>
        </w:rPr>
      </w:pPr>
      <w:bookmarkStart w:id="68" w:name="_Toc11115"/>
      <w:bookmarkStart w:id="69" w:name="_Toc15377218"/>
      <w:bookmarkStart w:id="70" w:name="_Toc10681"/>
      <w:bookmarkStart w:id="71" w:name="_Toc15396610"/>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68"/>
      <w:bookmarkEnd w:id="69"/>
      <w:bookmarkEnd w:id="70"/>
      <w:bookmarkEnd w:id="71"/>
    </w:p>
    <w:p w14:paraId="1B37F5BF">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231.55</w:t>
      </w:r>
      <w:r>
        <w:rPr>
          <w:rFonts w:hint="eastAsia" w:ascii="仿宋_GB2312" w:eastAsia="仿宋_GB2312"/>
          <w:color w:val="auto"/>
          <w:sz w:val="32"/>
          <w:szCs w:val="32"/>
          <w:highlight w:val="none"/>
        </w:rPr>
        <w:t>万元。</w:t>
      </w:r>
    </w:p>
    <w:p w14:paraId="49AA5918">
      <w:pPr>
        <w:numPr>
          <w:ilvl w:val="0"/>
          <w:numId w:val="0"/>
        </w:numPr>
        <w:spacing w:line="600" w:lineRule="exact"/>
        <w:ind w:firstLine="640" w:firstLineChars="0"/>
        <w:outlineLvl w:val="1"/>
        <w:rPr>
          <w:rStyle w:val="20"/>
          <w:rFonts w:ascii="黑体" w:hAnsi="黑体" w:eastAsia="黑体"/>
          <w:b w:val="0"/>
          <w:color w:val="auto"/>
          <w:highlight w:val="none"/>
        </w:rPr>
      </w:pPr>
      <w:bookmarkStart w:id="72" w:name="_Toc15377219"/>
      <w:bookmarkStart w:id="73" w:name="_Toc15396611"/>
      <w:bookmarkStart w:id="74" w:name="_Toc15412"/>
      <w:bookmarkStart w:id="75" w:name="_Toc29571"/>
      <w:r>
        <w:rPr>
          <w:rFonts w:hint="eastAsia" w:ascii="黑体" w:hAnsi="黑体" w:eastAsia="黑体" w:cstheme="majorBidi"/>
          <w:b w:val="0"/>
          <w:bCs/>
          <w:color w:val="auto"/>
          <w:kern w:val="2"/>
          <w:sz w:val="32"/>
          <w:szCs w:val="32"/>
          <w:lang w:val="en-US" w:eastAsia="zh-CN" w:bidi="ar-SA"/>
        </w:rPr>
        <w:t>九、</w:t>
      </w:r>
      <w:r>
        <w:rPr>
          <w:rStyle w:val="20"/>
          <w:rFonts w:hint="eastAsia" w:ascii="黑体" w:hAnsi="黑体" w:eastAsia="黑体"/>
          <w:b w:val="0"/>
          <w:color w:val="auto"/>
          <w:highlight w:val="none"/>
        </w:rPr>
        <w:t>国有资本经营预算支出决算情况说明</w:t>
      </w:r>
      <w:bookmarkEnd w:id="72"/>
      <w:bookmarkEnd w:id="73"/>
      <w:bookmarkEnd w:id="74"/>
      <w:bookmarkEnd w:id="75"/>
    </w:p>
    <w:p w14:paraId="1D8DABAA">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87CE238">
      <w:pPr>
        <w:numPr>
          <w:ilvl w:val="0"/>
          <w:numId w:val="0"/>
        </w:numPr>
        <w:spacing w:line="600" w:lineRule="exact"/>
        <w:ind w:firstLine="640" w:firstLineChars="0"/>
        <w:outlineLvl w:val="1"/>
        <w:rPr>
          <w:rStyle w:val="20"/>
          <w:rFonts w:hint="eastAsia" w:ascii="黑体" w:hAnsi="黑体" w:eastAsia="黑体"/>
          <w:b w:val="0"/>
          <w:color w:val="auto"/>
          <w:highlight w:val="none"/>
        </w:rPr>
      </w:pPr>
      <w:bookmarkStart w:id="76" w:name="_Toc1327"/>
      <w:bookmarkStart w:id="77" w:name="_Toc27871"/>
      <w:bookmarkStart w:id="78" w:name="_Toc15396612"/>
      <w:bookmarkStart w:id="79" w:name="_Toc15377221"/>
      <w:r>
        <w:rPr>
          <w:rFonts w:hint="eastAsia" w:ascii="黑体" w:hAnsi="黑体" w:eastAsia="黑体" w:cstheme="majorBidi"/>
          <w:b w:val="0"/>
          <w:bCs/>
          <w:color w:val="auto"/>
          <w:kern w:val="2"/>
          <w:sz w:val="32"/>
          <w:szCs w:val="32"/>
          <w:lang w:val="en-US" w:eastAsia="zh-CN" w:bidi="ar-SA"/>
        </w:rPr>
        <w:t>十、</w:t>
      </w:r>
      <w:r>
        <w:rPr>
          <w:rStyle w:val="20"/>
          <w:rFonts w:hint="eastAsia" w:ascii="黑体" w:hAnsi="黑体" w:eastAsia="黑体"/>
          <w:b w:val="0"/>
          <w:color w:val="auto"/>
          <w:highlight w:val="none"/>
        </w:rPr>
        <w:t>其他重要事项的情况说明</w:t>
      </w:r>
      <w:bookmarkEnd w:id="76"/>
      <w:bookmarkEnd w:id="77"/>
      <w:bookmarkEnd w:id="78"/>
      <w:bookmarkEnd w:id="79"/>
    </w:p>
    <w:p w14:paraId="34D5426F">
      <w:pPr>
        <w:spacing w:line="600" w:lineRule="exact"/>
        <w:ind w:firstLine="643" w:firstLineChars="200"/>
        <w:outlineLvl w:val="2"/>
        <w:rPr>
          <w:rFonts w:ascii="仿宋" w:hAnsi="仿宋" w:eastAsia="仿宋"/>
          <w:color w:val="auto"/>
          <w:sz w:val="32"/>
          <w:szCs w:val="32"/>
          <w:highlight w:val="none"/>
        </w:rPr>
      </w:pPr>
      <w:bookmarkStart w:id="80" w:name="_Toc15377222"/>
      <w:r>
        <w:rPr>
          <w:rFonts w:hint="eastAsia" w:ascii="仿宋" w:hAnsi="仿宋" w:eastAsia="仿宋"/>
          <w:b/>
          <w:color w:val="auto"/>
          <w:sz w:val="32"/>
          <w:szCs w:val="32"/>
          <w:highlight w:val="none"/>
        </w:rPr>
        <w:t>（一）机关运行经费支出情况</w:t>
      </w:r>
      <w:bookmarkEnd w:id="80"/>
    </w:p>
    <w:p w14:paraId="2D69D9A0">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统计局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45.18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14.26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23.99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w:t>
      </w:r>
    </w:p>
    <w:p w14:paraId="7785D834">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1" w:name="_Toc15377223"/>
      <w:r>
        <w:rPr>
          <w:rFonts w:hint="eastAsia" w:ascii="仿宋" w:hAnsi="仿宋" w:eastAsia="仿宋"/>
          <w:b/>
          <w:color w:val="auto"/>
          <w:sz w:val="32"/>
          <w:szCs w:val="32"/>
          <w:highlight w:val="none"/>
        </w:rPr>
        <w:t>（二）政府采购支出情况</w:t>
      </w:r>
      <w:bookmarkEnd w:id="81"/>
    </w:p>
    <w:p w14:paraId="0B33B7E6">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统计局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0.29</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0.29</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0058C36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2" w:name="_Toc15377224"/>
      <w:r>
        <w:rPr>
          <w:rFonts w:hint="eastAsia" w:ascii="仿宋" w:hAnsi="仿宋" w:eastAsia="仿宋"/>
          <w:b/>
          <w:color w:val="auto"/>
          <w:sz w:val="32"/>
          <w:szCs w:val="32"/>
          <w:highlight w:val="none"/>
        </w:rPr>
        <w:t>（三）国有资产占有使用情况</w:t>
      </w:r>
      <w:bookmarkEnd w:id="82"/>
    </w:p>
    <w:p w14:paraId="7F66ADA7">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统计局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0BD7A2B">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3C3532A4">
      <w:pPr>
        <w:widowControl/>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第五次全国经济普查和专项统计调查</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个项目开展绩效监控。组织对</w:t>
      </w:r>
      <w:r>
        <w:rPr>
          <w:rFonts w:hint="eastAsia" w:ascii="仿宋_GB2312" w:hAnsi="仿宋_GB2312" w:eastAsia="仿宋_GB2312" w:cs="仿宋_GB2312"/>
          <w:color w:val="auto"/>
          <w:sz w:val="32"/>
          <w:szCs w:val="32"/>
          <w:highlight w:val="none"/>
          <w:lang w:val="en-US" w:eastAsia="zh-CN"/>
        </w:rPr>
        <w:t>2个项目开展绩效自评，绩效自评表详见第四部分附件。</w:t>
      </w:r>
    </w:p>
    <w:p w14:paraId="257EE48D">
      <w:pPr>
        <w:keepNext w:val="0"/>
        <w:keepLines w:val="0"/>
        <w:widowControl/>
        <w:suppressLineNumbers w:val="0"/>
        <w:jc w:val="both"/>
        <w:textAlignment w:val="center"/>
        <w:rPr>
          <w:rFonts w:hint="eastAsia"/>
          <w:lang w:val="en-US" w:eastAsia="zh-CN"/>
        </w:rPr>
        <w:sectPr>
          <w:footerReference r:id="rId7" w:type="first"/>
          <w:headerReference r:id="rId5" w:type="default"/>
          <w:footerReference r:id="rId6" w:type="default"/>
          <w:pgSz w:w="11906" w:h="16838"/>
          <w:pgMar w:top="1440" w:right="1800" w:bottom="1440" w:left="1800" w:header="851" w:footer="992" w:gutter="0"/>
          <w:pgNumType w:fmt="numberInDash"/>
          <w:cols w:space="425" w:num="1"/>
          <w:titlePg/>
          <w:docGrid w:type="lines" w:linePitch="312" w:charSpace="0"/>
        </w:sectPr>
      </w:pPr>
      <w:bookmarkStart w:id="83" w:name="_Toc15396613"/>
      <w:bookmarkStart w:id="84" w:name="_Toc29825"/>
      <w:bookmarkStart w:id="85" w:name="_Toc4730"/>
      <w:bookmarkStart w:id="86" w:name="_Toc15377225"/>
      <w:r>
        <w:rPr>
          <w:rFonts w:hint="eastAsia" w:ascii="宋体" w:hAnsi="宋体" w:eastAsia="宋体" w:cs="宋体"/>
          <w:b/>
          <w:i w:val="0"/>
          <w:color w:val="000000"/>
          <w:kern w:val="0"/>
          <w:sz w:val="36"/>
          <w:szCs w:val="36"/>
          <w:u w:val="none"/>
          <w:lang w:val="en-US" w:eastAsia="zh-CN" w:bidi="ar"/>
        </w:rPr>
        <w:br w:type="page"/>
      </w:r>
    </w:p>
    <w:p w14:paraId="5456E5FC">
      <w:pPr>
        <w:numPr>
          <w:ilvl w:val="0"/>
          <w:numId w:val="0"/>
        </w:numPr>
        <w:spacing w:line="600" w:lineRule="exact"/>
        <w:ind w:left="2100" w:leftChars="0" w:firstLine="420" w:firstLineChars="0"/>
        <w:jc w:val="both"/>
        <w:outlineLvl w:val="0"/>
        <w:rPr>
          <w:rStyle w:val="19"/>
          <w:rFonts w:hint="eastAsia" w:ascii="黑体" w:hAnsi="黑体" w:eastAsia="黑体"/>
          <w:b w:val="0"/>
          <w:color w:val="auto"/>
          <w:highlight w:val="none"/>
        </w:rPr>
      </w:pPr>
      <w:r>
        <w:rPr>
          <w:rFonts w:hint="eastAsia" w:ascii="黑体" w:hAnsi="黑体" w:eastAsia="黑体" w:cs="Times New Roman"/>
          <w:b w:val="0"/>
          <w:bCs/>
          <w:color w:val="auto"/>
          <w:kern w:val="44"/>
          <w:sz w:val="44"/>
          <w:szCs w:val="44"/>
          <w:lang w:val="en-US" w:eastAsia="zh-CN" w:bidi="ar-SA"/>
        </w:rPr>
        <w:t xml:space="preserve">第三部分 </w:t>
      </w:r>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83"/>
      <w:bookmarkEnd w:id="84"/>
      <w:bookmarkEnd w:id="85"/>
      <w:bookmarkEnd w:id="86"/>
    </w:p>
    <w:p w14:paraId="2D68830C">
      <w:pPr>
        <w:pStyle w:val="2"/>
      </w:pPr>
      <w:bookmarkStart w:id="134" w:name="_GoBack"/>
      <w:bookmarkEnd w:id="134"/>
    </w:p>
    <w:p w14:paraId="5FBC5E55">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77923472">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566D6B05">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7B7F2F9B">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7445CF4D">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CF56DC1">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3862FAD">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3E3F193C">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统计信息事务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反映行政单位及公务员管理的事业单位的基本支出</w:t>
      </w:r>
      <w:r>
        <w:rPr>
          <w:rFonts w:hint="eastAsia" w:ascii="仿宋_GB2312" w:eastAsia="仿宋_GB2312"/>
          <w:color w:val="auto"/>
          <w:sz w:val="32"/>
          <w:szCs w:val="32"/>
          <w:highlight w:val="none"/>
        </w:rPr>
        <w:t>。</w:t>
      </w:r>
    </w:p>
    <w:p w14:paraId="75480A71">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统计信息事务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专项统计业务</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反映各级统计机关在日常业务之外开展专项统计工作的支出。</w:t>
      </w:r>
    </w:p>
    <w:p w14:paraId="47E33DA0">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统计信息事务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专项普查活动</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反映统计部门开展人口普查、经济普查、农业普查、投入产出调查等周期性普查工作的支出。</w:t>
      </w:r>
    </w:p>
    <w:p w14:paraId="11FC9BD4">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统计信息事务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统计抽样调查</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反映统计抽样调查队开展各类统计调查工作的支出。</w:t>
      </w:r>
    </w:p>
    <w:p w14:paraId="01B3A89D">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统计信息事务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事业运行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反映事业单位的基本支出，不包括行政单位后勤服务中心、医务室等附属事业单位。</w:t>
      </w:r>
    </w:p>
    <w:p w14:paraId="0FBCC637">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机关事业单位基本养老保险缴费支出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反映机关事业单位实施养老保险制度由单位缴纳的基本养老保险费支出</w:t>
      </w:r>
      <w:r>
        <w:rPr>
          <w:rFonts w:hint="eastAsia" w:ascii="仿宋_GB2312" w:eastAsia="仿宋_GB2312"/>
          <w:color w:val="auto"/>
          <w:sz w:val="32"/>
          <w:szCs w:val="32"/>
          <w:highlight w:val="none"/>
        </w:rPr>
        <w:t>。</w:t>
      </w:r>
    </w:p>
    <w:p w14:paraId="733A046F">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机关事业单位职业年金缴费支出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反映机关事业单位实施养老保险制度由单位缴纳的职业年金支出</w:t>
      </w:r>
      <w:r>
        <w:rPr>
          <w:rFonts w:hint="eastAsia" w:ascii="仿宋_GB2312" w:eastAsia="仿宋_GB2312"/>
          <w:color w:val="auto"/>
          <w:sz w:val="32"/>
          <w:szCs w:val="32"/>
          <w:highlight w:val="none"/>
        </w:rPr>
        <w:t>。</w:t>
      </w:r>
    </w:p>
    <w:p w14:paraId="562792C6">
      <w:pPr>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其他社会保障和就业支出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其他社会保障和就业支出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反映除上述项目以外其他用于社会保障和就业方面的支出</w:t>
      </w:r>
      <w:r>
        <w:rPr>
          <w:rFonts w:hint="eastAsia" w:ascii="仿宋_GB2312" w:eastAsia="仿宋_GB2312"/>
          <w:color w:val="auto"/>
          <w:sz w:val="32"/>
          <w:szCs w:val="32"/>
          <w:highlight w:val="none"/>
        </w:rPr>
        <w:t>。</w:t>
      </w:r>
    </w:p>
    <w:p w14:paraId="6E92FC47">
      <w:pPr>
        <w:pStyle w:val="6"/>
        <w:keepNext w:val="0"/>
        <w:keepLines w:val="0"/>
        <w:pageBreakBefore w:val="0"/>
        <w:widowControl w:val="0"/>
        <w:kinsoku/>
        <w:wordWrap/>
        <w:overflowPunct/>
        <w:topLinePunct w:val="0"/>
        <w:bidi w:val="0"/>
        <w:snapToGrid/>
        <w:spacing w:beforeLines="0" w:line="600" w:lineRule="exact"/>
        <w:ind w:right="0" w:firstLine="640" w:firstLineChars="200"/>
        <w:jc w:val="both"/>
        <w:textAlignment w:val="auto"/>
        <w:rPr>
          <w:spacing w:val="8"/>
          <w:sz w:val="31"/>
          <w:szCs w:val="31"/>
        </w:rPr>
      </w:pPr>
      <w:r>
        <w:rPr>
          <w:rFonts w:ascii="仿宋_GB2312" w:eastAsia="仿宋_GB2312"/>
          <w:color w:val="auto"/>
          <w:sz w:val="32"/>
          <w:szCs w:val="32"/>
          <w:highlight w:val="none"/>
        </w:rPr>
        <w:t>1</w:t>
      </w:r>
      <w:r>
        <w:rPr>
          <w:rFonts w:hint="eastAsia"/>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w:t>
      </w:r>
      <w:r>
        <w:rPr>
          <w:rFonts w:hint="eastAsia"/>
          <w:color w:val="auto"/>
          <w:sz w:val="32"/>
          <w:szCs w:val="32"/>
          <w:highlight w:val="none"/>
          <w:lang w:eastAsia="zh-CN"/>
        </w:rPr>
        <w:t>单位</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w:t>
      </w:r>
      <w:r>
        <w:rPr>
          <w:rFonts w:hint="eastAsia"/>
          <w:spacing w:val="9"/>
          <w:sz w:val="31"/>
          <w:szCs w:val="31"/>
          <w:lang w:eastAsia="zh-CN"/>
        </w:rPr>
        <w:t>财</w:t>
      </w:r>
      <w:r>
        <w:rPr>
          <w:spacing w:val="9"/>
          <w:sz w:val="31"/>
          <w:szCs w:val="31"/>
        </w:rPr>
        <w:t>政部门安排的行政单位</w:t>
      </w:r>
      <w:r>
        <w:rPr>
          <w:rFonts w:hint="eastAsia"/>
          <w:spacing w:val="9"/>
          <w:sz w:val="31"/>
          <w:szCs w:val="31"/>
          <w:lang w:eastAsia="zh-CN"/>
        </w:rPr>
        <w:t>（包括实行公务员管理的事业单位）</w:t>
      </w:r>
      <w:r>
        <w:rPr>
          <w:spacing w:val="9"/>
          <w:sz w:val="31"/>
          <w:szCs w:val="31"/>
        </w:rPr>
        <w:t>基本医疗保险缴费经</w:t>
      </w:r>
      <w:r>
        <w:rPr>
          <w:spacing w:val="10"/>
          <w:sz w:val="31"/>
          <w:szCs w:val="31"/>
        </w:rPr>
        <w:t>费，未参加医疗保险的行政单位和公费医疗经费，</w:t>
      </w:r>
      <w:r>
        <w:rPr>
          <w:spacing w:val="9"/>
          <w:sz w:val="31"/>
          <w:szCs w:val="31"/>
        </w:rPr>
        <w:t>按国家规定享</w:t>
      </w:r>
      <w:r>
        <w:rPr>
          <w:spacing w:val="8"/>
          <w:sz w:val="31"/>
          <w:szCs w:val="31"/>
        </w:rPr>
        <w:t>受离休人员、红军老战士待遇人员的医疗经费。</w:t>
      </w:r>
    </w:p>
    <w:p w14:paraId="725C32D0">
      <w:pPr>
        <w:pStyle w:val="6"/>
        <w:keepNext w:val="0"/>
        <w:keepLines w:val="0"/>
        <w:pageBreakBefore w:val="0"/>
        <w:widowControl w:val="0"/>
        <w:kinsoku/>
        <w:wordWrap/>
        <w:overflowPunct/>
        <w:topLinePunct w:val="0"/>
        <w:bidi w:val="0"/>
        <w:snapToGrid/>
        <w:spacing w:beforeLines="0" w:line="600" w:lineRule="exact"/>
        <w:ind w:right="0" w:firstLine="640" w:firstLineChars="200"/>
        <w:jc w:val="both"/>
        <w:textAlignment w:val="auto"/>
        <w:rPr>
          <w:rFonts w:hint="eastAsia" w:eastAsia="仿宋_GB2312"/>
          <w:sz w:val="31"/>
          <w:szCs w:val="31"/>
          <w:lang w:eastAsia="zh-CN"/>
        </w:rPr>
      </w:pPr>
      <w:r>
        <w:rPr>
          <w:rFonts w:ascii="仿宋_GB2312" w:eastAsia="仿宋_GB2312"/>
          <w:color w:val="auto"/>
          <w:sz w:val="32"/>
          <w:szCs w:val="32"/>
          <w:highlight w:val="none"/>
        </w:rPr>
        <w:t>1</w:t>
      </w:r>
      <w:r>
        <w:rPr>
          <w:rFonts w:hint="eastAsia"/>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color w:val="auto"/>
          <w:sz w:val="32"/>
          <w:szCs w:val="32"/>
          <w:highlight w:val="none"/>
          <w:lang w:eastAsia="zh-CN"/>
        </w:rPr>
        <w:t>）公务员医疗补助</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w:t>
      </w:r>
      <w:r>
        <w:rPr>
          <w:rFonts w:hint="eastAsia"/>
          <w:spacing w:val="9"/>
          <w:sz w:val="31"/>
          <w:szCs w:val="31"/>
          <w:lang w:eastAsia="zh-CN"/>
        </w:rPr>
        <w:t>财</w:t>
      </w:r>
      <w:r>
        <w:rPr>
          <w:spacing w:val="9"/>
          <w:sz w:val="31"/>
          <w:szCs w:val="31"/>
        </w:rPr>
        <w:t>政部门安排的</w:t>
      </w:r>
      <w:r>
        <w:rPr>
          <w:rFonts w:hint="eastAsia"/>
          <w:spacing w:val="9"/>
          <w:sz w:val="31"/>
          <w:szCs w:val="31"/>
          <w:lang w:eastAsia="zh-CN"/>
        </w:rPr>
        <w:t>公务员医疗补助经费。</w:t>
      </w:r>
    </w:p>
    <w:p w14:paraId="67FD6D47">
      <w:pPr>
        <w:keepNext w:val="0"/>
        <w:keepLines w:val="0"/>
        <w:pageBreakBefore w:val="0"/>
        <w:widowControl w:val="0"/>
        <w:kinsoku/>
        <w:wordWrap/>
        <w:overflowPunct/>
        <w:topLinePunct w:val="0"/>
        <w:bidi w:val="0"/>
        <w:snapToGrid/>
        <w:spacing w:line="600" w:lineRule="exact"/>
        <w:ind w:right="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反映事业单位按人力资源和社会保障部、财政部规定的基本工资和津贴补贴以及规定比例为职工缴纳的住房公积金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14:paraId="05287626">
      <w:pPr>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55CBBB1">
      <w:pPr>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02592F0">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EE68303">
      <w:pPr>
        <w:pStyle w:val="22"/>
        <w:keepNext w:val="0"/>
        <w:keepLines w:val="0"/>
        <w:pageBreakBefore w:val="0"/>
        <w:widowControl w:val="0"/>
        <w:kinsoku/>
        <w:wordWrap/>
        <w:overflowPunct/>
        <w:topLinePunct w:val="0"/>
        <w:bidi w:val="0"/>
        <w:snapToGrid/>
        <w:spacing w:line="600" w:lineRule="exact"/>
        <w:ind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以及其他费用。</w:t>
      </w:r>
    </w:p>
    <w:p w14:paraId="7C16529F">
      <w:pPr>
        <w:spacing w:line="600" w:lineRule="exact"/>
        <w:jc w:val="center"/>
        <w:outlineLvl w:val="0"/>
        <w:rPr>
          <w:rFonts w:hint="eastAsia" w:ascii="黑体" w:hAnsi="黑体" w:eastAsia="黑体"/>
          <w:color w:val="auto"/>
          <w:sz w:val="44"/>
          <w:szCs w:val="44"/>
          <w:highlight w:val="none"/>
        </w:rPr>
        <w:sectPr>
          <w:pgSz w:w="11906" w:h="16838"/>
          <w:pgMar w:top="1440" w:right="1800" w:bottom="1440" w:left="1800" w:header="851" w:footer="992" w:gutter="0"/>
          <w:pgNumType w:fmt="numberInDash"/>
          <w:cols w:space="425" w:num="1"/>
          <w:titlePg/>
          <w:docGrid w:type="lines" w:linePitch="312" w:charSpace="0"/>
        </w:sectPr>
      </w:pPr>
      <w:bookmarkStart w:id="87" w:name="_Toc21237"/>
      <w:bookmarkStart w:id="88" w:name="_Toc27391"/>
      <w:bookmarkStart w:id="89" w:name="_Toc15396614"/>
      <w:bookmarkStart w:id="90" w:name="_Toc15377226"/>
    </w:p>
    <w:p w14:paraId="0A9BE1A9">
      <w:pPr>
        <w:spacing w:line="600" w:lineRule="exact"/>
        <w:jc w:val="center"/>
        <w:outlineLvl w:val="0"/>
        <w:rPr>
          <w:rStyle w:val="19"/>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p>
    <w:p w14:paraId="1CE70984">
      <w:pPr>
        <w:bidi w:val="0"/>
        <w:rPr>
          <w:rFonts w:hint="eastAsia"/>
        </w:rPr>
      </w:pPr>
      <w:bookmarkStart w:id="91" w:name="_Toc9742"/>
    </w:p>
    <w:bookmarkEnd w:id="91"/>
    <w:p w14:paraId="52929576">
      <w:pPr>
        <w:widowControl/>
        <w:spacing w:line="580" w:lineRule="exact"/>
        <w:contextualSpacing/>
        <w:jc w:val="center"/>
        <w:rPr>
          <w:rFonts w:hint="eastAsia" w:ascii="宋体" w:hAnsi="宋体" w:eastAsia="宋体"/>
          <w:b/>
          <w:sz w:val="44"/>
          <w:szCs w:val="44"/>
          <w:shd w:val="clear" w:color="auto" w:fill="FFFFFF"/>
          <w:lang w:eastAsia="zh-CN"/>
        </w:rPr>
      </w:pPr>
    </w:p>
    <w:p w14:paraId="40D9E288">
      <w:pPr>
        <w:widowControl/>
        <w:spacing w:line="580" w:lineRule="exact"/>
        <w:contextualSpacing/>
        <w:jc w:val="center"/>
        <w:rPr>
          <w:rFonts w:hint="eastAsia" w:ascii="宋体" w:hAnsi="宋体" w:eastAsia="宋体"/>
          <w:b/>
          <w:sz w:val="44"/>
          <w:szCs w:val="44"/>
          <w:shd w:val="clear" w:color="auto" w:fill="FFFFFF"/>
          <w:lang w:eastAsia="zh-CN"/>
        </w:rPr>
      </w:pPr>
    </w:p>
    <w:tbl>
      <w:tblPr>
        <w:tblStyle w:val="14"/>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036"/>
        <w:gridCol w:w="684"/>
        <w:gridCol w:w="1556"/>
        <w:gridCol w:w="460"/>
        <w:gridCol w:w="1216"/>
        <w:gridCol w:w="1166"/>
        <w:gridCol w:w="48"/>
        <w:gridCol w:w="122"/>
        <w:gridCol w:w="2300"/>
        <w:gridCol w:w="1057"/>
        <w:gridCol w:w="1057"/>
        <w:gridCol w:w="1837"/>
        <w:gridCol w:w="208"/>
      </w:tblGrid>
      <w:tr w14:paraId="4848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163" w:type="dxa"/>
            <w:gridSpan w:val="14"/>
            <w:tcBorders>
              <w:top w:val="nil"/>
              <w:left w:val="nil"/>
              <w:bottom w:val="nil"/>
              <w:right w:val="nil"/>
            </w:tcBorders>
            <w:shd w:val="clear" w:color="auto" w:fill="auto"/>
            <w:vAlign w:val="center"/>
          </w:tcPr>
          <w:p w14:paraId="1BF6AC1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项目支出绩效自评表</w:t>
            </w:r>
          </w:p>
        </w:tc>
      </w:tr>
      <w:tr w14:paraId="189C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6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C7E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53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61E6A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专项统计调查工作经费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15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w:t>
            </w:r>
          </w:p>
        </w:tc>
        <w:tc>
          <w:tcPr>
            <w:tcW w:w="3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599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14:paraId="7BB6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706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53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996762">
            <w:pPr>
              <w:jc w:val="left"/>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3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527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峨边彝族自治县统计局</w:t>
            </w:r>
          </w:p>
        </w:tc>
      </w:tr>
      <w:tr w14:paraId="5CE5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16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7260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项目资金（万元）</w:t>
            </w:r>
          </w:p>
        </w:tc>
      </w:tr>
      <w:tr w14:paraId="4CE0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82" w:type="dxa"/>
            <w:gridSpan w:val="8"/>
            <w:tcBorders>
              <w:top w:val="single" w:color="000000" w:sz="4" w:space="0"/>
              <w:left w:val="single" w:color="000000" w:sz="4" w:space="0"/>
              <w:bottom w:val="single" w:color="000000" w:sz="4" w:space="0"/>
              <w:right w:val="nil"/>
            </w:tcBorders>
            <w:shd w:val="clear" w:color="auto" w:fill="auto"/>
            <w:vAlign w:val="center"/>
          </w:tcPr>
          <w:p w14:paraId="421DDF91">
            <w:pPr>
              <w:jc w:val="center"/>
              <w:rPr>
                <w:rFonts w:hint="eastAsia" w:ascii="宋体" w:hAnsi="宋体" w:eastAsia="宋体" w:cs="宋体"/>
                <w:i w:val="0"/>
                <w:iCs w:val="0"/>
                <w:color w:val="000000"/>
                <w:sz w:val="16"/>
                <w:szCs w:val="16"/>
                <w:u w:val="none"/>
              </w:rPr>
            </w:pP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62E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AB3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CFE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14:paraId="5F4A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FB2E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4DEF">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131.69</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9A7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131.69</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D6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23B3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1BA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其中：中省补助资金</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C7F43">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E0AB8">
            <w:pPr>
              <w:jc w:val="center"/>
              <w:rPr>
                <w:rFonts w:hint="eastAsia" w:ascii="宋体" w:hAnsi="宋体" w:eastAsia="宋体" w:cs="宋体"/>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B32DC">
            <w:pPr>
              <w:jc w:val="center"/>
              <w:rPr>
                <w:rFonts w:hint="eastAsia" w:ascii="宋体" w:hAnsi="宋体" w:eastAsia="宋体" w:cs="宋体"/>
                <w:i w:val="0"/>
                <w:iCs w:val="0"/>
                <w:color w:val="000000"/>
                <w:sz w:val="16"/>
                <w:szCs w:val="16"/>
                <w:u w:val="none"/>
              </w:rPr>
            </w:pPr>
          </w:p>
        </w:tc>
      </w:tr>
      <w:tr w14:paraId="730F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A9CD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县级预算资金</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24F44">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4AC15">
            <w:pPr>
              <w:jc w:val="center"/>
              <w:rPr>
                <w:rFonts w:hint="eastAsia" w:ascii="宋体" w:hAnsi="宋体" w:eastAsia="宋体" w:cs="宋体"/>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F7174">
            <w:pPr>
              <w:jc w:val="center"/>
              <w:rPr>
                <w:rFonts w:hint="eastAsia" w:ascii="宋体" w:hAnsi="宋体" w:eastAsia="宋体" w:cs="宋体"/>
                <w:i w:val="0"/>
                <w:iCs w:val="0"/>
                <w:color w:val="000000"/>
                <w:sz w:val="16"/>
                <w:szCs w:val="16"/>
                <w:u w:val="none"/>
              </w:rPr>
            </w:pPr>
          </w:p>
        </w:tc>
      </w:tr>
      <w:tr w14:paraId="4E4C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CA1A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7AFE1">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CE6DE">
            <w:pPr>
              <w:jc w:val="center"/>
              <w:rPr>
                <w:rFonts w:hint="eastAsia" w:ascii="宋体" w:hAnsi="宋体" w:eastAsia="宋体" w:cs="宋体"/>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758F5">
            <w:pPr>
              <w:jc w:val="center"/>
              <w:rPr>
                <w:rFonts w:hint="eastAsia" w:ascii="宋体" w:hAnsi="宋体" w:eastAsia="宋体" w:cs="宋体"/>
                <w:i w:val="0"/>
                <w:iCs w:val="0"/>
                <w:color w:val="000000"/>
                <w:sz w:val="16"/>
                <w:szCs w:val="16"/>
                <w:u w:val="none"/>
              </w:rPr>
            </w:pPr>
          </w:p>
        </w:tc>
      </w:tr>
      <w:tr w14:paraId="2D38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CA0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63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1AD0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3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E2F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14:paraId="1865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414F">
            <w:pPr>
              <w:jc w:val="left"/>
              <w:rPr>
                <w:rFonts w:hint="eastAsia" w:ascii="宋体" w:hAnsi="宋体" w:eastAsia="宋体" w:cs="宋体"/>
                <w:i w:val="0"/>
                <w:iCs w:val="0"/>
                <w:color w:val="000000"/>
                <w:sz w:val="16"/>
                <w:szCs w:val="16"/>
                <w:u w:val="none"/>
              </w:rPr>
            </w:pPr>
          </w:p>
        </w:tc>
        <w:tc>
          <w:tcPr>
            <w:tcW w:w="6369" w:type="dxa"/>
            <w:gridSpan w:val="7"/>
            <w:tcBorders>
              <w:top w:val="single" w:color="000000" w:sz="4" w:space="0"/>
              <w:left w:val="single" w:color="000000" w:sz="4" w:space="0"/>
              <w:bottom w:val="nil"/>
              <w:right w:val="single" w:color="000000" w:sz="4" w:space="0"/>
            </w:tcBorders>
            <w:shd w:val="clear" w:color="auto" w:fill="auto"/>
            <w:vAlign w:val="center"/>
          </w:tcPr>
          <w:p w14:paraId="47CC684B">
            <w:pPr>
              <w:jc w:val="left"/>
              <w:rPr>
                <w:rFonts w:hint="eastAsia" w:ascii="宋体" w:hAnsi="宋体" w:eastAsia="宋体" w:cs="宋体"/>
                <w:i w:val="0"/>
                <w:iCs w:val="0"/>
                <w:color w:val="000000"/>
                <w:sz w:val="16"/>
                <w:szCs w:val="16"/>
                <w:u w:val="none"/>
              </w:rPr>
            </w:pPr>
          </w:p>
        </w:tc>
        <w:tc>
          <w:tcPr>
            <w:tcW w:w="3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ADD68">
            <w:pPr>
              <w:jc w:val="left"/>
              <w:rPr>
                <w:rFonts w:hint="eastAsia" w:ascii="宋体" w:hAnsi="宋体" w:eastAsia="宋体" w:cs="宋体"/>
                <w:i w:val="0"/>
                <w:iCs w:val="0"/>
                <w:color w:val="000000"/>
                <w:sz w:val="16"/>
                <w:szCs w:val="16"/>
                <w:u w:val="none"/>
              </w:rPr>
            </w:pPr>
          </w:p>
        </w:tc>
      </w:tr>
      <w:tr w14:paraId="109C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C2B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3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99EA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C6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4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目标值</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业绩指标</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DDD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完成率</w:t>
            </w:r>
          </w:p>
        </w:tc>
      </w:tr>
      <w:tr w14:paraId="1EB2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7A962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投入与管理</w:t>
            </w:r>
          </w:p>
        </w:tc>
        <w:tc>
          <w:tcPr>
            <w:tcW w:w="3012" w:type="dxa"/>
            <w:gridSpan w:val="5"/>
            <w:vMerge w:val="restart"/>
            <w:tcBorders>
              <w:top w:val="single" w:color="000000" w:sz="4" w:space="0"/>
              <w:left w:val="single" w:color="000000" w:sz="4" w:space="0"/>
              <w:bottom w:val="single" w:color="000000" w:sz="4" w:space="0"/>
              <w:right w:val="nil"/>
            </w:tcBorders>
            <w:shd w:val="clear" w:color="auto" w:fill="FFFFFF"/>
            <w:vAlign w:val="center"/>
          </w:tcPr>
          <w:p w14:paraId="750DB81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投入管理</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500D">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预算编制合理性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775B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合理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369A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A816E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2571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611DFE">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25AA6862">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1416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预算执行率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E9A9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73F0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BFAD0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1D0E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8BA63">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40C9A353">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75D6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预算资金到位率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F0C9B">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7703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C9E141">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5F2A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E5033D">
            <w:pPr>
              <w:jc w:val="center"/>
              <w:rPr>
                <w:rFonts w:hint="eastAsia" w:ascii="宋体" w:hAnsi="宋体" w:eastAsia="宋体" w:cs="宋体"/>
                <w:i w:val="0"/>
                <w:iCs w:val="0"/>
                <w:color w:val="333333"/>
                <w:sz w:val="16"/>
                <w:szCs w:val="16"/>
                <w:u w:val="none"/>
              </w:rPr>
            </w:pPr>
          </w:p>
        </w:tc>
        <w:tc>
          <w:tcPr>
            <w:tcW w:w="3012" w:type="dxa"/>
            <w:gridSpan w:val="5"/>
            <w:vMerge w:val="restart"/>
            <w:tcBorders>
              <w:top w:val="single" w:color="000000" w:sz="4" w:space="0"/>
              <w:left w:val="single" w:color="000000" w:sz="4" w:space="0"/>
              <w:bottom w:val="single" w:color="000000" w:sz="4" w:space="0"/>
              <w:right w:val="nil"/>
            </w:tcBorders>
            <w:shd w:val="clear" w:color="auto" w:fill="FFFFFF"/>
            <w:vAlign w:val="center"/>
          </w:tcPr>
          <w:p w14:paraId="5AFD708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财务管理</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9E1B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财务管理制度健全性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B39A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健全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D17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3AFAB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550F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E1227F">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6477186D">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745B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财务监控有效性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807F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有效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DA36C">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95C8D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78F2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007435">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4C615FED">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A30C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资金使用规范性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9809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3DA5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5C0BE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024A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DABFE">
            <w:pPr>
              <w:jc w:val="center"/>
              <w:rPr>
                <w:rFonts w:hint="eastAsia" w:ascii="宋体" w:hAnsi="宋体" w:eastAsia="宋体" w:cs="宋体"/>
                <w:i w:val="0"/>
                <w:iCs w:val="0"/>
                <w:color w:val="333333"/>
                <w:sz w:val="16"/>
                <w:szCs w:val="16"/>
                <w:u w:val="none"/>
              </w:rPr>
            </w:pPr>
          </w:p>
        </w:tc>
        <w:tc>
          <w:tcPr>
            <w:tcW w:w="3012" w:type="dxa"/>
            <w:gridSpan w:val="5"/>
            <w:vMerge w:val="restart"/>
            <w:tcBorders>
              <w:top w:val="single" w:color="000000" w:sz="4" w:space="0"/>
              <w:left w:val="single" w:color="000000" w:sz="4" w:space="0"/>
              <w:bottom w:val="single" w:color="000000" w:sz="4" w:space="0"/>
              <w:right w:val="nil"/>
            </w:tcBorders>
            <w:shd w:val="clear" w:color="auto" w:fill="FFFFFF"/>
            <w:vAlign w:val="center"/>
          </w:tcPr>
          <w:p w14:paraId="60816B6D">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实施管理</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984A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供应商资质符合程度</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78A2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符合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6B89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D3AEA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5D9A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39FB31">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1DCB3861">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4A4B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合同管理完备性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3992D">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完备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A78FD">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22726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68EC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E9838">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0999D853">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C453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监理规范性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2124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D481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20B7C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135E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8DBC0">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5F6D1F4B">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1476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系统运维规范性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9834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6130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A5C0E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65A9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600063">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06098BD8">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0B22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项目管理制度健全性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33FA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健全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612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9DCD8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5F3A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A8293">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13BCDB19">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D470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项目验收规范性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2F23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F6D6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8EB8F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42D7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3D7E9">
            <w:pPr>
              <w:jc w:val="center"/>
              <w:rPr>
                <w:rFonts w:hint="eastAsia" w:ascii="宋体" w:hAnsi="宋体" w:eastAsia="宋体" w:cs="宋体"/>
                <w:i w:val="0"/>
                <w:iCs w:val="0"/>
                <w:color w:val="333333"/>
                <w:sz w:val="16"/>
                <w:szCs w:val="16"/>
                <w:u w:val="none"/>
              </w:rPr>
            </w:pPr>
          </w:p>
        </w:tc>
        <w:tc>
          <w:tcPr>
            <w:tcW w:w="3012" w:type="dxa"/>
            <w:gridSpan w:val="5"/>
            <w:vMerge w:val="continue"/>
            <w:tcBorders>
              <w:top w:val="single" w:color="000000" w:sz="4" w:space="0"/>
              <w:left w:val="single" w:color="000000" w:sz="4" w:space="0"/>
              <w:bottom w:val="single" w:color="000000" w:sz="4" w:space="0"/>
              <w:right w:val="nil"/>
            </w:tcBorders>
            <w:shd w:val="clear" w:color="auto" w:fill="FFFFFF"/>
            <w:vAlign w:val="center"/>
          </w:tcPr>
          <w:p w14:paraId="5BFCD132">
            <w:pPr>
              <w:jc w:val="center"/>
              <w:rPr>
                <w:rFonts w:hint="eastAsia" w:ascii="宋体" w:hAnsi="宋体" w:eastAsia="宋体" w:cs="宋体"/>
                <w:i w:val="0"/>
                <w:iCs w:val="0"/>
                <w:color w:val="333333"/>
                <w:sz w:val="16"/>
                <w:szCs w:val="16"/>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4638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政府采购规范性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560F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6717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2F210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0</w:t>
            </w:r>
          </w:p>
        </w:tc>
      </w:tr>
      <w:tr w14:paraId="1D29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10D6D9">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56177D1D">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资产管理</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D00A6">
            <w:pPr>
              <w:jc w:val="center"/>
              <w:rPr>
                <w:rFonts w:hint="eastAsia" w:ascii="宋体" w:hAnsi="宋体" w:eastAsia="宋体" w:cs="宋体"/>
                <w:i w:val="0"/>
                <w:iCs w:val="0"/>
                <w:color w:val="333333"/>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AC361">
            <w:pPr>
              <w:jc w:val="center"/>
              <w:rPr>
                <w:rFonts w:hint="eastAsia" w:ascii="宋体" w:hAnsi="宋体" w:eastAsia="宋体" w:cs="宋体"/>
                <w:i w:val="0"/>
                <w:iCs w:val="0"/>
                <w:color w:val="333333"/>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147CA">
            <w:pPr>
              <w:jc w:val="center"/>
              <w:rPr>
                <w:rFonts w:hint="eastAsia" w:ascii="宋体" w:hAnsi="宋体" w:eastAsia="宋体" w:cs="宋体"/>
                <w:i w:val="0"/>
                <w:iCs w:val="0"/>
                <w:color w:val="333333"/>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B5F147">
            <w:pPr>
              <w:jc w:val="center"/>
              <w:rPr>
                <w:rFonts w:hint="eastAsia" w:ascii="宋体" w:hAnsi="宋体" w:eastAsia="宋体" w:cs="宋体"/>
                <w:i w:val="0"/>
                <w:iCs w:val="0"/>
                <w:color w:val="333333"/>
                <w:sz w:val="16"/>
                <w:szCs w:val="16"/>
                <w:u w:val="none"/>
              </w:rPr>
            </w:pPr>
          </w:p>
        </w:tc>
      </w:tr>
      <w:tr w14:paraId="0FEB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E1A24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产出指标</w:t>
            </w: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1B3AF54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数量指标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AF7BB">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数量</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03065">
            <w:pPr>
              <w:jc w:val="center"/>
              <w:rPr>
                <w:rFonts w:hint="eastAsia" w:ascii="宋体" w:hAnsi="宋体" w:eastAsia="宋体" w:cs="宋体"/>
                <w:i w:val="0"/>
                <w:iCs w:val="0"/>
                <w:color w:val="333333"/>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A3873">
            <w:pPr>
              <w:jc w:val="center"/>
              <w:rPr>
                <w:rFonts w:hint="eastAsia" w:ascii="宋体" w:hAnsi="宋体" w:eastAsia="宋体" w:cs="宋体"/>
                <w:i w:val="0"/>
                <w:iCs w:val="0"/>
                <w:color w:val="333333"/>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1F6D9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18D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C1C61E">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6D327D25">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质量指标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5599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是否达到预期目标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F1D9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4194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2D37A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384F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F3415A">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41ED20FB">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时效指标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D8F0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是否及时记账</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3DDA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8074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77892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7CFF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4D51C">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395E6A2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成本指标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F411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预算指标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CE68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131.69万元</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E0874">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131.69万元</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C9377C">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438E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70AB0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效益指标</w:t>
            </w: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14808DC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经济效益指标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50D1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记账数据是否对统计工作起到推动作用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3A461">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03EA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64BEE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r>
      <w:tr w14:paraId="71A5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3E4CF7">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17F9B22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社会效益指标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F7C6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记账结果是否对统计工作有积极影响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31ECD">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54004">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80B6C3">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＞95%</w:t>
            </w:r>
          </w:p>
        </w:tc>
      </w:tr>
      <w:tr w14:paraId="0E20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FC42E5">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02AF8E1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生态效益指标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5745C">
            <w:pPr>
              <w:jc w:val="center"/>
              <w:rPr>
                <w:rFonts w:hint="eastAsia" w:ascii="宋体" w:hAnsi="宋体" w:eastAsia="宋体" w:cs="宋体"/>
                <w:i w:val="0"/>
                <w:iCs w:val="0"/>
                <w:color w:val="333333"/>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486A2">
            <w:pPr>
              <w:jc w:val="center"/>
              <w:rPr>
                <w:rFonts w:hint="eastAsia" w:ascii="宋体" w:hAnsi="宋体" w:eastAsia="宋体" w:cs="宋体"/>
                <w:i w:val="0"/>
                <w:iCs w:val="0"/>
                <w:color w:val="333333"/>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6F13C">
            <w:pPr>
              <w:jc w:val="center"/>
              <w:rPr>
                <w:rFonts w:hint="eastAsia" w:ascii="宋体" w:hAnsi="宋体" w:eastAsia="宋体" w:cs="宋体"/>
                <w:i w:val="0"/>
                <w:iCs w:val="0"/>
                <w:color w:val="333333"/>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44732A">
            <w:pPr>
              <w:jc w:val="center"/>
              <w:rPr>
                <w:rFonts w:hint="eastAsia" w:ascii="宋体" w:hAnsi="宋体" w:eastAsia="宋体" w:cs="宋体"/>
                <w:i w:val="0"/>
                <w:iCs w:val="0"/>
                <w:color w:val="333333"/>
                <w:sz w:val="16"/>
                <w:szCs w:val="16"/>
                <w:u w:val="none"/>
              </w:rPr>
            </w:pPr>
          </w:p>
        </w:tc>
      </w:tr>
      <w:tr w14:paraId="60B5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469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59D729">
            <w:pPr>
              <w:jc w:val="center"/>
              <w:rPr>
                <w:rFonts w:hint="eastAsia" w:ascii="宋体" w:hAnsi="宋体" w:eastAsia="宋体" w:cs="宋体"/>
                <w:i w:val="0"/>
                <w:iCs w:val="0"/>
                <w:color w:val="333333"/>
                <w:sz w:val="16"/>
                <w:szCs w:val="16"/>
                <w:u w:val="none"/>
              </w:rPr>
            </w:pP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25CDCF61">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可持续影响指标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764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项目对提高数据公信力的价值</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C68D1">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F8F3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2CC7A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7C39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69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A28CA49">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满意度指标</w:t>
            </w:r>
          </w:p>
        </w:tc>
        <w:tc>
          <w:tcPr>
            <w:tcW w:w="3012" w:type="dxa"/>
            <w:gridSpan w:val="5"/>
            <w:tcBorders>
              <w:top w:val="single" w:color="000000" w:sz="4" w:space="0"/>
              <w:left w:val="single" w:color="000000" w:sz="4" w:space="0"/>
              <w:bottom w:val="single" w:color="000000" w:sz="4" w:space="0"/>
              <w:right w:val="nil"/>
            </w:tcBorders>
            <w:shd w:val="clear" w:color="auto" w:fill="FFFFFF"/>
            <w:vAlign w:val="center"/>
          </w:tcPr>
          <w:p w14:paraId="5228D290">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满意度指标</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68D3C">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统计工作是否</w:t>
            </w:r>
            <w:r>
              <w:rPr>
                <w:rFonts w:hint="eastAsia" w:ascii="宋体" w:hAnsi="宋体" w:cs="宋体"/>
                <w:i w:val="0"/>
                <w:iCs w:val="0"/>
                <w:color w:val="333333"/>
                <w:kern w:val="0"/>
                <w:sz w:val="16"/>
                <w:szCs w:val="16"/>
                <w:u w:val="none"/>
                <w:lang w:val="en-US" w:eastAsia="zh-CN" w:bidi="ar"/>
              </w:rPr>
              <w:t>获得</w:t>
            </w:r>
            <w:r>
              <w:rPr>
                <w:rFonts w:hint="eastAsia" w:ascii="宋体" w:hAnsi="宋体" w:eastAsia="宋体" w:cs="宋体"/>
                <w:i w:val="0"/>
                <w:iCs w:val="0"/>
                <w:color w:val="333333"/>
                <w:kern w:val="0"/>
                <w:sz w:val="16"/>
                <w:szCs w:val="16"/>
                <w:u w:val="none"/>
                <w:lang w:val="en-US" w:eastAsia="zh-CN" w:bidi="ar"/>
              </w:rPr>
              <w:t>社会认可</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11FA6">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3107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30DA1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14:paraId="5CE8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163" w:type="dxa"/>
            <w:gridSpan w:val="14"/>
            <w:tcBorders>
              <w:top w:val="nil"/>
              <w:left w:val="nil"/>
              <w:bottom w:val="nil"/>
              <w:right w:val="nil"/>
            </w:tcBorders>
            <w:shd w:val="clear" w:color="auto" w:fill="auto"/>
            <w:vAlign w:val="center"/>
          </w:tcPr>
          <w:p w14:paraId="162DBB2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808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387"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D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EA8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第五次全国经济普查</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9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7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F0AD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0B15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20"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F9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98AF3C">
            <w:pPr>
              <w:jc w:val="lef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E3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7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15E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峨边彝族自治县统计局</w:t>
            </w:r>
          </w:p>
        </w:tc>
      </w:tr>
      <w:tr w14:paraId="1239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20" w:hRule="atLeast"/>
        </w:trPr>
        <w:tc>
          <w:tcPr>
            <w:tcW w:w="1395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5321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1A29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80" w:hRule="atLeast"/>
        </w:trPr>
        <w:tc>
          <w:tcPr>
            <w:tcW w:w="2452" w:type="dxa"/>
            <w:gridSpan w:val="2"/>
            <w:tcBorders>
              <w:top w:val="single" w:color="000000" w:sz="4" w:space="0"/>
              <w:left w:val="single" w:color="000000" w:sz="4" w:space="0"/>
              <w:bottom w:val="single" w:color="000000" w:sz="4" w:space="0"/>
              <w:right w:val="nil"/>
            </w:tcBorders>
            <w:shd w:val="clear" w:color="auto" w:fill="auto"/>
            <w:vAlign w:val="center"/>
          </w:tcPr>
          <w:p w14:paraId="2B7B325E">
            <w:pPr>
              <w:jc w:val="center"/>
              <w:rPr>
                <w:rFonts w:hint="eastAsia" w:ascii="宋体" w:hAnsi="宋体" w:eastAsia="宋体" w:cs="宋体"/>
                <w:i w:val="0"/>
                <w:iCs w:val="0"/>
                <w:color w:val="000000"/>
                <w:sz w:val="20"/>
                <w:szCs w:val="20"/>
                <w:u w:val="none"/>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A7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03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9AA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7291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544"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69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BA89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99.86</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CB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99.86</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5EC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D7B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544"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4C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0C8C4">
            <w:pPr>
              <w:jc w:val="center"/>
              <w:rPr>
                <w:rFonts w:hint="eastAsia" w:ascii="宋体" w:hAnsi="宋体" w:eastAsia="宋体" w:cs="宋体"/>
                <w:i w:val="0"/>
                <w:iCs w:val="0"/>
                <w:color w:val="000000"/>
                <w:sz w:val="20"/>
                <w:szCs w:val="20"/>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DA54D">
            <w:pPr>
              <w:jc w:val="center"/>
              <w:rPr>
                <w:rFonts w:hint="eastAsia" w:ascii="宋体" w:hAnsi="宋体" w:eastAsia="宋体" w:cs="宋体"/>
                <w:i w:val="0"/>
                <w:iCs w:val="0"/>
                <w:color w:val="000000"/>
                <w:sz w:val="20"/>
                <w:szCs w:val="20"/>
                <w:u w:val="none"/>
              </w:rPr>
            </w:pP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0C3566">
            <w:pPr>
              <w:jc w:val="center"/>
              <w:rPr>
                <w:rFonts w:hint="eastAsia" w:ascii="宋体" w:hAnsi="宋体" w:eastAsia="宋体" w:cs="宋体"/>
                <w:i w:val="0"/>
                <w:iCs w:val="0"/>
                <w:color w:val="000000"/>
                <w:sz w:val="20"/>
                <w:szCs w:val="20"/>
                <w:u w:val="none"/>
              </w:rPr>
            </w:pPr>
          </w:p>
        </w:tc>
      </w:tr>
      <w:tr w14:paraId="460B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99"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C3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B8B51">
            <w:pPr>
              <w:jc w:val="center"/>
              <w:rPr>
                <w:rFonts w:hint="eastAsia" w:ascii="宋体" w:hAnsi="宋体" w:eastAsia="宋体" w:cs="宋体"/>
                <w:i w:val="0"/>
                <w:iCs w:val="0"/>
                <w:color w:val="000000"/>
                <w:sz w:val="20"/>
                <w:szCs w:val="20"/>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5AB0E">
            <w:pPr>
              <w:jc w:val="center"/>
              <w:rPr>
                <w:rFonts w:hint="eastAsia" w:ascii="宋体" w:hAnsi="宋体" w:eastAsia="宋体" w:cs="宋体"/>
                <w:i w:val="0"/>
                <w:iCs w:val="0"/>
                <w:color w:val="000000"/>
                <w:sz w:val="20"/>
                <w:szCs w:val="20"/>
                <w:u w:val="none"/>
              </w:rPr>
            </w:pP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4C3AE">
            <w:pPr>
              <w:jc w:val="center"/>
              <w:rPr>
                <w:rFonts w:hint="eastAsia" w:ascii="宋体" w:hAnsi="宋体" w:eastAsia="宋体" w:cs="宋体"/>
                <w:i w:val="0"/>
                <w:iCs w:val="0"/>
                <w:color w:val="000000"/>
                <w:sz w:val="20"/>
                <w:szCs w:val="20"/>
                <w:u w:val="none"/>
              </w:rPr>
            </w:pPr>
          </w:p>
        </w:tc>
      </w:tr>
      <w:tr w14:paraId="6BF9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80"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4B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17550">
            <w:pPr>
              <w:jc w:val="center"/>
              <w:rPr>
                <w:rFonts w:hint="eastAsia" w:ascii="宋体" w:hAnsi="宋体" w:eastAsia="宋体" w:cs="宋体"/>
                <w:i w:val="0"/>
                <w:iCs w:val="0"/>
                <w:color w:val="000000"/>
                <w:sz w:val="20"/>
                <w:szCs w:val="20"/>
                <w:u w:val="none"/>
              </w:rPr>
            </w:pP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3316C">
            <w:pPr>
              <w:jc w:val="center"/>
              <w:rPr>
                <w:rFonts w:hint="eastAsia" w:ascii="宋体" w:hAnsi="宋体" w:eastAsia="宋体" w:cs="宋体"/>
                <w:i w:val="0"/>
                <w:iCs w:val="0"/>
                <w:color w:val="000000"/>
                <w:sz w:val="20"/>
                <w:szCs w:val="20"/>
                <w:u w:val="none"/>
              </w:rPr>
            </w:pP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42281A">
            <w:pPr>
              <w:jc w:val="center"/>
              <w:rPr>
                <w:rFonts w:hint="eastAsia" w:ascii="宋体" w:hAnsi="宋体" w:eastAsia="宋体" w:cs="宋体"/>
                <w:i w:val="0"/>
                <w:iCs w:val="0"/>
                <w:color w:val="000000"/>
                <w:sz w:val="20"/>
                <w:szCs w:val="20"/>
                <w:u w:val="none"/>
              </w:rPr>
            </w:pPr>
          </w:p>
        </w:tc>
      </w:tr>
      <w:tr w14:paraId="6552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80"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22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DF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7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FEC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104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345"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D780">
            <w:pPr>
              <w:jc w:val="left"/>
              <w:rPr>
                <w:rFonts w:hint="eastAsia" w:ascii="宋体" w:hAnsi="宋体" w:eastAsia="宋体" w:cs="宋体"/>
                <w:i w:val="0"/>
                <w:iCs w:val="0"/>
                <w:color w:val="000000"/>
                <w:sz w:val="20"/>
                <w:szCs w:val="20"/>
                <w:u w:val="none"/>
              </w:rPr>
            </w:pPr>
          </w:p>
        </w:tc>
        <w:tc>
          <w:tcPr>
            <w:tcW w:w="4952" w:type="dxa"/>
            <w:gridSpan w:val="5"/>
            <w:tcBorders>
              <w:top w:val="single" w:color="000000" w:sz="4" w:space="0"/>
              <w:left w:val="single" w:color="000000" w:sz="4" w:space="0"/>
              <w:bottom w:val="nil"/>
              <w:right w:val="single" w:color="000000" w:sz="4" w:space="0"/>
            </w:tcBorders>
            <w:shd w:val="clear" w:color="auto" w:fill="auto"/>
            <w:vAlign w:val="center"/>
          </w:tcPr>
          <w:p w14:paraId="614AE6E3">
            <w:pPr>
              <w:jc w:val="left"/>
              <w:rPr>
                <w:rFonts w:hint="eastAsia" w:ascii="宋体" w:hAnsi="宋体" w:eastAsia="宋体" w:cs="宋体"/>
                <w:i w:val="0"/>
                <w:iCs w:val="0"/>
                <w:color w:val="000000"/>
                <w:sz w:val="20"/>
                <w:szCs w:val="20"/>
                <w:u w:val="none"/>
              </w:rPr>
            </w:pPr>
          </w:p>
        </w:tc>
        <w:tc>
          <w:tcPr>
            <w:tcW w:w="7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921561">
            <w:pPr>
              <w:jc w:val="left"/>
              <w:rPr>
                <w:rFonts w:hint="eastAsia" w:ascii="宋体" w:hAnsi="宋体" w:eastAsia="宋体" w:cs="宋体"/>
                <w:i w:val="0"/>
                <w:iCs w:val="0"/>
                <w:color w:val="000000"/>
                <w:sz w:val="20"/>
                <w:szCs w:val="20"/>
                <w:u w:val="none"/>
              </w:rPr>
            </w:pPr>
          </w:p>
        </w:tc>
      </w:tr>
      <w:tr w14:paraId="0231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80"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1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07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EA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1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DF9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756D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AA7B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720" w:type="dxa"/>
            <w:gridSpan w:val="2"/>
            <w:vMerge w:val="restart"/>
            <w:tcBorders>
              <w:top w:val="single" w:color="000000" w:sz="4" w:space="0"/>
              <w:left w:val="single" w:color="000000" w:sz="4" w:space="0"/>
              <w:bottom w:val="single" w:color="000000" w:sz="4" w:space="0"/>
              <w:right w:val="nil"/>
            </w:tcBorders>
            <w:shd w:val="clear" w:color="auto" w:fill="FFFFFF"/>
            <w:vAlign w:val="center"/>
          </w:tcPr>
          <w:p w14:paraId="6B9DD5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A2A9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19D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5A8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B555E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844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2FC55F">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472CED5D">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75EB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60F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C1F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01517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8A9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7EC19">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3846770E">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C47D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D4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C45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8A2CF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B5E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0868F">
            <w:pPr>
              <w:jc w:val="center"/>
              <w:rPr>
                <w:rFonts w:hint="eastAsia" w:ascii="宋体" w:hAnsi="宋体" w:eastAsia="宋体" w:cs="宋体"/>
                <w:i w:val="0"/>
                <w:iCs w:val="0"/>
                <w:color w:val="333333"/>
                <w:sz w:val="20"/>
                <w:szCs w:val="20"/>
                <w:u w:val="none"/>
              </w:rPr>
            </w:pPr>
          </w:p>
        </w:tc>
        <w:tc>
          <w:tcPr>
            <w:tcW w:w="1720" w:type="dxa"/>
            <w:gridSpan w:val="2"/>
            <w:vMerge w:val="restart"/>
            <w:tcBorders>
              <w:top w:val="single" w:color="000000" w:sz="4" w:space="0"/>
              <w:left w:val="single" w:color="000000" w:sz="4" w:space="0"/>
              <w:bottom w:val="single" w:color="000000" w:sz="4" w:space="0"/>
              <w:right w:val="nil"/>
            </w:tcBorders>
            <w:shd w:val="clear" w:color="auto" w:fill="FFFFFF"/>
            <w:vAlign w:val="center"/>
          </w:tcPr>
          <w:p w14:paraId="46F5F1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BD77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4C9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602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08B85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278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31311">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0D08E21B">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2BF7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BFC1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C37C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A63D1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431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75E1A7">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08362764">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1CC7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988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AB8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BD082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259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A0DEC">
            <w:pPr>
              <w:jc w:val="center"/>
              <w:rPr>
                <w:rFonts w:hint="eastAsia" w:ascii="宋体" w:hAnsi="宋体" w:eastAsia="宋体" w:cs="宋体"/>
                <w:i w:val="0"/>
                <w:iCs w:val="0"/>
                <w:color w:val="333333"/>
                <w:sz w:val="20"/>
                <w:szCs w:val="20"/>
                <w:u w:val="none"/>
              </w:rPr>
            </w:pPr>
          </w:p>
        </w:tc>
        <w:tc>
          <w:tcPr>
            <w:tcW w:w="1720" w:type="dxa"/>
            <w:gridSpan w:val="2"/>
            <w:vMerge w:val="restart"/>
            <w:tcBorders>
              <w:top w:val="single" w:color="000000" w:sz="4" w:space="0"/>
              <w:left w:val="single" w:color="000000" w:sz="4" w:space="0"/>
              <w:bottom w:val="single" w:color="000000" w:sz="4" w:space="0"/>
              <w:right w:val="nil"/>
            </w:tcBorders>
            <w:shd w:val="clear" w:color="auto" w:fill="FFFFFF"/>
            <w:vAlign w:val="center"/>
          </w:tcPr>
          <w:p w14:paraId="5D8BFDF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A25E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B2C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B26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CB57E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3C30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C1586D">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3197CB90">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90A7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EBB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3FF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6FC48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0F7F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77728A">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22ED7825">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ED3C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5BD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228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07B5A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6B4B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C5DD5B">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460B3046">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7333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510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ED3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4BDFB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234F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13433E">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4C888FDB">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723C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0DD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B43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1FA59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5FF2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437817">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035915BD">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9BDF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E8A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93F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8EC6C1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4D52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8146C">
            <w:pPr>
              <w:jc w:val="center"/>
              <w:rPr>
                <w:rFonts w:hint="eastAsia" w:ascii="宋体" w:hAnsi="宋体" w:eastAsia="宋体" w:cs="宋体"/>
                <w:i w:val="0"/>
                <w:iCs w:val="0"/>
                <w:color w:val="333333"/>
                <w:sz w:val="20"/>
                <w:szCs w:val="20"/>
                <w:u w:val="none"/>
              </w:rPr>
            </w:pPr>
          </w:p>
        </w:tc>
        <w:tc>
          <w:tcPr>
            <w:tcW w:w="1720" w:type="dxa"/>
            <w:gridSpan w:val="2"/>
            <w:vMerge w:val="continue"/>
            <w:tcBorders>
              <w:top w:val="single" w:color="000000" w:sz="4" w:space="0"/>
              <w:left w:val="single" w:color="000000" w:sz="4" w:space="0"/>
              <w:bottom w:val="single" w:color="000000" w:sz="4" w:space="0"/>
              <w:right w:val="nil"/>
            </w:tcBorders>
            <w:shd w:val="clear" w:color="auto" w:fill="FFFFFF"/>
            <w:vAlign w:val="center"/>
          </w:tcPr>
          <w:p w14:paraId="45961C3C">
            <w:pPr>
              <w:jc w:val="center"/>
              <w:rPr>
                <w:rFonts w:hint="eastAsia" w:ascii="宋体" w:hAnsi="宋体" w:eastAsia="宋体" w:cs="宋体"/>
                <w:i w:val="0"/>
                <w:iCs w:val="0"/>
                <w:color w:val="333333"/>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D045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502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294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84EE8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w:t>
            </w:r>
          </w:p>
        </w:tc>
      </w:tr>
      <w:tr w14:paraId="756D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3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1DE32A">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1F0818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535DFD">
            <w:pPr>
              <w:jc w:val="center"/>
              <w:rPr>
                <w:rFonts w:hint="eastAsia" w:ascii="宋体" w:hAnsi="宋体" w:eastAsia="宋体" w:cs="宋体"/>
                <w:i w:val="0"/>
                <w:iCs w:val="0"/>
                <w:color w:val="333333"/>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57713">
            <w:pPr>
              <w:jc w:val="center"/>
              <w:rPr>
                <w:rFonts w:hint="eastAsia" w:ascii="宋体" w:hAnsi="宋体" w:eastAsia="宋体" w:cs="宋体"/>
                <w:i w:val="0"/>
                <w:iCs w:val="0"/>
                <w:color w:val="333333"/>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DD76D">
            <w:pPr>
              <w:jc w:val="center"/>
              <w:rPr>
                <w:rFonts w:hint="eastAsia" w:ascii="宋体" w:hAnsi="宋体" w:eastAsia="宋体" w:cs="宋体"/>
                <w:i w:val="0"/>
                <w:iCs w:val="0"/>
                <w:color w:val="333333"/>
                <w:sz w:val="20"/>
                <w:szCs w:val="20"/>
                <w:u w:val="none"/>
              </w:rPr>
            </w:pP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D2354EF">
            <w:pPr>
              <w:jc w:val="center"/>
              <w:rPr>
                <w:rFonts w:hint="eastAsia" w:ascii="宋体" w:hAnsi="宋体" w:eastAsia="宋体" w:cs="宋体"/>
                <w:i w:val="0"/>
                <w:iCs w:val="0"/>
                <w:color w:val="333333"/>
                <w:sz w:val="20"/>
                <w:szCs w:val="20"/>
                <w:u w:val="none"/>
              </w:rPr>
            </w:pPr>
          </w:p>
        </w:tc>
      </w:tr>
      <w:tr w14:paraId="4722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1EF3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582A62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C251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普查数量</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6F48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2177户</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6CA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2177户</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BDD54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2E4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72CD5">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232EF9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43AD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是否达到预期目标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864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74A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9979B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E5E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903FCB">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48146E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45A2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是否及时普查</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643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是</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0577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435E7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F6C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151340">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251AC14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F422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预算指标</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112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99.86万元</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124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99.86万元</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64EE1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E3E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3EA9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3515F99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5D36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记账数据是否对统计工作起到推动作用</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BF0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71A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7A05E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CB8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8B9ED">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0F7F87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8260F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记账结果是否对统计工作有积极影响</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5204C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775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7235A">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2746EB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944742F">
            <w:pPr>
              <w:jc w:val="center"/>
              <w:rPr>
                <w:rFonts w:hint="eastAsia" w:ascii="宋体" w:hAnsi="宋体" w:eastAsia="宋体" w:cs="宋体"/>
                <w:i w:val="0"/>
                <w:iCs w:val="0"/>
                <w:color w:val="333333"/>
                <w:sz w:val="20"/>
                <w:szCs w:val="20"/>
                <w:u w:val="none"/>
              </w:rPr>
            </w:pP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AEDA2D5">
            <w:pPr>
              <w:jc w:val="center"/>
              <w:rPr>
                <w:rFonts w:hint="eastAsia" w:ascii="宋体" w:hAnsi="宋体" w:eastAsia="宋体" w:cs="宋体"/>
                <w:i w:val="0"/>
                <w:iCs w:val="0"/>
                <w:color w:val="333333"/>
                <w:sz w:val="20"/>
                <w:szCs w:val="20"/>
                <w:u w:val="none"/>
              </w:rPr>
            </w:pPr>
          </w:p>
        </w:tc>
      </w:tr>
      <w:tr w14:paraId="5B0C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443"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66123">
            <w:pPr>
              <w:jc w:val="center"/>
              <w:rPr>
                <w:rFonts w:hint="eastAsia" w:ascii="宋体" w:hAnsi="宋体" w:eastAsia="宋体" w:cs="宋体"/>
                <w:i w:val="0"/>
                <w:iCs w:val="0"/>
                <w:color w:val="333333"/>
                <w:sz w:val="20"/>
                <w:szCs w:val="20"/>
                <w:u w:val="none"/>
              </w:rPr>
            </w:pPr>
          </w:p>
        </w:tc>
        <w:tc>
          <w:tcPr>
            <w:tcW w:w="1720" w:type="dxa"/>
            <w:gridSpan w:val="2"/>
            <w:tcBorders>
              <w:top w:val="single" w:color="000000" w:sz="4" w:space="0"/>
              <w:left w:val="single" w:color="000000" w:sz="4" w:space="0"/>
              <w:bottom w:val="single" w:color="000000" w:sz="4" w:space="0"/>
              <w:right w:val="nil"/>
            </w:tcBorders>
            <w:shd w:val="clear" w:color="auto" w:fill="FFFFFF"/>
            <w:vAlign w:val="center"/>
          </w:tcPr>
          <w:p w14:paraId="567517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468EC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项目对提高数据公信力的价值</w:t>
            </w:r>
          </w:p>
        </w:tc>
        <w:tc>
          <w:tcPr>
            <w:tcW w:w="64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FAD8E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57E0866C">
      <w:pPr>
        <w:spacing w:line="600" w:lineRule="exact"/>
        <w:jc w:val="center"/>
        <w:outlineLvl w:val="0"/>
        <w:rPr>
          <w:rFonts w:hint="eastAsia" w:ascii="黑体" w:hAnsi="黑体" w:eastAsia="黑体"/>
          <w:color w:val="auto"/>
          <w:sz w:val="44"/>
          <w:szCs w:val="44"/>
          <w:highlight w:val="none"/>
        </w:rPr>
        <w:sectPr>
          <w:pgSz w:w="16838" w:h="11906" w:orient="landscape"/>
          <w:pgMar w:top="1800" w:right="1440" w:bottom="1800" w:left="1440" w:header="851" w:footer="992" w:gutter="0"/>
          <w:pgNumType w:fmt="numberInDash"/>
          <w:cols w:space="425" w:num="1"/>
          <w:titlePg/>
          <w:docGrid w:type="lines" w:linePitch="312" w:charSpace="0"/>
        </w:sectPr>
      </w:pPr>
    </w:p>
    <w:bookmarkEnd w:id="87"/>
    <w:bookmarkEnd w:id="88"/>
    <w:bookmarkEnd w:id="89"/>
    <w:p w14:paraId="254A5B90">
      <w:pPr>
        <w:widowControl/>
        <w:ind w:firstLine="2640" w:firstLineChars="600"/>
        <w:jc w:val="both"/>
        <w:rPr>
          <w:rFonts w:hint="eastAsia" w:ascii="黑体" w:hAnsi="黑体" w:eastAsia="黑体"/>
          <w:color w:val="auto"/>
          <w:sz w:val="44"/>
          <w:szCs w:val="44"/>
          <w:highlight w:val="none"/>
        </w:rPr>
      </w:pPr>
      <w:bookmarkStart w:id="92" w:name="_Toc18005"/>
      <w:bookmarkStart w:id="93" w:name="_Toc15396618"/>
      <w:bookmarkStart w:id="94" w:name="_Toc29921"/>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p>
    <w:bookmarkEnd w:id="90"/>
    <w:bookmarkEnd w:id="92"/>
    <w:bookmarkEnd w:id="93"/>
    <w:bookmarkEnd w:id="94"/>
    <w:p w14:paraId="67E1BD46">
      <w:pPr>
        <w:pStyle w:val="4"/>
        <w:rPr>
          <w:rFonts w:ascii="仿宋" w:hAnsi="仿宋" w:eastAsia="仿宋"/>
          <w:color w:val="auto"/>
          <w:highlight w:val="none"/>
        </w:rPr>
      </w:pPr>
      <w:bookmarkStart w:id="95" w:name="_Toc3737"/>
      <w:bookmarkStart w:id="96" w:name="_Toc15396619"/>
      <w:bookmarkStart w:id="97" w:name="_Toc10745"/>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95"/>
      <w:bookmarkEnd w:id="96"/>
      <w:bookmarkEnd w:id="97"/>
    </w:p>
    <w:p w14:paraId="23C4F339">
      <w:pPr>
        <w:pStyle w:val="4"/>
        <w:rPr>
          <w:rFonts w:ascii="仿宋" w:hAnsi="仿宋" w:eastAsia="仿宋"/>
          <w:color w:val="auto"/>
          <w:highlight w:val="none"/>
        </w:rPr>
      </w:pPr>
      <w:bookmarkStart w:id="98" w:name="_Toc15396620"/>
      <w:bookmarkStart w:id="99" w:name="_Toc15891"/>
      <w:bookmarkStart w:id="100" w:name="_Toc1607"/>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98"/>
      <w:bookmarkEnd w:id="99"/>
      <w:bookmarkEnd w:id="100"/>
    </w:p>
    <w:p w14:paraId="5A9B737B">
      <w:pPr>
        <w:pStyle w:val="4"/>
        <w:rPr>
          <w:rFonts w:ascii="仿宋" w:hAnsi="仿宋" w:eastAsia="仿宋"/>
          <w:color w:val="auto"/>
          <w:highlight w:val="none"/>
        </w:rPr>
      </w:pPr>
      <w:bookmarkStart w:id="101" w:name="_Toc20461"/>
      <w:bookmarkStart w:id="102" w:name="_Toc15396621"/>
      <w:bookmarkStart w:id="103" w:name="_Toc24417"/>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101"/>
      <w:bookmarkEnd w:id="102"/>
      <w:bookmarkEnd w:id="103"/>
    </w:p>
    <w:p w14:paraId="086A2739">
      <w:pPr>
        <w:pStyle w:val="4"/>
        <w:rPr>
          <w:rFonts w:ascii="仿宋" w:hAnsi="仿宋" w:eastAsia="仿宋"/>
          <w:b w:val="0"/>
          <w:color w:val="auto"/>
          <w:highlight w:val="none"/>
        </w:rPr>
      </w:pPr>
      <w:bookmarkStart w:id="104" w:name="_Toc9057"/>
      <w:bookmarkStart w:id="105" w:name="_Toc21142"/>
      <w:bookmarkStart w:id="106" w:name="_Toc15396622"/>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104"/>
      <w:bookmarkEnd w:id="105"/>
      <w:bookmarkEnd w:id="106"/>
    </w:p>
    <w:p w14:paraId="10E01AF5">
      <w:pPr>
        <w:pStyle w:val="4"/>
        <w:rPr>
          <w:rStyle w:val="20"/>
          <w:rFonts w:ascii="仿宋" w:hAnsi="仿宋" w:eastAsia="仿宋"/>
          <w:b w:val="0"/>
          <w:bCs w:val="0"/>
          <w:color w:val="auto"/>
          <w:highlight w:val="none"/>
        </w:rPr>
      </w:pPr>
      <w:bookmarkStart w:id="107" w:name="_Toc4226"/>
      <w:bookmarkStart w:id="108" w:name="_Toc15396623"/>
      <w:bookmarkStart w:id="109" w:name="_Toc25548"/>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107"/>
      <w:bookmarkEnd w:id="108"/>
      <w:bookmarkEnd w:id="109"/>
      <w:bookmarkStart w:id="110" w:name="_Toc15396624"/>
    </w:p>
    <w:p w14:paraId="781CDF53">
      <w:pPr>
        <w:pStyle w:val="4"/>
        <w:rPr>
          <w:rFonts w:ascii="仿宋" w:hAnsi="仿宋" w:eastAsia="仿宋"/>
          <w:color w:val="auto"/>
          <w:highlight w:val="none"/>
        </w:rPr>
      </w:pPr>
      <w:bookmarkStart w:id="111" w:name="_Toc26776"/>
      <w:bookmarkStart w:id="112" w:name="_Toc24347"/>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110"/>
      <w:bookmarkEnd w:id="111"/>
      <w:bookmarkEnd w:id="112"/>
    </w:p>
    <w:p w14:paraId="2909DEE0">
      <w:pPr>
        <w:pStyle w:val="4"/>
        <w:rPr>
          <w:rFonts w:ascii="仿宋" w:hAnsi="仿宋" w:eastAsia="仿宋"/>
          <w:color w:val="auto"/>
          <w:highlight w:val="none"/>
        </w:rPr>
      </w:pPr>
      <w:bookmarkStart w:id="113" w:name="_Toc16407"/>
      <w:bookmarkStart w:id="114" w:name="_Toc21003"/>
      <w:bookmarkStart w:id="115" w:name="_Toc15396625"/>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113"/>
      <w:bookmarkEnd w:id="114"/>
      <w:bookmarkEnd w:id="115"/>
    </w:p>
    <w:p w14:paraId="6489D384">
      <w:pPr>
        <w:pStyle w:val="4"/>
        <w:rPr>
          <w:rFonts w:ascii="仿宋" w:hAnsi="仿宋" w:eastAsia="仿宋"/>
          <w:color w:val="auto"/>
          <w:highlight w:val="none"/>
        </w:rPr>
      </w:pPr>
      <w:bookmarkStart w:id="116" w:name="_Toc13713"/>
      <w:bookmarkStart w:id="117" w:name="_Toc8130"/>
      <w:bookmarkStart w:id="118" w:name="_Toc15396626"/>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116"/>
      <w:bookmarkEnd w:id="117"/>
      <w:bookmarkEnd w:id="118"/>
    </w:p>
    <w:p w14:paraId="561DEF2A">
      <w:pPr>
        <w:pStyle w:val="4"/>
        <w:rPr>
          <w:rFonts w:ascii="仿宋" w:hAnsi="仿宋" w:eastAsia="仿宋"/>
          <w:color w:val="auto"/>
          <w:highlight w:val="none"/>
        </w:rPr>
      </w:pPr>
      <w:bookmarkStart w:id="119" w:name="_Toc32250"/>
      <w:bookmarkStart w:id="120" w:name="_Toc21806"/>
      <w:bookmarkStart w:id="121" w:name="_Toc15396627"/>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119"/>
      <w:bookmarkEnd w:id="120"/>
      <w:bookmarkEnd w:id="121"/>
    </w:p>
    <w:p w14:paraId="7060C1CC">
      <w:pPr>
        <w:pStyle w:val="4"/>
        <w:rPr>
          <w:rFonts w:ascii="仿宋" w:hAnsi="仿宋" w:eastAsia="仿宋"/>
          <w:color w:val="auto"/>
          <w:highlight w:val="none"/>
        </w:rPr>
      </w:pPr>
      <w:bookmarkStart w:id="122" w:name="_Toc15396628"/>
      <w:bookmarkStart w:id="123" w:name="_Toc23101"/>
      <w:bookmarkStart w:id="124" w:name="_Toc7324"/>
      <w:r>
        <w:rPr>
          <w:rStyle w:val="20"/>
          <w:rFonts w:hint="eastAsia" w:ascii="仿宋" w:hAnsi="仿宋" w:eastAsia="仿宋"/>
          <w:b w:val="0"/>
          <w:bCs w:val="0"/>
          <w:color w:val="auto"/>
          <w:highlight w:val="none"/>
        </w:rPr>
        <w:t>十、</w:t>
      </w:r>
      <w:bookmarkEnd w:id="122"/>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123"/>
      <w:bookmarkEnd w:id="124"/>
    </w:p>
    <w:p w14:paraId="64CD6344">
      <w:pPr>
        <w:pStyle w:val="4"/>
        <w:rPr>
          <w:rFonts w:ascii="仿宋" w:hAnsi="仿宋" w:eastAsia="仿宋"/>
          <w:color w:val="auto"/>
          <w:highlight w:val="none"/>
        </w:rPr>
      </w:pPr>
      <w:bookmarkStart w:id="125" w:name="_Toc15396629"/>
      <w:bookmarkStart w:id="126" w:name="_Toc6156"/>
      <w:bookmarkStart w:id="127" w:name="_Toc16905"/>
      <w:r>
        <w:rPr>
          <w:rStyle w:val="20"/>
          <w:rFonts w:hint="eastAsia" w:ascii="仿宋" w:hAnsi="仿宋" w:eastAsia="仿宋"/>
          <w:b w:val="0"/>
          <w:bCs w:val="0"/>
          <w:color w:val="auto"/>
          <w:highlight w:val="none"/>
        </w:rPr>
        <w:t>十一、</w:t>
      </w:r>
      <w:bookmarkEnd w:id="125"/>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bookmarkEnd w:id="126"/>
      <w:bookmarkEnd w:id="127"/>
    </w:p>
    <w:p w14:paraId="704CDFA6">
      <w:pPr>
        <w:pStyle w:val="4"/>
        <w:rPr>
          <w:rFonts w:ascii="仿宋" w:hAnsi="仿宋" w:eastAsia="仿宋"/>
          <w:color w:val="auto"/>
          <w:highlight w:val="none"/>
        </w:rPr>
      </w:pPr>
      <w:bookmarkStart w:id="128" w:name="_Toc15396630"/>
      <w:bookmarkStart w:id="129" w:name="_Toc19865"/>
      <w:bookmarkStart w:id="130" w:name="_Toc1592"/>
      <w:r>
        <w:rPr>
          <w:rStyle w:val="20"/>
          <w:rFonts w:hint="eastAsia" w:ascii="仿宋" w:hAnsi="仿宋" w:eastAsia="仿宋"/>
          <w:b w:val="0"/>
          <w:bCs w:val="0"/>
          <w:color w:val="auto"/>
          <w:highlight w:val="none"/>
        </w:rPr>
        <w:t>十二、</w:t>
      </w:r>
      <w:bookmarkEnd w:id="128"/>
      <w:r>
        <w:rPr>
          <w:rStyle w:val="20"/>
          <w:rFonts w:hint="eastAsia" w:ascii="仿宋" w:hAnsi="仿宋" w:eastAsia="仿宋"/>
          <w:b w:val="0"/>
          <w:bCs w:val="0"/>
          <w:color w:val="auto"/>
          <w:highlight w:val="none"/>
          <w:lang w:eastAsia="zh-CN"/>
        </w:rPr>
        <w:t>国有资本经营预算财政拨款支出决算表</w:t>
      </w:r>
      <w:bookmarkEnd w:id="129"/>
      <w:bookmarkEnd w:id="130"/>
    </w:p>
    <w:p w14:paraId="453029C6">
      <w:pPr>
        <w:pStyle w:val="4"/>
        <w:rPr>
          <w:rFonts w:hint="eastAsia" w:eastAsia="仿宋"/>
          <w:color w:val="auto"/>
          <w:highlight w:val="none"/>
          <w:lang w:eastAsia="zh-CN"/>
        </w:rPr>
      </w:pPr>
      <w:bookmarkStart w:id="131" w:name="_Toc15396631"/>
      <w:bookmarkStart w:id="132" w:name="_Toc7733"/>
      <w:bookmarkStart w:id="133" w:name="_Toc13049"/>
      <w:r>
        <w:rPr>
          <w:rStyle w:val="20"/>
          <w:rFonts w:hint="eastAsia" w:ascii="仿宋" w:hAnsi="仿宋" w:eastAsia="仿宋"/>
          <w:b w:val="0"/>
          <w:bCs w:val="0"/>
          <w:color w:val="auto"/>
          <w:highlight w:val="none"/>
        </w:rPr>
        <w:t>十三、</w:t>
      </w:r>
      <w:bookmarkEnd w:id="131"/>
      <w:r>
        <w:rPr>
          <w:rStyle w:val="20"/>
          <w:rFonts w:hint="eastAsia" w:ascii="仿宋" w:hAnsi="仿宋" w:eastAsia="仿宋"/>
          <w:b w:val="0"/>
          <w:bCs w:val="0"/>
          <w:color w:val="auto"/>
          <w:highlight w:val="none"/>
          <w:lang w:eastAsia="zh-CN"/>
        </w:rPr>
        <w:t>财政拨款“三公”经费支出决算表</w:t>
      </w:r>
      <w:bookmarkEnd w:id="132"/>
      <w:bookmarkEnd w:id="133"/>
    </w:p>
    <w:p w14:paraId="4FF2BDCC"/>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D7785A-555A-4B16-9DFE-6F931751DA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2529FF5-B7C2-470E-9354-EE55F1FBF3D0}"/>
  </w:font>
  <w:font w:name="仿宋">
    <w:panose1 w:val="02010609060101010101"/>
    <w:charset w:val="86"/>
    <w:family w:val="modern"/>
    <w:pitch w:val="default"/>
    <w:sig w:usb0="800002BF" w:usb1="38CF7CFA" w:usb2="00000016" w:usb3="00000000" w:csb0="00040001" w:csb1="00000000"/>
    <w:embedRegular r:id="rId3" w:fontKey="{2C72842A-AF1B-4953-996C-5FC2CBEE139C}"/>
  </w:font>
  <w:font w:name="Calibri Light">
    <w:panose1 w:val="020F0302020204030204"/>
    <w:charset w:val="00"/>
    <w:family w:val="auto"/>
    <w:pitch w:val="default"/>
    <w:sig w:usb0="A00002EF" w:usb1="4000207B" w:usb2="00000000" w:usb3="00000000" w:csb0="2000019F" w:csb1="00000000"/>
    <w:embedRegular r:id="rId4" w:fontKey="{0FD6052C-EEC8-4414-97A6-82ABB2832867}"/>
  </w:font>
  <w:font w:name="仿宋_GB2312">
    <w:panose1 w:val="02010609030101010101"/>
    <w:charset w:val="86"/>
    <w:family w:val="modern"/>
    <w:pitch w:val="default"/>
    <w:sig w:usb0="00000001" w:usb1="080E0000" w:usb2="00000000" w:usb3="00000000" w:csb0="00040000" w:csb1="00000000"/>
    <w:embedRegular r:id="rId5" w:fontKey="{78945614-E8BE-4B7B-A6F6-F39855E28BAD}"/>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6" w:fontKey="{91A66E0C-E9D6-4D2B-B7D8-3545D0320D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FE98">
    <w:pPr>
      <w:spacing w:line="169" w:lineRule="auto"/>
      <w:ind w:left="4435"/>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04D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BBCE">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59A6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0559A6D">
                    <w:pPr>
                      <w:pStyle w:val="8"/>
                    </w:pPr>
                    <w:r>
                      <w:fldChar w:fldCharType="begin"/>
                    </w:r>
                    <w:r>
                      <w:instrText xml:space="preserve"> PAGE  \* MERGEFORMAT </w:instrText>
                    </w:r>
                    <w:r>
                      <w:fldChar w:fldCharType="separate"/>
                    </w:r>
                    <w:r>
                      <w:t>2</w:t>
                    </w:r>
                    <w:r>
                      <w:fldChar w:fldCharType="end"/>
                    </w:r>
                  </w:p>
                </w:txbxContent>
              </v:textbox>
            </v:shape>
          </w:pict>
        </mc:Fallback>
      </mc:AlternateContent>
    </w:r>
  </w:p>
  <w:p w14:paraId="789A445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6E0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66C7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C966C7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A13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C029"/>
    <w:multiLevelType w:val="singleLevel"/>
    <w:tmpl w:val="80BFC02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172A27"/>
    <w:rsid w:val="021D673F"/>
    <w:rsid w:val="02AD32CA"/>
    <w:rsid w:val="02E62FD5"/>
    <w:rsid w:val="03B757B3"/>
    <w:rsid w:val="0405748B"/>
    <w:rsid w:val="044805FB"/>
    <w:rsid w:val="07082D58"/>
    <w:rsid w:val="07302A71"/>
    <w:rsid w:val="079A3D13"/>
    <w:rsid w:val="08123F24"/>
    <w:rsid w:val="084A1910"/>
    <w:rsid w:val="0869623A"/>
    <w:rsid w:val="08C95889"/>
    <w:rsid w:val="08E84CD9"/>
    <w:rsid w:val="0983332C"/>
    <w:rsid w:val="09EF63AD"/>
    <w:rsid w:val="0AA62962"/>
    <w:rsid w:val="0B1F5907"/>
    <w:rsid w:val="0B2367D5"/>
    <w:rsid w:val="0CBE3988"/>
    <w:rsid w:val="0D1D0FA5"/>
    <w:rsid w:val="0D5E20CC"/>
    <w:rsid w:val="0FBC30F4"/>
    <w:rsid w:val="112C6057"/>
    <w:rsid w:val="13E0137B"/>
    <w:rsid w:val="14414A38"/>
    <w:rsid w:val="144C7FE7"/>
    <w:rsid w:val="14DC7D94"/>
    <w:rsid w:val="17641093"/>
    <w:rsid w:val="17944956"/>
    <w:rsid w:val="17D86098"/>
    <w:rsid w:val="185C1D1C"/>
    <w:rsid w:val="19E41BC5"/>
    <w:rsid w:val="1B09565C"/>
    <w:rsid w:val="1BC51582"/>
    <w:rsid w:val="1C4C3A51"/>
    <w:rsid w:val="1DB94EB6"/>
    <w:rsid w:val="1DBC7399"/>
    <w:rsid w:val="1DE05F81"/>
    <w:rsid w:val="1DEE36F3"/>
    <w:rsid w:val="1E4948D2"/>
    <w:rsid w:val="1EB95499"/>
    <w:rsid w:val="20EE50D7"/>
    <w:rsid w:val="217557F8"/>
    <w:rsid w:val="23EB61A9"/>
    <w:rsid w:val="24037FA9"/>
    <w:rsid w:val="24E12B84"/>
    <w:rsid w:val="25092A02"/>
    <w:rsid w:val="25C72880"/>
    <w:rsid w:val="25DD396C"/>
    <w:rsid w:val="25FD5DBC"/>
    <w:rsid w:val="26FF7EE9"/>
    <w:rsid w:val="290A77EF"/>
    <w:rsid w:val="294A366F"/>
    <w:rsid w:val="2B421FE8"/>
    <w:rsid w:val="2BCB39E6"/>
    <w:rsid w:val="2BD433DE"/>
    <w:rsid w:val="2C1B577E"/>
    <w:rsid w:val="2CDF7FCA"/>
    <w:rsid w:val="2D3C541C"/>
    <w:rsid w:val="2DD85145"/>
    <w:rsid w:val="2EA44A66"/>
    <w:rsid w:val="2FB41BE1"/>
    <w:rsid w:val="2FF56B39"/>
    <w:rsid w:val="3029612C"/>
    <w:rsid w:val="30930421"/>
    <w:rsid w:val="31BD1467"/>
    <w:rsid w:val="31F8313B"/>
    <w:rsid w:val="33242BDA"/>
    <w:rsid w:val="3457498F"/>
    <w:rsid w:val="353E1BDE"/>
    <w:rsid w:val="35512FB0"/>
    <w:rsid w:val="3628582D"/>
    <w:rsid w:val="362F1FC2"/>
    <w:rsid w:val="37471531"/>
    <w:rsid w:val="38E86458"/>
    <w:rsid w:val="39C24EFB"/>
    <w:rsid w:val="3A033D87"/>
    <w:rsid w:val="3A555125"/>
    <w:rsid w:val="3A695377"/>
    <w:rsid w:val="3B2C7AF6"/>
    <w:rsid w:val="3BC47037"/>
    <w:rsid w:val="3C796BF4"/>
    <w:rsid w:val="3CD04C45"/>
    <w:rsid w:val="3CE74E48"/>
    <w:rsid w:val="3CEF6007"/>
    <w:rsid w:val="3DE25B6C"/>
    <w:rsid w:val="3DED040A"/>
    <w:rsid w:val="3EB3014F"/>
    <w:rsid w:val="3F8A64BB"/>
    <w:rsid w:val="406B1E48"/>
    <w:rsid w:val="40B33E09"/>
    <w:rsid w:val="417B2D64"/>
    <w:rsid w:val="42284179"/>
    <w:rsid w:val="436C51DF"/>
    <w:rsid w:val="43FE2FD4"/>
    <w:rsid w:val="441D6BBE"/>
    <w:rsid w:val="446E63AB"/>
    <w:rsid w:val="46337C01"/>
    <w:rsid w:val="46E02B43"/>
    <w:rsid w:val="47191904"/>
    <w:rsid w:val="471E7C15"/>
    <w:rsid w:val="472964DB"/>
    <w:rsid w:val="474E6020"/>
    <w:rsid w:val="476B4E24"/>
    <w:rsid w:val="488F0DE5"/>
    <w:rsid w:val="48AB372A"/>
    <w:rsid w:val="48FE312B"/>
    <w:rsid w:val="4977185E"/>
    <w:rsid w:val="4A05194D"/>
    <w:rsid w:val="4BB54BE6"/>
    <w:rsid w:val="4BEF3729"/>
    <w:rsid w:val="4C12586E"/>
    <w:rsid w:val="4C8D62AE"/>
    <w:rsid w:val="4CB44B77"/>
    <w:rsid w:val="4D01600E"/>
    <w:rsid w:val="4D1928EF"/>
    <w:rsid w:val="4E5C54C6"/>
    <w:rsid w:val="4EB26E94"/>
    <w:rsid w:val="4FDF1F0B"/>
    <w:rsid w:val="517A3C1B"/>
    <w:rsid w:val="519F54AE"/>
    <w:rsid w:val="53400F13"/>
    <w:rsid w:val="54CE3AA7"/>
    <w:rsid w:val="54E658DC"/>
    <w:rsid w:val="557F0032"/>
    <w:rsid w:val="5706468D"/>
    <w:rsid w:val="5886049D"/>
    <w:rsid w:val="595A2602"/>
    <w:rsid w:val="59B97566"/>
    <w:rsid w:val="5A587B7C"/>
    <w:rsid w:val="5B373701"/>
    <w:rsid w:val="5BF62AB6"/>
    <w:rsid w:val="5C3D06E5"/>
    <w:rsid w:val="5CDA5F34"/>
    <w:rsid w:val="5D261179"/>
    <w:rsid w:val="5D2C1BCA"/>
    <w:rsid w:val="5D5C103F"/>
    <w:rsid w:val="5D833D99"/>
    <w:rsid w:val="5F7B7AF4"/>
    <w:rsid w:val="60F43F81"/>
    <w:rsid w:val="61CF0031"/>
    <w:rsid w:val="63576443"/>
    <w:rsid w:val="63A64809"/>
    <w:rsid w:val="645A2AEE"/>
    <w:rsid w:val="65644F35"/>
    <w:rsid w:val="65674A25"/>
    <w:rsid w:val="658C6239"/>
    <w:rsid w:val="65FD3C12"/>
    <w:rsid w:val="6623094C"/>
    <w:rsid w:val="670B7E79"/>
    <w:rsid w:val="67145DB8"/>
    <w:rsid w:val="6765527A"/>
    <w:rsid w:val="67CF717F"/>
    <w:rsid w:val="6966171D"/>
    <w:rsid w:val="69EE1271"/>
    <w:rsid w:val="6A570BC4"/>
    <w:rsid w:val="6A960370"/>
    <w:rsid w:val="6AF808A3"/>
    <w:rsid w:val="6B560E7C"/>
    <w:rsid w:val="6BE95361"/>
    <w:rsid w:val="6CB867EA"/>
    <w:rsid w:val="6CC7276A"/>
    <w:rsid w:val="6CE85C48"/>
    <w:rsid w:val="6D3F06C1"/>
    <w:rsid w:val="6E696399"/>
    <w:rsid w:val="6F433BCC"/>
    <w:rsid w:val="6F912B0F"/>
    <w:rsid w:val="706202C3"/>
    <w:rsid w:val="71DE05CD"/>
    <w:rsid w:val="71FE226D"/>
    <w:rsid w:val="72007D93"/>
    <w:rsid w:val="72116F3F"/>
    <w:rsid w:val="73F74967"/>
    <w:rsid w:val="755D302A"/>
    <w:rsid w:val="761C6A77"/>
    <w:rsid w:val="7787023A"/>
    <w:rsid w:val="77A85155"/>
    <w:rsid w:val="78917997"/>
    <w:rsid w:val="78964FAD"/>
    <w:rsid w:val="79667F09"/>
    <w:rsid w:val="79FE4125"/>
    <w:rsid w:val="7A2A2604"/>
    <w:rsid w:val="7B181DE8"/>
    <w:rsid w:val="7D676F18"/>
    <w:rsid w:val="7D976E56"/>
    <w:rsid w:val="7E3E1ED9"/>
    <w:rsid w:val="7E665422"/>
    <w:rsid w:val="7F2D3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5">
    <w:name w:val="annotation text"/>
    <w:basedOn w:val="1"/>
    <w:qFormat/>
    <w:uiPriority w:val="0"/>
    <w:pPr>
      <w:jc w:val="left"/>
    </w:pPr>
  </w:style>
  <w:style w:type="paragraph" w:styleId="6">
    <w:name w:val="Body Text"/>
    <w:basedOn w:val="1"/>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unhideWhenUsed/>
    <w:qFormat/>
    <w:uiPriority w:val="99"/>
    <w:pPr>
      <w:ind w:firstLine="420" w:firstLineChars="200"/>
    </w:pPr>
  </w:style>
  <w:style w:type="character" w:styleId="16">
    <w:name w:val="Strong"/>
    <w:basedOn w:val="15"/>
    <w:qFormat/>
    <w:uiPriority w:val="99"/>
    <w:rPr>
      <w:b/>
    </w:rPr>
  </w:style>
  <w:style w:type="character" w:styleId="17">
    <w:name w:val="Emphasis"/>
    <w:basedOn w:val="15"/>
    <w:qFormat/>
    <w:uiPriority w:val="0"/>
    <w:rPr>
      <w:i/>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customStyle="1" w:styleId="19">
    <w:name w:val="标题 1 Char"/>
    <w:basedOn w:val="15"/>
    <w:link w:val="3"/>
    <w:qFormat/>
    <w:uiPriority w:val="9"/>
    <w:rPr>
      <w:b/>
      <w:bCs/>
      <w:kern w:val="44"/>
      <w:sz w:val="44"/>
      <w:szCs w:val="44"/>
    </w:rPr>
  </w:style>
  <w:style w:type="character" w:customStyle="1" w:styleId="20">
    <w:name w:val="标题 2 Char"/>
    <w:basedOn w:val="15"/>
    <w:link w:val="4"/>
    <w:qFormat/>
    <w:uiPriority w:val="9"/>
    <w:rPr>
      <w:rFonts w:asciiTheme="majorHAnsi" w:hAnsiTheme="majorHAnsi" w:eastAsiaTheme="majorEastAsia" w:cstheme="majorBidi"/>
      <w:b/>
      <w:bCs/>
      <w:sz w:val="32"/>
      <w:szCs w:val="32"/>
    </w:rPr>
  </w:style>
  <w:style w:type="paragraph" w:customStyle="1" w:styleId="21">
    <w:name w:val="List Paragraph"/>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4">
    <w:name w:val="WPSOffice手动目录 1"/>
    <w:qFormat/>
    <w:uiPriority w:val="0"/>
    <w:pPr>
      <w:ind w:leftChars="0"/>
    </w:pPr>
    <w:rPr>
      <w:rFonts w:asciiTheme="minorHAnsi" w:hAnsiTheme="minorHAnsi" w:eastAsiaTheme="minorEastAsia" w:cstheme="minorBidi"/>
      <w:sz w:val="20"/>
      <w:szCs w:val="20"/>
    </w:rPr>
  </w:style>
  <w:style w:type="paragraph" w:customStyle="1" w:styleId="25">
    <w:name w:val="WPSOffice手动目录 2"/>
    <w:qFormat/>
    <w:uiPriority w:val="0"/>
    <w:pPr>
      <w:ind w:leftChars="200"/>
    </w:pPr>
    <w:rPr>
      <w:rFonts w:asciiTheme="minorHAnsi" w:hAnsiTheme="minorHAnsi" w:eastAsiaTheme="minorEastAsia" w:cstheme="minorBidi"/>
      <w:sz w:val="20"/>
      <w:szCs w:val="20"/>
    </w:rPr>
  </w:style>
  <w:style w:type="paragraph" w:customStyle="1" w:styleId="26">
    <w:name w:val="Normal Indent1"/>
    <w:basedOn w:val="1"/>
    <w:qFormat/>
    <w:uiPriority w:val="0"/>
    <w:pPr>
      <w:spacing w:line="660" w:lineRule="exact"/>
      <w:ind w:firstLine="720" w:firstLineChars="200"/>
    </w:pPr>
    <w:rPr>
      <w:rFonts w:ascii="Calibri" w:hAnsi="Calibri" w:eastAsia="楷体_GB2312" w:cs="Calibri"/>
      <w:sz w:val="36"/>
      <w:szCs w:val="36"/>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0" i="0" u="none" strike="noStrike" kern="1200" spc="0" baseline="0">
                <a:solidFill>
                  <a:schemeClr val="tx1">
                    <a:lumMod val="65000"/>
                    <a:lumOff val="35000"/>
                  </a:schemeClr>
                </a:solidFill>
                <a:latin typeface="+mn-lt"/>
                <a:ea typeface="+mn-ea"/>
                <a:cs typeface="+mn-cs"/>
              </a:defRPr>
            </a:pPr>
            <a:r>
              <a:rPr sz="1680"/>
              <a:t>收入支出决算总体情况（万元）</a:t>
            </a:r>
            <a:endParaRPr sz="168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2022年度收支</c:v>
                </c:pt>
                <c:pt idx="1">
                  <c:v>2023年度收支</c:v>
                </c:pt>
              </c:strCache>
            </c:strRef>
          </c:cat>
          <c:val>
            <c:numRef>
              <c:f>Sheet1!$B$2:$B$3</c:f>
              <c:numCache>
                <c:formatCode>General</c:formatCode>
                <c:ptCount val="2"/>
                <c:pt idx="0">
                  <c:v>488.63</c:v>
                </c:pt>
                <c:pt idx="1">
                  <c:v>541</c:v>
                </c:pt>
              </c:numCache>
            </c:numRef>
          </c:val>
        </c:ser>
        <c:dLbls>
          <c:showLegendKey val="0"/>
          <c:showVal val="1"/>
          <c:showCatName val="0"/>
          <c:showSerName val="0"/>
          <c:showPercent val="0"/>
          <c:showBubbleSize val="0"/>
        </c:dLbls>
        <c:gapWidth val="219"/>
        <c:overlap val="-27"/>
        <c:axId val="467673569"/>
        <c:axId val="490483980"/>
      </c:barChart>
      <c:catAx>
        <c:axId val="467673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490483980"/>
        <c:crosses val="autoZero"/>
        <c:auto val="1"/>
        <c:lblAlgn val="ctr"/>
        <c:lblOffset val="100"/>
        <c:noMultiLvlLbl val="0"/>
      </c:catAx>
      <c:valAx>
        <c:axId val="490483980"/>
        <c:scaling>
          <c:orientation val="minMax"/>
          <c:max val="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467673569"/>
        <c:crosses val="autoZero"/>
        <c:crossBetween val="between"/>
        <c:majorUnit val="100"/>
      </c:valAx>
      <c:spPr>
        <a:noFill/>
        <a:ln>
          <a:noFill/>
        </a:ln>
        <a:effectLst/>
      </c:spPr>
    </c:plotArea>
    <c:plotVisOnly val="1"/>
    <c:dispBlanksAs val="gap"/>
    <c:showDLblsOverMax val="0"/>
    <c:extLst>
      <c:ext uri="{0b15fc19-7d7d-44ad-8c2d-2c3a37ce22c3}">
        <chartProps xmlns="https://web.wps.cn/et/2018/main" chartId="{780f2ddc-e17d-47d2-b279-2d8e2035620e}"/>
      </c:ext>
    </c:extLst>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收入决算情况（万元）</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manualLayout>
                  <c:x val="0.069999381192362"/>
                  <c:y val="-0.315393245078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309.45</c:v>
                </c:pt>
                <c:pt idx="1">
                  <c:v>231.55</c:v>
                </c:pt>
              </c:numCache>
            </c:numRef>
          </c:val>
        </c:ser>
        <c:ser>
          <c:idx val="1"/>
          <c:order val="1"/>
          <c:tx>
            <c:strRef>
              <c:f>Sheet1!$C$1</c:f>
              <c:strCache>
                <c:ptCount val="1"/>
                <c:pt idx="0">
                  <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Sheet1!$C$2:$C$3</c:f>
              <c:numCache>
                <c:formatCode>General</c:formatCode>
                <c:ptCount val="2"/>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3275f0bc-8af8-4ab3-b536-a8b775afeb04}"/>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决算支出情况（万元）</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309.45</c:v>
                </c:pt>
                <c:pt idx="1">
                  <c:v>231.55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569009c1-e8de-4d29-9467-0b3d69b31762}"/>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0" i="0" u="none" strike="noStrike" kern="1200" spc="0" baseline="0">
                <a:solidFill>
                  <a:schemeClr val="tx1">
                    <a:lumMod val="65000"/>
                    <a:lumOff val="35000"/>
                  </a:schemeClr>
                </a:solidFill>
                <a:latin typeface="+mn-lt"/>
                <a:ea typeface="+mn-ea"/>
                <a:cs typeface="+mn-cs"/>
              </a:defRPr>
            </a:pPr>
            <a:r>
              <a:rPr sz="1680"/>
              <a:t>财政拨款收入支出决算总体情况（万元）</a:t>
            </a:r>
            <a:endParaRPr sz="1680"/>
          </a:p>
        </c:rich>
      </c:tx>
      <c:layout>
        <c:manualLayout>
          <c:xMode val="edge"/>
          <c:yMode val="edge"/>
          <c:x val="0.17825"/>
          <c:y val="0.019287833827893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2022年财政拨款收、支</c:v>
                </c:pt>
                <c:pt idx="1">
                  <c:v>2023年财政拨款收、支</c:v>
                </c:pt>
              </c:strCache>
            </c:strRef>
          </c:cat>
          <c:val>
            <c:numRef>
              <c:f>Sheet1!$B$2:$B$3</c:f>
              <c:numCache>
                <c:formatCode>General</c:formatCode>
                <c:ptCount val="2"/>
                <c:pt idx="0">
                  <c:v>488.63</c:v>
                </c:pt>
                <c:pt idx="1">
                  <c:v>541</c:v>
                </c:pt>
              </c:numCache>
            </c:numRef>
          </c:val>
        </c:ser>
        <c:dLbls>
          <c:showLegendKey val="0"/>
          <c:showVal val="1"/>
          <c:showCatName val="0"/>
          <c:showSerName val="0"/>
          <c:showPercent val="0"/>
          <c:showBubbleSize val="0"/>
        </c:dLbls>
        <c:gapWidth val="219"/>
        <c:overlap val="-27"/>
        <c:axId val="467673569"/>
        <c:axId val="490483980"/>
      </c:barChart>
      <c:catAx>
        <c:axId val="467673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490483980"/>
        <c:crosses val="autoZero"/>
        <c:auto val="1"/>
        <c:lblAlgn val="ctr"/>
        <c:lblOffset val="100"/>
        <c:noMultiLvlLbl val="0"/>
      </c:catAx>
      <c:valAx>
        <c:axId val="490483980"/>
        <c:scaling>
          <c:orientation val="minMax"/>
          <c:max val="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467673569"/>
        <c:crosses val="autoZero"/>
        <c:crossBetween val="between"/>
        <c:majorUnit val="100"/>
      </c:valAx>
      <c:spPr>
        <a:noFill/>
        <a:ln>
          <a:noFill/>
        </a:ln>
        <a:effectLst/>
      </c:spPr>
    </c:plotArea>
    <c:plotVisOnly val="1"/>
    <c:dispBlanksAs val="gap"/>
    <c:showDLblsOverMax val="0"/>
    <c:extLst>
      <c:ext uri="{0b15fc19-7d7d-44ad-8c2d-2c3a37ce22c3}">
        <chartProps xmlns="https://web.wps.cn/et/2018/main" chartId="{a3f8b8db-e87d-4500-865b-041ecae0b2e4}"/>
      </c:ext>
    </c:extLst>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一般公共预算财政拨款支出决算情况</a:t>
            </a:r>
            <a:endParaRPr sz="1200"/>
          </a:p>
          <a:p>
            <a:pPr defTabSz="914400">
              <a:defRPr lang="zh-CN" sz="1200" b="0" i="0" u="none" strike="noStrike" kern="1200" spc="0" baseline="0">
                <a:solidFill>
                  <a:schemeClr val="tx1">
                    <a:lumMod val="65000"/>
                    <a:lumOff val="35000"/>
                  </a:schemeClr>
                </a:solidFill>
                <a:latin typeface="+mn-lt"/>
                <a:ea typeface="+mn-ea"/>
                <a:cs typeface="+mn-cs"/>
              </a:defRPr>
            </a:pPr>
            <a:r>
              <a:rPr sz="1200"/>
              <a:t>（万元）</a:t>
            </a:r>
            <a:endParaRPr sz="1200"/>
          </a:p>
        </c:rich>
      </c:tx>
      <c:layout>
        <c:manualLayout>
          <c:xMode val="edge"/>
          <c:yMode val="edge"/>
          <c:x val="0.2445"/>
          <c:y val="0.019287833827893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2022年一般公共预算财政拨款支出</c:v>
                </c:pt>
                <c:pt idx="1">
                  <c:v>2023年一般公共预算财政拨款支出</c:v>
                </c:pt>
              </c:strCache>
            </c:strRef>
          </c:cat>
          <c:val>
            <c:numRef>
              <c:f>Sheet1!$B$2:$B$3</c:f>
              <c:numCache>
                <c:formatCode>General</c:formatCode>
                <c:ptCount val="2"/>
                <c:pt idx="0">
                  <c:v>488.63</c:v>
                </c:pt>
                <c:pt idx="1">
                  <c:v>309.45</c:v>
                </c:pt>
              </c:numCache>
            </c:numRef>
          </c:val>
        </c:ser>
        <c:dLbls>
          <c:showLegendKey val="0"/>
          <c:showVal val="1"/>
          <c:showCatName val="0"/>
          <c:showSerName val="0"/>
          <c:showPercent val="0"/>
          <c:showBubbleSize val="0"/>
        </c:dLbls>
        <c:gapWidth val="219"/>
        <c:overlap val="-27"/>
        <c:axId val="467673569"/>
        <c:axId val="490483980"/>
      </c:barChart>
      <c:catAx>
        <c:axId val="467673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490483980"/>
        <c:crosses val="autoZero"/>
        <c:auto val="1"/>
        <c:lblAlgn val="ctr"/>
        <c:lblOffset val="100"/>
        <c:noMultiLvlLbl val="0"/>
      </c:catAx>
      <c:valAx>
        <c:axId val="490483980"/>
        <c:scaling>
          <c:orientation val="minMax"/>
          <c:max val="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467673569"/>
        <c:crosses val="autoZero"/>
        <c:crossBetween val="between"/>
        <c:majorUnit val="100"/>
      </c:valAx>
      <c:spPr>
        <a:noFill/>
        <a:ln>
          <a:noFill/>
        </a:ln>
        <a:effectLst/>
      </c:spPr>
    </c:plotArea>
    <c:plotVisOnly val="1"/>
    <c:dispBlanksAs val="gap"/>
    <c:showDLblsOverMax val="0"/>
    <c:extLst>
      <c:ext uri="{0b15fc19-7d7d-44ad-8c2d-2c3a37ce22c3}">
        <chartProps xmlns="https://web.wps.cn/et/2018/main" chartId="{aeaf75bf-7ac9-41b8-851a-0bbdf9cba1d8}"/>
      </c:ext>
    </c:extLst>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1"/>
              <c:layout>
                <c:manualLayout>
                  <c:x val="0.0309747414672991"/>
                  <c:y val="0.10093467118704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7636472215516"/>
                  <c:y val="0.24206639675436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73297154710709"/>
                  <c:y val="0.1221139359241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234.87</c:v>
                </c:pt>
                <c:pt idx="1">
                  <c:v>45.24</c:v>
                </c:pt>
                <c:pt idx="2">
                  <c:v>8.27</c:v>
                </c:pt>
                <c:pt idx="3">
                  <c:v>21.07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b0196a18-39f8-44d8-a0b8-41617584f56e}"/>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6215</Words>
  <Characters>7558</Characters>
  <Lines>0</Lines>
  <Paragraphs>0</Paragraphs>
  <TotalTime>1</TotalTime>
  <ScaleCrop>false</ScaleCrop>
  <LinksUpToDate>false</LinksUpToDate>
  <CharactersWithSpaces>7611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2023-10-13T06:26:00Z</dcterms:created>
  <dc:creator>cx</dc:creator>
  <cp:lastModifiedBy>碧云天</cp:lastModifiedBy>
  <cp:lastPrinted>2024-10-16T03:37:00Z</cp:lastPrinted>
  <dcterms:modified xsi:type="dcterms:W3CDTF">2024-11-01T06:55:33Z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EA8B26FD57D540DB8658AFBD3E77C13B_12</vt:lpwstr>
  </property>
</Properties>
</file>