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433F2">
      <w:pPr>
        <w:keepNext w:val="0"/>
        <w:pageBreakBefore w:val="0"/>
        <w:kinsoku/>
        <w:wordWrap/>
        <w:overflowPunct/>
        <w:topLinePunct w:val="0"/>
        <w:autoSpaceDE/>
        <w:autoSpaceDN/>
        <w:bidi w:val="0"/>
        <w:spacing w:line="560" w:lineRule="exact"/>
        <w:contextualSpacing/>
        <w:rPr>
          <w:rFonts w:hint="eastAsia" w:ascii="方正黑体_GBK" w:hAnsi="宋体" w:eastAsia="方正黑体_GBK"/>
          <w:sz w:val="33"/>
          <w:szCs w:val="33"/>
          <w:lang w:val="zh-CN" w:eastAsia="zh-CN"/>
        </w:rPr>
      </w:pPr>
      <w:r>
        <w:rPr>
          <w:rFonts w:hint="eastAsia" w:ascii="方正黑体_GBK" w:hAnsi="宋体" w:eastAsia="方正黑体_GBK"/>
          <w:sz w:val="33"/>
          <w:szCs w:val="33"/>
          <w:lang w:val="zh-CN"/>
        </w:rPr>
        <w:t>附件</w:t>
      </w:r>
      <w:r>
        <w:rPr>
          <w:rFonts w:hint="eastAsia" w:eastAsia="方正黑体_GBK"/>
          <w:sz w:val="33"/>
          <w:szCs w:val="33"/>
          <w:lang w:val="en-US" w:eastAsia="zh-CN"/>
        </w:rPr>
        <w:t>2</w:t>
      </w:r>
    </w:p>
    <w:p w14:paraId="6AE53E59">
      <w:pPr>
        <w:keepNext w:val="0"/>
        <w:pageBreakBefore w:val="0"/>
        <w:widowControl/>
        <w:kinsoku/>
        <w:wordWrap/>
        <w:overflowPunct/>
        <w:topLinePunct w:val="0"/>
        <w:autoSpaceDE/>
        <w:autoSpaceDN/>
        <w:bidi w:val="0"/>
        <w:spacing w:line="560" w:lineRule="exact"/>
        <w:ind w:firstLine="883" w:firstLineChars="200"/>
        <w:contextualSpacing/>
        <w:jc w:val="center"/>
        <w:rPr>
          <w:rFonts w:ascii="宋体"/>
          <w:b/>
          <w:sz w:val="44"/>
          <w:szCs w:val="44"/>
          <w:shd w:val="clear" w:color="auto" w:fill="FFFFFF"/>
        </w:rPr>
      </w:pPr>
    </w:p>
    <w:p w14:paraId="27BC1EBC">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黑体" w:hAnsi="黑体" w:eastAsia="黑体" w:cs="黑体"/>
          <w:b/>
          <w:color w:val="auto"/>
          <w:sz w:val="44"/>
          <w:szCs w:val="44"/>
          <w:shd w:val="clear" w:color="auto" w:fill="FFFFFF"/>
          <w:lang w:eastAsia="zh-CN"/>
        </w:rPr>
      </w:pPr>
      <w:r>
        <w:rPr>
          <w:rFonts w:hint="eastAsia" w:ascii="黑体" w:hAnsi="黑体" w:eastAsia="黑体" w:cs="黑体"/>
          <w:b/>
          <w:color w:val="auto"/>
          <w:sz w:val="44"/>
          <w:szCs w:val="44"/>
          <w:shd w:val="clear" w:color="auto" w:fill="FFFFFF"/>
          <w:lang w:val="en-US" w:eastAsia="zh-CN"/>
        </w:rPr>
        <w:t>峨</w:t>
      </w:r>
      <w:r>
        <w:rPr>
          <w:rFonts w:hint="eastAsia" w:ascii="黑体" w:hAnsi="黑体" w:eastAsia="黑体" w:cs="黑体"/>
          <w:b/>
          <w:color w:val="auto"/>
          <w:sz w:val="44"/>
          <w:szCs w:val="44"/>
          <w:shd w:val="clear" w:color="auto" w:fill="FFFFFF"/>
          <w:lang w:eastAsia="zh-CN"/>
        </w:rPr>
        <w:t>边彝族自治县水务局</w:t>
      </w:r>
    </w:p>
    <w:p w14:paraId="45737DC9">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黑体" w:hAnsi="黑体" w:eastAsia="黑体" w:cs="黑体"/>
          <w:b/>
          <w:color w:val="auto"/>
          <w:sz w:val="44"/>
          <w:szCs w:val="44"/>
          <w:shd w:val="clear" w:color="auto" w:fill="FFFFFF"/>
        </w:rPr>
      </w:pPr>
      <w:r>
        <w:rPr>
          <w:rFonts w:hint="eastAsia" w:ascii="黑体" w:hAnsi="黑体" w:eastAsia="黑体" w:cs="黑体"/>
          <w:b/>
          <w:color w:val="auto"/>
          <w:sz w:val="44"/>
          <w:szCs w:val="44"/>
          <w:shd w:val="clear" w:color="auto" w:fill="FFFFFF"/>
          <w:lang w:eastAsia="zh-CN"/>
        </w:rPr>
        <w:t>202</w:t>
      </w:r>
      <w:r>
        <w:rPr>
          <w:rFonts w:hint="eastAsia" w:ascii="黑体" w:hAnsi="黑体" w:eastAsia="黑体" w:cs="黑体"/>
          <w:b/>
          <w:color w:val="auto"/>
          <w:sz w:val="44"/>
          <w:szCs w:val="44"/>
          <w:shd w:val="clear" w:color="auto" w:fill="FFFFFF"/>
          <w:lang w:val="en-US" w:eastAsia="zh-CN"/>
        </w:rPr>
        <w:t>4</w:t>
      </w:r>
      <w:r>
        <w:rPr>
          <w:rFonts w:hint="eastAsia" w:ascii="黑体" w:hAnsi="黑体" w:eastAsia="黑体" w:cs="黑体"/>
          <w:b/>
          <w:color w:val="auto"/>
          <w:sz w:val="44"/>
          <w:szCs w:val="44"/>
          <w:shd w:val="clear" w:color="auto" w:fill="FFFFFF"/>
          <w:lang w:eastAsia="zh-CN"/>
        </w:rPr>
        <w:t>年</w:t>
      </w:r>
      <w:r>
        <w:rPr>
          <w:rFonts w:hint="eastAsia" w:ascii="黑体" w:hAnsi="黑体" w:eastAsia="黑体" w:cs="黑体"/>
          <w:b/>
          <w:color w:val="auto"/>
          <w:sz w:val="44"/>
          <w:szCs w:val="44"/>
          <w:shd w:val="clear" w:color="auto" w:fill="FFFFFF"/>
          <w:lang w:val="en-US" w:eastAsia="zh-CN"/>
        </w:rPr>
        <w:t>度</w:t>
      </w:r>
      <w:r>
        <w:rPr>
          <w:rFonts w:hint="eastAsia" w:ascii="黑体" w:hAnsi="黑体" w:eastAsia="黑体" w:cs="黑体"/>
          <w:b/>
          <w:color w:val="auto"/>
          <w:sz w:val="44"/>
          <w:szCs w:val="44"/>
          <w:shd w:val="clear" w:color="auto" w:fill="FFFFFF"/>
        </w:rPr>
        <w:t>部门整体绩效</w:t>
      </w:r>
      <w:r>
        <w:rPr>
          <w:rFonts w:hint="eastAsia" w:ascii="黑体" w:hAnsi="黑体" w:eastAsia="黑体" w:cs="黑体"/>
          <w:b/>
          <w:color w:val="auto"/>
          <w:sz w:val="44"/>
          <w:szCs w:val="44"/>
          <w:shd w:val="clear" w:color="auto" w:fill="FFFFFF"/>
          <w:lang w:val="en-US" w:eastAsia="zh-CN"/>
        </w:rPr>
        <w:t>自评</w:t>
      </w:r>
      <w:r>
        <w:rPr>
          <w:rFonts w:hint="eastAsia" w:ascii="黑体" w:hAnsi="黑体" w:eastAsia="黑体" w:cs="黑体"/>
          <w:b/>
          <w:color w:val="auto"/>
          <w:sz w:val="44"/>
          <w:szCs w:val="44"/>
          <w:shd w:val="clear" w:color="auto" w:fill="FFFFFF"/>
        </w:rPr>
        <w:t>报告</w:t>
      </w:r>
    </w:p>
    <w:p w14:paraId="4FC8B727">
      <w:pPr>
        <w:keepNext w:val="0"/>
        <w:pageBreakBefore w:val="0"/>
        <w:widowControl/>
        <w:kinsoku/>
        <w:wordWrap/>
        <w:overflowPunct/>
        <w:topLinePunct w:val="0"/>
        <w:autoSpaceDE/>
        <w:autoSpaceDN/>
        <w:bidi w:val="0"/>
        <w:adjustRightInd w:val="0"/>
        <w:snapToGrid w:val="0"/>
        <w:spacing w:line="560" w:lineRule="exact"/>
        <w:ind w:firstLine="660" w:firstLineChars="200"/>
        <w:contextualSpacing/>
        <w:jc w:val="center"/>
        <w:rPr>
          <w:rFonts w:ascii="方正仿宋_GBK" w:hAnsi="宋体" w:eastAsia="方正仿宋_GBK" w:cs="宋体"/>
          <w:color w:val="000000"/>
          <w:kern w:val="0"/>
          <w:sz w:val="33"/>
          <w:szCs w:val="33"/>
          <w:shd w:val="clear" w:color="auto" w:fill="FFFFFF"/>
        </w:rPr>
      </w:pPr>
    </w:p>
    <w:p w14:paraId="61859D4A">
      <w:pPr>
        <w:keepNext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0E771F66">
      <w:pPr>
        <w:keepNext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16754E7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lang w:val="zh-CN"/>
        </w:rPr>
      </w:pPr>
      <w:r>
        <w:rPr>
          <w:rFonts w:hint="eastAsia" w:ascii="仿宋_GB2312" w:hAnsi="宋体" w:cs="宋体"/>
          <w:color w:val="auto"/>
          <w:kern w:val="0"/>
          <w:szCs w:val="32"/>
          <w:shd w:val="clear" w:color="auto" w:fill="FFFFFF"/>
          <w:lang w:val="zh-CN"/>
        </w:rPr>
        <w:t>峨边彝族自治县水务局内设综合股和业务股，</w:t>
      </w:r>
      <w:r>
        <w:rPr>
          <w:rFonts w:hint="eastAsia" w:ascii="仿宋_GB2312" w:hAnsi="宋体" w:cs="宋体"/>
          <w:color w:val="auto"/>
          <w:kern w:val="0"/>
          <w:szCs w:val="32"/>
          <w:shd w:val="clear" w:color="auto" w:fill="FFFFFF"/>
          <w:lang w:val="en-US" w:eastAsia="zh-CN"/>
        </w:rPr>
        <w:t>下设峨边彝族自治县水利工程建设服务中心</w:t>
      </w:r>
      <w:r>
        <w:rPr>
          <w:rFonts w:hint="eastAsia" w:ascii="仿宋_GB2312" w:hAnsi="宋体" w:cs="宋体"/>
          <w:color w:val="auto"/>
          <w:kern w:val="0"/>
          <w:szCs w:val="32"/>
          <w:shd w:val="clear" w:color="auto" w:fill="FFFFFF"/>
          <w:lang w:val="zh-CN"/>
        </w:rPr>
        <w:t>。</w:t>
      </w:r>
    </w:p>
    <w:p w14:paraId="42AF79D4">
      <w:pPr>
        <w:keepNext w:val="0"/>
        <w:pageBreakBefore w:val="0"/>
        <w:widowControl/>
        <w:numPr>
          <w:ilvl w:val="0"/>
          <w:numId w:val="1"/>
        </w:numPr>
        <w:kinsoku/>
        <w:wordWrap/>
        <w:overflowPunct/>
        <w:topLinePunct w:val="0"/>
        <w:autoSpaceDE/>
        <w:autoSpaceDN/>
        <w:bidi w:val="0"/>
        <w:adjustRightInd w:val="0"/>
        <w:snapToGrid w:val="0"/>
        <w:spacing w:line="56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机构职能和人员概况。</w:t>
      </w:r>
    </w:p>
    <w:p w14:paraId="7B9FE403">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color w:val="auto"/>
          <w:sz w:val="32"/>
          <w:szCs w:val="32"/>
          <w:lang w:val="en-US" w:eastAsia="zh-CN"/>
        </w:rPr>
      </w:pPr>
      <w:r>
        <w:rPr>
          <w:rFonts w:hint="eastAsia" w:ascii="仿宋_GB2312"/>
          <w:color w:val="auto"/>
          <w:sz w:val="32"/>
          <w:szCs w:val="32"/>
          <w:lang w:val="en-US" w:eastAsia="zh-CN"/>
        </w:rPr>
        <w:t>机构职能：</w:t>
      </w:r>
    </w:p>
    <w:p w14:paraId="671568D2">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宣传贯彻执行有关水务工作的</w:t>
      </w:r>
      <w:r>
        <w:rPr>
          <w:rFonts w:hint="eastAsia" w:ascii="仿宋_GB2312" w:hAnsi="仿宋_GB2312" w:eastAsia="仿宋_GB2312" w:cs="仿宋_GB2312"/>
          <w:color w:val="auto"/>
          <w:sz w:val="32"/>
          <w:szCs w:val="32"/>
          <w:lang w:eastAsia="zh-CN"/>
        </w:rPr>
        <w:t>法律法规</w:t>
      </w:r>
      <w:r>
        <w:rPr>
          <w:rFonts w:hint="eastAsia" w:ascii="仿宋_GB2312" w:hAnsi="仿宋_GB2312" w:eastAsia="仿宋_GB2312" w:cs="仿宋_GB2312"/>
          <w:color w:val="auto"/>
          <w:sz w:val="32"/>
          <w:szCs w:val="32"/>
        </w:rPr>
        <w:t>和方针政策；负责拟定全县水务管理规范性文件并组织实施。</w:t>
      </w:r>
    </w:p>
    <w:p w14:paraId="1CB79022">
      <w:pPr>
        <w:keepNext w:val="0"/>
        <w:keepLines w:val="0"/>
        <w:pageBreakBefore w:val="0"/>
        <w:kinsoku/>
        <w:wordWrap/>
        <w:overflowPunct/>
        <w:topLinePunct w:val="0"/>
        <w:autoSpaceDE/>
        <w:autoSpaceDN/>
        <w:bidi w:val="0"/>
        <w:spacing w:line="560" w:lineRule="exact"/>
        <w:ind w:firstLine="62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负责编制全县城乡水务发展规划；拟定全县中长期供水计划和年度供水计划、水量分配方案和旱情紧急情况下水量调度预案，并组织实施。</w:t>
      </w:r>
    </w:p>
    <w:p w14:paraId="003AF26E">
      <w:pPr>
        <w:keepNext w:val="0"/>
        <w:keepLines w:val="0"/>
        <w:pageBreakBefore w:val="0"/>
        <w:kinsoku/>
        <w:wordWrap/>
        <w:overflowPunct/>
        <w:topLinePunct w:val="0"/>
        <w:autoSpaceDE/>
        <w:autoSpaceDN/>
        <w:bidi w:val="0"/>
        <w:spacing w:line="560" w:lineRule="exact"/>
        <w:ind w:firstLine="62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组织有关全县国民经济发展总体规划、城市规划及重大建设项目的水资源利用和防洪论证工作。</w:t>
      </w:r>
    </w:p>
    <w:p w14:paraId="6B8A41B1">
      <w:pPr>
        <w:keepNext w:val="0"/>
        <w:keepLines w:val="0"/>
        <w:pageBreakBefore w:val="0"/>
        <w:kinsoku/>
        <w:wordWrap/>
        <w:overflowPunct/>
        <w:topLinePunct w:val="0"/>
        <w:autoSpaceDE/>
        <w:autoSpaceDN/>
        <w:bidi w:val="0"/>
        <w:spacing w:line="560" w:lineRule="exact"/>
        <w:ind w:firstLine="62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负责全县水资源（含空中水、地表水、地下水）的统一管理和监督工作；负责对水资源的动态监测；审核水域纳污能力、向生态环境峨边分局提出限制排污总量的意见；监测江河湖库及饮水区等水域的水质、水量，组织编制全县节约用水、计划用水规划和有关标准，并组织实施。</w:t>
      </w:r>
    </w:p>
    <w:p w14:paraId="3B9C1444">
      <w:pPr>
        <w:keepNext w:val="0"/>
        <w:keepLines w:val="0"/>
        <w:pageBreakBefore w:val="0"/>
        <w:kinsoku/>
        <w:wordWrap/>
        <w:overflowPunct/>
        <w:topLinePunct w:val="0"/>
        <w:autoSpaceDE/>
        <w:autoSpaceDN/>
        <w:bidi w:val="0"/>
        <w:spacing w:line="560" w:lineRule="exact"/>
        <w:ind w:firstLine="62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负责组织指导全县水务行政执法工作；负责水务行政复议的受理和行政诉讼的应诉工作；调解处理重大水事纠纷；依法查处水事违法案件。</w:t>
      </w:r>
    </w:p>
    <w:p w14:paraId="6364DA4E">
      <w:pPr>
        <w:keepNext w:val="0"/>
        <w:keepLines w:val="0"/>
        <w:pageBreakBefore w:val="0"/>
        <w:kinsoku/>
        <w:wordWrap/>
        <w:overflowPunct/>
        <w:topLinePunct w:val="0"/>
        <w:autoSpaceDE/>
        <w:autoSpaceDN/>
        <w:bidi w:val="0"/>
        <w:spacing w:line="560" w:lineRule="exact"/>
        <w:ind w:firstLine="62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负责组织编制全县供水规划和供水行业管理工作；负责全县供水企业的资质管理；制定全县供水行业的服务标准并实施监督检查；负责全县供水价格测算的组织工作；负责指导、监督全县供水等基础设施建设；负责自备井的管理和指导。</w:t>
      </w:r>
    </w:p>
    <w:p w14:paraId="6992AFBB">
      <w:pPr>
        <w:keepNext w:val="0"/>
        <w:keepLines w:val="0"/>
        <w:pageBreakBefore w:val="0"/>
        <w:kinsoku/>
        <w:wordWrap/>
        <w:overflowPunct/>
        <w:topLinePunct w:val="0"/>
        <w:autoSpaceDE/>
        <w:autoSpaceDN/>
        <w:bidi w:val="0"/>
        <w:spacing w:line="560" w:lineRule="exact"/>
        <w:ind w:firstLine="62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负责拟定水务行业经济调节措施，研究提出水务行业有关价格、税收、信贷、财务等经济调节意见；负责编制全县水务行业建设项目资金计划，对水务资金的使用进行宏观管理、监督和审查。</w:t>
      </w:r>
    </w:p>
    <w:p w14:paraId="05AF2990">
      <w:pPr>
        <w:keepNext w:val="0"/>
        <w:keepLines w:val="0"/>
        <w:pageBreakBefore w:val="0"/>
        <w:kinsoku/>
        <w:wordWrap/>
        <w:overflowPunct/>
        <w:topLinePunct w:val="0"/>
        <w:autoSpaceDE/>
        <w:autoSpaceDN/>
        <w:bidi w:val="0"/>
        <w:spacing w:line="560" w:lineRule="exact"/>
        <w:ind w:firstLine="62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组织指导全县水务基本建设，并实施行业监督管理；负责全县水务行业基本建设的质量监督和安全管理工作；负责小型水利工程建设，初审、转报大中型水利基建项目初步设计；组织建设和管理具有控制性或跨乡镇的重要水利工程；组织指导水库、水电站大坝的安全监督。</w:t>
      </w:r>
    </w:p>
    <w:p w14:paraId="2D620094">
      <w:pPr>
        <w:keepNext w:val="0"/>
        <w:keepLines w:val="0"/>
        <w:pageBreakBefore w:val="0"/>
        <w:kinsoku/>
        <w:wordWrap/>
        <w:overflowPunct/>
        <w:topLinePunct w:val="0"/>
        <w:autoSpaceDE/>
        <w:autoSpaceDN/>
        <w:bidi w:val="0"/>
        <w:spacing w:line="560" w:lineRule="exact"/>
        <w:ind w:firstLine="62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编制全县水土保持规划并组织实施；负责水土保持预防监督、水土流失监测和综合防治工作；组织实施工程建设项目水土保持方案和设施自主验收的备案，征收水土保持补偿费；指导水利绿化工作。</w:t>
      </w:r>
    </w:p>
    <w:p w14:paraId="0129FA07">
      <w:pPr>
        <w:keepNext w:val="0"/>
        <w:keepLines w:val="0"/>
        <w:pageBreakBefore w:val="0"/>
        <w:kinsoku/>
        <w:wordWrap/>
        <w:overflowPunct/>
        <w:topLinePunct w:val="0"/>
        <w:autoSpaceDE/>
        <w:autoSpaceDN/>
        <w:bidi w:val="0"/>
        <w:spacing w:line="560" w:lineRule="exact"/>
        <w:ind w:firstLine="62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对县境内主要江河和重要水利工程实施山洪灾害监测；掌握全县境内的雨情、水情信息，及时传达各有关单位。</w:t>
      </w:r>
    </w:p>
    <w:p w14:paraId="200A62BA">
      <w:pPr>
        <w:keepNext w:val="0"/>
        <w:keepLines w:val="0"/>
        <w:pageBreakBefore w:val="0"/>
        <w:kinsoku/>
        <w:wordWrap/>
        <w:overflowPunct/>
        <w:topLinePunct w:val="0"/>
        <w:autoSpaceDE/>
        <w:autoSpaceDN/>
        <w:bidi w:val="0"/>
        <w:spacing w:line="560" w:lineRule="exact"/>
        <w:ind w:firstLine="629"/>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指导全县江河、湖库、滩涂的综合治理与开发；组织实施河道采砂许可制度和征收河道砂石资源费制度。</w:t>
      </w:r>
    </w:p>
    <w:p w14:paraId="4AEAB3ED">
      <w:pPr>
        <w:keepNext w:val="0"/>
        <w:keepLines w:val="0"/>
        <w:pageBreakBefore w:val="0"/>
        <w:kinsoku/>
        <w:wordWrap/>
        <w:overflowPunct/>
        <w:topLinePunct w:val="0"/>
        <w:autoSpaceDE/>
        <w:autoSpaceDN/>
        <w:bidi w:val="0"/>
        <w:spacing w:line="560" w:lineRule="exact"/>
        <w:ind w:firstLine="62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指导全县有关水务等项目的科学研究和技术推广，组织指导全县重大水务项目对外合作和交流。</w:t>
      </w:r>
    </w:p>
    <w:p w14:paraId="69F6D7AC">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指导全县水务行业干部职工队伍建设和服务体系建设；指导水务行业劳动保护和安全生产工作。</w:t>
      </w:r>
    </w:p>
    <w:p w14:paraId="32A1F899">
      <w:pPr>
        <w:keepNext w:val="0"/>
        <w:keepLines w:val="0"/>
        <w:pageBreakBefore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负责职责范围内的安全生产和职业健康、生态环境保护、服务便民化工作。</w:t>
      </w:r>
    </w:p>
    <w:p w14:paraId="6E6F6F67">
      <w:pPr>
        <w:keepNext w:val="0"/>
        <w:keepLines w:val="0"/>
        <w:pageBreakBefore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负责县总河长办公室的日常工作，贯彻执行上级和</w:t>
      </w:r>
      <w:r>
        <w:rPr>
          <w:rFonts w:hint="eastAsia" w:ascii="仿宋_GB2312" w:hAnsi="仿宋_GB2312" w:eastAsia="仿宋_GB2312" w:cs="仿宋_GB2312"/>
          <w:color w:val="auto"/>
          <w:sz w:val="32"/>
          <w:szCs w:val="32"/>
          <w:lang w:eastAsia="zh-CN"/>
        </w:rPr>
        <w:t>县委、县政府</w:t>
      </w:r>
      <w:r>
        <w:rPr>
          <w:rFonts w:hint="eastAsia" w:ascii="仿宋_GB2312" w:hAnsi="仿宋_GB2312" w:eastAsia="仿宋_GB2312" w:cs="仿宋_GB2312"/>
          <w:color w:val="auto"/>
          <w:sz w:val="32"/>
          <w:szCs w:val="32"/>
        </w:rPr>
        <w:t>河长制工作决策部署，充分发挥参谋助手、综合协调、督办等职能作用，认真履行办文、办会、办事等工作职责，统筹协调督促推进全县河长制工作</w:t>
      </w:r>
    </w:p>
    <w:p w14:paraId="228FA0E0">
      <w:pPr>
        <w:keepNext w:val="0"/>
        <w:keepLines w:val="0"/>
        <w:pageBreakBefore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在自然灾害防救方面的职责分工。</w:t>
      </w:r>
    </w:p>
    <w:p w14:paraId="46F63D22">
      <w:pPr>
        <w:keepNext w:val="0"/>
        <w:keepLines w:val="0"/>
        <w:pageBreakBefore w:val="0"/>
        <w:widowControl/>
        <w:shd w:val="clear" w:color="000000" w:fill="FFFFFF"/>
        <w:kinsoku/>
        <w:wordWrap/>
        <w:overflowPunct/>
        <w:topLinePunct w:val="0"/>
        <w:autoSpaceDE/>
        <w:autoSpaceDN/>
        <w:bidi w:val="0"/>
        <w:spacing w:line="560" w:lineRule="exact"/>
        <w:ind w:firstLine="640"/>
        <w:jc w:val="left"/>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县应急局与县自然资源局、县水务局、县林业局等部门要做到各司其职，无缝对接。县应急局负责统一组织、统一指挥、统一协调自然灾害类突发事件应急救援工作，县自然资源局、县水务局、县林业局依法依规承担相关行业领域的灾害监测、预警、防治工作及抢险救援的技术保障工作。</w:t>
      </w:r>
    </w:p>
    <w:p w14:paraId="6949A4E3">
      <w:pPr>
        <w:keepNext w:val="0"/>
        <w:keepLines w:val="0"/>
        <w:pageBreakBefore w:val="0"/>
        <w:numPr>
          <w:ilvl w:val="0"/>
          <w:numId w:val="2"/>
        </w:numPr>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color w:val="auto"/>
          <w:sz w:val="32"/>
          <w:szCs w:val="32"/>
        </w:rPr>
        <w:t>完成县委、县政府交办的其它任务。</w:t>
      </w:r>
    </w:p>
    <w:p w14:paraId="28770996">
      <w:pPr>
        <w:keepNext w:val="0"/>
        <w:keepLines w:val="0"/>
        <w:pageBreakBefore w:val="0"/>
        <w:numPr>
          <w:ilvl w:val="0"/>
          <w:numId w:val="2"/>
        </w:numPr>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color w:val="auto"/>
          <w:sz w:val="32"/>
          <w:szCs w:val="32"/>
          <w:lang w:val="en-US" w:eastAsia="zh-CN"/>
        </w:rPr>
        <w:t xml:space="preserve"> 完成电站库区移民后期扶持工作</w:t>
      </w:r>
    </w:p>
    <w:p w14:paraId="39CC7425">
      <w:pPr>
        <w:keepNext w:val="0"/>
        <w:keepLines w:val="0"/>
        <w:pageBreakBefore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0"/>
          <w:szCs w:val="32"/>
          <w:shd w:val="clear" w:color="auto" w:fill="FFFFFF"/>
          <w:lang w:val="zh-CN"/>
        </w:rPr>
      </w:pPr>
      <w:r>
        <w:rPr>
          <w:rFonts w:hint="eastAsia" w:ascii="仿宋_GB2312" w:hAnsi="仿宋_GB2312" w:eastAsia="仿宋_GB2312" w:cs="仿宋_GB2312"/>
          <w:color w:val="auto"/>
          <w:kern w:val="0"/>
          <w:szCs w:val="32"/>
          <w:shd w:val="clear" w:color="auto" w:fill="FFFFFF"/>
          <w:lang w:val="en-US" w:eastAsia="zh-CN"/>
        </w:rPr>
        <w:t>人</w:t>
      </w:r>
      <w:r>
        <w:rPr>
          <w:rFonts w:hint="eastAsia" w:ascii="仿宋_GB2312" w:hAnsi="仿宋_GB2312" w:eastAsia="仿宋_GB2312" w:cs="仿宋_GB2312"/>
          <w:color w:val="auto"/>
          <w:kern w:val="0"/>
          <w:szCs w:val="32"/>
          <w:shd w:val="clear" w:color="auto" w:fill="FFFFFF"/>
          <w:lang w:val="zh-CN"/>
        </w:rPr>
        <w:t>员概况：</w:t>
      </w:r>
    </w:p>
    <w:p w14:paraId="5E0C5EDA">
      <w:pPr>
        <w:keepNext w:val="0"/>
        <w:keepLines w:val="0"/>
        <w:pageBreakBefore w:val="0"/>
        <w:numPr>
          <w:ilvl w:val="0"/>
          <w:numId w:val="3"/>
        </w:numPr>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rPr>
        <w:t>县水务局</w:t>
      </w:r>
      <w:r>
        <w:rPr>
          <w:rFonts w:hint="eastAsia" w:ascii="仿宋_GB2312" w:hAnsi="仿宋_GB2312" w:eastAsia="仿宋_GB2312" w:cs="仿宋_GB2312"/>
          <w:color w:val="auto"/>
          <w:sz w:val="32"/>
          <w:szCs w:val="32"/>
        </w:rPr>
        <w:t>行政编制</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名。</w:t>
      </w:r>
    </w:p>
    <w:p w14:paraId="01AEE43F">
      <w:pPr>
        <w:keepNext w:val="0"/>
        <w:keepLines w:val="0"/>
        <w:pageBreakBefore w:val="0"/>
        <w:numPr>
          <w:ilvl w:val="0"/>
          <w:numId w:val="3"/>
        </w:numPr>
        <w:kinsoku/>
        <w:wordWrap/>
        <w:overflowPunct/>
        <w:topLinePunct w:val="0"/>
        <w:autoSpaceDE/>
        <w:autoSpaceDN/>
        <w:bidi w:val="0"/>
        <w:spacing w:line="560" w:lineRule="exact"/>
        <w:ind w:left="0" w:leftChars="0" w:firstLine="640" w:firstLineChars="200"/>
        <w:textAlignment w:val="auto"/>
        <w:rPr>
          <w:rFonts w:hint="default" w:eastAsia="宋体"/>
          <w:lang w:val="en-US" w:eastAsia="zh-CN"/>
        </w:rPr>
      </w:pPr>
      <w:r>
        <w:rPr>
          <w:rFonts w:hint="eastAsia" w:ascii="仿宋_GB2312" w:hAnsi="仿宋_GB2312" w:eastAsia="仿宋_GB2312" w:cs="仿宋_GB2312"/>
          <w:color w:val="auto"/>
          <w:sz w:val="32"/>
          <w:szCs w:val="32"/>
        </w:rPr>
        <w:t>县水务局所属事业单位</w:t>
      </w:r>
      <w:r>
        <w:rPr>
          <w:rFonts w:hint="eastAsia" w:ascii="仿宋_GB2312" w:hAnsi="仿宋_GB2312" w:eastAsia="仿宋_GB2312" w:cs="仿宋_GB2312"/>
          <w:color w:val="auto"/>
          <w:sz w:val="32"/>
          <w:szCs w:val="32"/>
          <w:lang w:val="en-US" w:eastAsia="zh-CN"/>
        </w:rPr>
        <w:t>峨边彝族自治县水利工程建设服务中心20人。</w:t>
      </w:r>
    </w:p>
    <w:p w14:paraId="1A13A633">
      <w:pPr>
        <w:keepNext w:val="0"/>
        <w:pageBreakBefore w:val="0"/>
        <w:widowControl/>
        <w:numPr>
          <w:ilvl w:val="0"/>
          <w:numId w:val="1"/>
        </w:numPr>
        <w:kinsoku/>
        <w:wordWrap/>
        <w:overflowPunct/>
        <w:topLinePunct w:val="0"/>
        <w:autoSpaceDE/>
        <w:autoSpaceDN/>
        <w:bidi w:val="0"/>
        <w:adjustRightInd w:val="0"/>
        <w:snapToGrid w:val="0"/>
        <w:spacing w:line="56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年度主要工作任务。</w:t>
      </w:r>
    </w:p>
    <w:p w14:paraId="447CD126">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1.水资源管理目标完成情况</w:t>
      </w:r>
    </w:p>
    <w:p w14:paraId="4173B5C9">
      <w:pPr>
        <w:pStyle w:val="21"/>
        <w:keepNext w:val="0"/>
        <w:keepLines/>
        <w:pageBreakBefore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kern w:val="2"/>
          <w:sz w:val="32"/>
          <w:szCs w:val="32"/>
          <w:lang w:val="en-US" w:eastAsia="zh-CN" w:bidi="ar-SA"/>
        </w:rPr>
        <w:t>强化水土保持监管与水资源管理。完成2024年水土流失治理任务41平方公里。对生产建设项目水土保持进行常态化监督管理，审批水土保持方案18个。发出水土保持整改通知书9份，已整改8个，开展水土保持现场检查30余次，发现问题25个，20个已经整改完成。完成10个项目验收报备，依法收缴水土保持费91.14万元。</w:t>
      </w:r>
      <w:r>
        <w:rPr>
          <w:rFonts w:hint="eastAsia" w:ascii="仿宋_GB2312" w:hAnsi="仿宋_GB2312" w:eastAsia="仿宋_GB2312" w:cs="仿宋_GB2312"/>
          <w:sz w:val="32"/>
          <w:szCs w:val="32"/>
          <w:lang w:val="en-US" w:eastAsia="zh-CN"/>
        </w:rPr>
        <w:t>组织开展水电站生态流量现场检查10次，检查水电站200余次，立案调查下泄生态流量运行不正常问题一件。</w:t>
      </w:r>
    </w:p>
    <w:p w14:paraId="7B29FA8F">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2.移民后期扶持政策目标完成情况</w:t>
      </w:r>
    </w:p>
    <w:p w14:paraId="3C72115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持续推进扶持项目。2024年大中型水库移民后期扶持项目计划5个，计划投资2660万元。截至目前开工建设4个，完工4个，前期1个，完成投资98.46%。其次争取解决大中型水库库区和移民安置区突出问题项目1个，争取资金5800万元，解决大中型水库库区和移民安置区突出问题项目涉及2个子项目，目前峨边彝族自治县二水厂新建配水管网工程已开工建设，并完成工程量20%，预计本月底全面完成建设任务；沙坪镇郭凡村至毛坪镇等分村道路加宽硬化已挂网招标，预计2025年3月底全面完成建设任务。</w:t>
      </w:r>
    </w:p>
    <w:p w14:paraId="41050AB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（2）避险解困顺利验收</w:t>
      </w:r>
    </w:p>
    <w:p w14:paraId="2C65172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20日</w:t>
      </w:r>
      <w:r>
        <w:rPr>
          <w:rFonts w:hint="eastAsia" w:ascii="仿宋_GB2312" w:hAnsi="仿宋_GB2312" w:eastAsia="仿宋_GB2312" w:cs="仿宋_GB2312"/>
          <w:sz w:val="32"/>
          <w:szCs w:val="32"/>
        </w:rPr>
        <w:t>完成了大中型水库移民避险解困试点项目县级验收</w:t>
      </w:r>
      <w:r>
        <w:rPr>
          <w:rFonts w:hint="eastAsia" w:ascii="仿宋_GB2312" w:hAnsi="仿宋_GB2312" w:eastAsia="仿宋_GB2312" w:cs="仿宋_GB2312"/>
          <w:sz w:val="32"/>
          <w:szCs w:val="32"/>
          <w:lang w:val="en-US" w:eastAsia="zh-CN"/>
        </w:rPr>
        <w:t>，并报市局复验。今年8月，顺利通过乐山市</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我县</w:t>
      </w:r>
      <w:r>
        <w:rPr>
          <w:rFonts w:hint="eastAsia" w:ascii="仿宋_GB2312" w:hAnsi="仿宋_GB2312" w:eastAsia="仿宋_GB2312" w:cs="仿宋_GB2312"/>
          <w:sz w:val="32"/>
          <w:szCs w:val="32"/>
        </w:rPr>
        <w:t>大中型水库移民避险解困试点项目</w:t>
      </w:r>
      <w:r>
        <w:rPr>
          <w:rFonts w:hint="eastAsia" w:ascii="仿宋_GB2312" w:hAnsi="仿宋_GB2312" w:eastAsia="仿宋_GB2312" w:cs="仿宋_GB2312"/>
          <w:sz w:val="32"/>
          <w:szCs w:val="32"/>
          <w:lang w:val="en-US" w:eastAsia="zh-CN"/>
        </w:rPr>
        <w:t>复核</w:t>
      </w:r>
      <w:r>
        <w:rPr>
          <w:rFonts w:hint="eastAsia" w:ascii="仿宋_GB2312" w:hAnsi="仿宋_GB2312" w:eastAsia="仿宋_GB2312" w:cs="仿宋_GB2312"/>
          <w:sz w:val="32"/>
          <w:szCs w:val="32"/>
        </w:rPr>
        <w:t>验收</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lang w:eastAsia="zh-CN"/>
        </w:rPr>
        <w:t>。</w:t>
      </w:r>
    </w:p>
    <w:p w14:paraId="1861912B">
      <w:pPr>
        <w:keepNext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left"/>
        <w:rPr>
          <w:rFonts w:hint="eastAsia" w:ascii="仿宋_GB2312" w:hAnsi="仿宋_GB2312" w:eastAsia="仿宋_GB2312" w:cs="仿宋_GB2312"/>
          <w:sz w:val="32"/>
          <w:szCs w:val="32"/>
          <w:lang w:val="en-US" w:eastAsia="zh-CN"/>
        </w:rPr>
      </w:pPr>
      <w:r>
        <w:rPr>
          <w:rFonts w:hint="eastAsia" w:ascii="楷体" w:hAnsi="楷体" w:eastAsia="楷体" w:cs="楷体"/>
          <w:b w:val="0"/>
          <w:bCs w:val="0"/>
          <w:kern w:val="2"/>
          <w:sz w:val="32"/>
          <w:szCs w:val="32"/>
          <w:lang w:val="en-US" w:eastAsia="zh-CN" w:bidi="ar-SA"/>
        </w:rPr>
        <w:t>3.防汛减灾完成情况。</w:t>
      </w:r>
      <w:r>
        <w:rPr>
          <w:rFonts w:hint="eastAsia" w:ascii="仿宋_GB2312" w:hAnsi="仿宋_GB2312" w:eastAsia="仿宋_GB2312" w:cs="仿宋_GB2312"/>
          <w:b w:val="0"/>
          <w:bCs w:val="0"/>
          <w:color w:val="auto"/>
          <w:sz w:val="32"/>
          <w:szCs w:val="32"/>
          <w:lang w:val="en-US" w:eastAsia="zh-CN"/>
        </w:rPr>
        <w:t>按照“责任落实、防汛抗旱准备、防范应对、减灾成效”清单要求完成预案编制、危险区责任落实、防御预演等任务，合力组建抢险队伍，充实备汛物资，全面排查隐患，以清单制销号，压实防汛责任，强化值班值守，以此保障全面落实防汛措施并在汛期内成功避险1次，确保了人民生命财产安全，全年成功实现</w:t>
      </w:r>
      <w:r>
        <w:rPr>
          <w:rFonts w:hint="eastAsia" w:ascii="仿宋_GB2312" w:hAnsi="仿宋_GB2312" w:eastAsia="仿宋_GB2312" w:cs="仿宋_GB2312"/>
          <w:sz w:val="32"/>
          <w:szCs w:val="32"/>
          <w:lang w:val="en-US" w:eastAsia="zh-CN"/>
        </w:rPr>
        <w:t>“三零目标”。</w:t>
      </w:r>
    </w:p>
    <w:p w14:paraId="148BE0F4">
      <w:pPr>
        <w:pStyle w:val="2"/>
        <w:keepNext w:val="0"/>
        <w:pageBreakBefore w:val="0"/>
        <w:numPr>
          <w:ilvl w:val="0"/>
          <w:numId w:val="0"/>
        </w:numPr>
        <w:kinsoku/>
        <w:wordWrap/>
        <w:overflowPunct/>
        <w:topLinePunct w:val="0"/>
        <w:autoSpaceDE/>
        <w:autoSpaceDN/>
        <w:bidi w:val="0"/>
        <w:adjustRightInd/>
        <w:snapToGrid/>
        <w:spacing w:after="0" w:afterLines="0" w:line="560" w:lineRule="exact"/>
        <w:ind w:left="0" w:leftChars="0" w:firstLine="640" w:firstLineChars="200"/>
        <w:rPr>
          <w:rFonts w:hint="eastAsia" w:ascii="仿宋_GB2312" w:hAnsi="仿宋_GB2312" w:eastAsia="仿宋_GB2312" w:cs="仿宋_GB2312"/>
          <w:b w:val="0"/>
          <w:bCs/>
          <w:color w:val="FF0000"/>
          <w:kern w:val="2"/>
          <w:sz w:val="32"/>
          <w:szCs w:val="32"/>
          <w:highlight w:val="none"/>
          <w:u w:val="none"/>
          <w:lang w:val="en-US" w:eastAsia="zh-CN" w:bidi="ar-SA"/>
        </w:rPr>
      </w:pPr>
      <w:r>
        <w:rPr>
          <w:rFonts w:hint="eastAsia" w:ascii="仿宋_GB2312" w:eastAsia="仿宋_GB2312"/>
          <w:bCs/>
          <w:color w:val="000000"/>
          <w:sz w:val="32"/>
          <w:szCs w:val="32"/>
          <w:lang w:val="en-US" w:eastAsia="zh-CN"/>
        </w:rPr>
        <w:t>4.</w:t>
      </w:r>
      <w:r>
        <w:rPr>
          <w:rFonts w:hint="eastAsia" w:ascii="仿宋_GB2312" w:eastAsia="仿宋_GB2312"/>
          <w:bCs/>
          <w:color w:val="000000"/>
          <w:sz w:val="32"/>
          <w:szCs w:val="32"/>
        </w:rPr>
        <w:t>提升专项行动，严格涉河建设和涉河有关活动监督管理</w:t>
      </w:r>
      <w:r>
        <w:rPr>
          <w:rFonts w:hint="eastAsia" w:ascii="仿宋_GB2312" w:eastAsia="仿宋_GB2312"/>
          <w:bCs/>
          <w:color w:val="000000"/>
          <w:sz w:val="32"/>
          <w:szCs w:val="32"/>
          <w:lang w:eastAsia="zh-CN"/>
        </w:rPr>
        <w:t>，</w:t>
      </w:r>
      <w:r>
        <w:rPr>
          <w:rFonts w:hint="eastAsia" w:ascii="仿宋_GB2312" w:hAnsi="仿宋_GB2312" w:eastAsia="仿宋_GB2312" w:cs="仿宋_GB2312"/>
          <w:color w:val="000000"/>
          <w:sz w:val="32"/>
          <w:szCs w:val="32"/>
        </w:rPr>
        <w:t>持续推进农村生活污水治理“千村示范工程”，</w:t>
      </w:r>
      <w:r>
        <w:rPr>
          <w:rFonts w:hint="eastAsia" w:ascii="仿宋_GB2312" w:eastAsia="仿宋_GB2312"/>
          <w:color w:val="000000"/>
          <w:sz w:val="32"/>
          <w:szCs w:val="32"/>
        </w:rPr>
        <w:t>农村生活污水得到有效处理的村占比将达到72.52%。全面完成入河排污口排查、监测，全县已审批设置入河排污口28个，完成整治28个。</w:t>
      </w:r>
    </w:p>
    <w:p w14:paraId="47C6F8D5">
      <w:pPr>
        <w:pStyle w:val="4"/>
        <w:keepNext w:val="0"/>
        <w:pageBreakBefore w:val="0"/>
        <w:kinsoku/>
        <w:wordWrap/>
        <w:overflowPunct/>
        <w:topLinePunct w:val="0"/>
        <w:autoSpaceDE/>
        <w:autoSpaceDN/>
        <w:bidi w:val="0"/>
        <w:adjustRightInd/>
        <w:snapToGrid/>
        <w:spacing w:line="560" w:lineRule="exact"/>
        <w:ind w:left="0" w:leftChars="0" w:firstLine="640" w:firstLineChars="200"/>
        <w:rPr>
          <w:lang w:val="zh-CN"/>
        </w:rPr>
      </w:pPr>
      <w:r>
        <w:rPr>
          <w:rFonts w:hint="eastAsia" w:ascii="楷体" w:hAnsi="楷体" w:eastAsia="楷体" w:cs="楷体"/>
          <w:b w:val="0"/>
          <w:bCs w:val="0"/>
          <w:kern w:val="2"/>
          <w:sz w:val="32"/>
          <w:szCs w:val="32"/>
          <w:lang w:val="en-US" w:eastAsia="zh-CN" w:bidi="ar-SA"/>
        </w:rPr>
        <w:t>5.规划供水完成情况。</w:t>
      </w:r>
      <w:r>
        <w:rPr>
          <w:rFonts w:hint="eastAsia" w:ascii="仿宋_GB2312" w:hAnsi="仿宋_GB2312" w:eastAsia="仿宋_GB2312" w:cs="仿宋_GB2312"/>
          <w:bCs/>
          <w:sz w:val="32"/>
          <w:szCs w:val="32"/>
        </w:rPr>
        <w:t>一是深入开展农村供水保障情况监督检查30余次，组织开展农村供水规范化管理工作，完成38处集中供水工程规范化管理考核评价工作，二是修订完善城乡供水安全饮水应急预案，建立健全农村饮水工程建管方案。三是组织开展安全饮水业务培训91人次，进一步提升乡镇水利服务水平。</w:t>
      </w:r>
    </w:p>
    <w:p w14:paraId="7019B618">
      <w:pPr>
        <w:keepNext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（四）部门整体支出绩效目标。</w:t>
      </w:r>
    </w:p>
    <w:p w14:paraId="09255116">
      <w:pPr>
        <w:keepNext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5B119E7B">
      <w:pPr>
        <w:keepNext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（一）部门财政资金收入情况。</w:t>
      </w:r>
    </w:p>
    <w:p w14:paraId="0E5944E2">
      <w:pPr>
        <w:keepNext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rPr>
          <w:rFonts w:hint="eastAsia" w:ascii="仿宋_GB2312" w:hAnsi="仿宋_GB2312" w:eastAsia="仿宋_GB2312" w:cs="仿宋_GB2312"/>
          <w:lang w:val="en-US" w:eastAsia="zh-CN"/>
        </w:rPr>
      </w:pPr>
      <w:r>
        <w:rPr>
          <w:rFonts w:hint="eastAsia" w:ascii="仿宋_GB2312" w:hAnsi="仿宋_GB2312" w:eastAsia="仿宋_GB2312" w:cs="仿宋_GB2312"/>
          <w:color w:val="000000"/>
          <w:kern w:val="0"/>
          <w:szCs w:val="32"/>
          <w:shd w:val="clear" w:color="auto" w:fill="FFFFFF"/>
          <w:lang w:val="en-US" w:eastAsia="zh-CN"/>
        </w:rPr>
        <w:t>2024年度全年决算收入8940.52万元，其中：一般公共预算财政拨款收入4562.86万元，政府性基金预算财政拨款收入4377.66万元。</w:t>
      </w:r>
    </w:p>
    <w:p w14:paraId="747B2AF9">
      <w:pPr>
        <w:keepNext w:val="0"/>
        <w:pageBreakBefore w:val="0"/>
        <w:widowControl/>
        <w:numPr>
          <w:ilvl w:val="0"/>
          <w:numId w:val="4"/>
        </w:numPr>
        <w:kinsoku/>
        <w:wordWrap/>
        <w:overflowPunct/>
        <w:topLinePunct w:val="0"/>
        <w:autoSpaceDE/>
        <w:autoSpaceDN/>
        <w:bidi w:val="0"/>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部门财政资金支出情况。</w:t>
      </w:r>
    </w:p>
    <w:p w14:paraId="1B4CF3A9">
      <w:pPr>
        <w:pStyle w:val="2"/>
        <w:keepNext w:val="0"/>
        <w:pageBreakBefore w:val="0"/>
        <w:numPr>
          <w:ilvl w:val="0"/>
          <w:numId w:val="0"/>
        </w:numPr>
        <w:kinsoku/>
        <w:wordWrap/>
        <w:overflowPunct/>
        <w:topLinePunct w:val="0"/>
        <w:autoSpaceDE/>
        <w:autoSpaceDN/>
        <w:bidi w:val="0"/>
        <w:spacing w:line="56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2024年度全年决算支出8940.52万元，其中：基本支出946.43万元，项目支出7994.09万元。</w:t>
      </w:r>
    </w:p>
    <w:p w14:paraId="33D24C2A">
      <w:pPr>
        <w:keepNext w:val="0"/>
        <w:pageBreakBefore w:val="0"/>
        <w:widowControl/>
        <w:numPr>
          <w:ilvl w:val="0"/>
          <w:numId w:val="4"/>
        </w:numPr>
        <w:kinsoku/>
        <w:wordWrap/>
        <w:overflowPunct/>
        <w:topLinePunct w:val="0"/>
        <w:autoSpaceDE/>
        <w:autoSpaceDN/>
        <w:bidi w:val="0"/>
        <w:adjustRightInd w:val="0"/>
        <w:snapToGrid w:val="0"/>
        <w:spacing w:line="560" w:lineRule="exact"/>
        <w:ind w:left="0" w:leftChars="0"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部门财政资金结转结余情况。</w:t>
      </w:r>
    </w:p>
    <w:p w14:paraId="43171903">
      <w:pPr>
        <w:pStyle w:val="2"/>
        <w:keepNext w:val="0"/>
        <w:pageBreakBefore w:val="0"/>
        <w:numPr>
          <w:ilvl w:val="0"/>
          <w:numId w:val="0"/>
        </w:numPr>
        <w:kinsoku/>
        <w:wordWrap/>
        <w:overflowPunct/>
        <w:topLinePunct w:val="0"/>
        <w:autoSpaceDE/>
        <w:autoSpaceDN/>
        <w:bidi w:val="0"/>
        <w:spacing w:line="560" w:lineRule="exact"/>
        <w:ind w:left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2024年度上年结转结余0万元，年末结转结余0万元</w:t>
      </w:r>
    </w:p>
    <w:p w14:paraId="7AA68EDE">
      <w:pPr>
        <w:keepNext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三、部门整体绩效管理情况（根据部门整体支出绩效自评</w:t>
      </w:r>
      <w:r>
        <w:rPr>
          <w:rFonts w:hint="eastAsia" w:ascii="黑体" w:hAnsi="黑体" w:eastAsia="黑体" w:cs="宋体"/>
          <w:color w:val="000000"/>
          <w:kern w:val="0"/>
          <w:szCs w:val="32"/>
          <w:shd w:val="clear" w:color="auto" w:fill="FFFFFF"/>
          <w:lang w:eastAsia="zh-CN"/>
        </w:rPr>
        <w:t>和部门预算项目支出绩效自评情况</w:t>
      </w:r>
      <w:r>
        <w:rPr>
          <w:rFonts w:hint="eastAsia" w:ascii="黑体" w:hAnsi="黑体" w:eastAsia="黑体" w:cs="宋体"/>
          <w:color w:val="000000"/>
          <w:kern w:val="0"/>
          <w:szCs w:val="32"/>
          <w:shd w:val="clear" w:color="auto" w:fill="FFFFFF"/>
        </w:rPr>
        <w:t>进行描述）</w:t>
      </w:r>
    </w:p>
    <w:p w14:paraId="22DF02A6">
      <w:pPr>
        <w:keepNext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6A966EC1">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2024年在部门预算编制过程中，认真核实单位实际财政供养人员与实有人数情况，正确编制人员经费和公用经费，认真核实预算项目数量指标、质量指标、成本指标、效益指标和满意度指标，对超过60万元的项目认真编制事前评估报告，编制完成后，按照县财政要求及时在门户网站进行公开，接受社会监督。</w:t>
      </w:r>
    </w:p>
    <w:p w14:paraId="3BEB06A0">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2024年在预算执行过程中，及时对预算项目进行中期评估，严格按照有关财经制度，强化项目资金监管和使用，年终认真编制部门决算。</w:t>
      </w:r>
    </w:p>
    <w:p w14:paraId="76A467ED">
      <w:pPr>
        <w:keepNext w:val="0"/>
        <w:pageBreakBefore w:val="0"/>
        <w:widowControl/>
        <w:numPr>
          <w:ilvl w:val="0"/>
          <w:numId w:val="5"/>
        </w:numPr>
        <w:kinsoku/>
        <w:wordWrap/>
        <w:overflowPunct/>
        <w:topLinePunct w:val="0"/>
        <w:autoSpaceDE/>
        <w:autoSpaceDN/>
        <w:bidi w:val="0"/>
        <w:adjustRightInd w:val="0"/>
        <w:snapToGrid w:val="0"/>
        <w:spacing w:line="56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特定目标类项目绩效分析。</w:t>
      </w:r>
    </w:p>
    <w:p w14:paraId="5FDC1E60">
      <w:pPr>
        <w:keepNext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rPr>
          <w:rFonts w:hint="default" w:ascii="仿宋_GB2312" w:hAnsi="宋体" w:eastAsia="楷体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2024年水务局项目资金10万元，制定了1个年初绩效目标，其中：河长制及水务治理工作经费10万元，主要用于夏家沟水库劳务派遣费和山洪灾害预警通讯费。</w:t>
      </w:r>
    </w:p>
    <w:p w14:paraId="4B2B7763">
      <w:pPr>
        <w:keepNext w:val="0"/>
        <w:pageBreakBefore w:val="0"/>
        <w:widowControl/>
        <w:numPr>
          <w:ilvl w:val="0"/>
          <w:numId w:val="5"/>
        </w:numPr>
        <w:kinsoku/>
        <w:wordWrap/>
        <w:overflowPunct/>
        <w:topLinePunct w:val="0"/>
        <w:autoSpaceDE/>
        <w:autoSpaceDN/>
        <w:bidi w:val="0"/>
        <w:adjustRightInd w:val="0"/>
        <w:snapToGrid w:val="0"/>
        <w:spacing w:line="560" w:lineRule="exact"/>
        <w:ind w:left="0" w:leftChars="0" w:firstLine="640" w:firstLineChars="200"/>
        <w:contextualSpacing/>
        <w:jc w:val="left"/>
        <w:rPr>
          <w:rFonts w:hint="default" w:eastAsia="宋体"/>
          <w:lang w:val="en-US" w:eastAsia="zh-CN"/>
        </w:rPr>
      </w:pPr>
      <w:r>
        <w:rPr>
          <w:rFonts w:hint="eastAsia" w:ascii="楷体_GB2312" w:hAnsi="宋体" w:eastAsia="楷体_GB2312" w:cs="宋体"/>
          <w:color w:val="000000"/>
          <w:kern w:val="0"/>
          <w:szCs w:val="32"/>
          <w:shd w:val="clear" w:color="auto" w:fill="FFFFFF"/>
          <w:lang w:val="zh-CN"/>
        </w:rPr>
        <w:t>部门预算项目支出情况分析。</w:t>
      </w:r>
    </w:p>
    <w:p w14:paraId="5EF1F568">
      <w:pPr>
        <w:keepNext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rPr>
          <w:rFonts w:hint="default" w:eastAsia="宋体"/>
          <w:lang w:val="en-US" w:eastAsia="zh-CN"/>
        </w:rPr>
      </w:pPr>
      <w:r>
        <w:rPr>
          <w:rFonts w:hint="eastAsia" w:ascii="仿宋_GB2312" w:hAnsi="宋体" w:eastAsia="仿宋_GB2312" w:cs="宋体"/>
          <w:color w:val="000000"/>
          <w:kern w:val="0"/>
          <w:szCs w:val="32"/>
          <w:shd w:val="clear" w:color="auto" w:fill="FFFFFF"/>
          <w:lang w:val="en-US" w:eastAsia="zh-CN"/>
        </w:rPr>
        <w:t>2024年水务局项目支出53个，其中自评得分90—100分的40个，80—90分的2个，60—80分2个，未开展评价的9个（其中</w:t>
      </w:r>
      <w:bookmarkStart w:id="0" w:name="_GoBack"/>
      <w:bookmarkEnd w:id="0"/>
      <w:r>
        <w:rPr>
          <w:rFonts w:hint="eastAsia" w:ascii="仿宋_GB2312" w:hAnsi="宋体" w:eastAsia="仿宋_GB2312" w:cs="宋体"/>
          <w:color w:val="000000"/>
          <w:kern w:val="0"/>
          <w:szCs w:val="32"/>
          <w:shd w:val="clear" w:color="auto" w:fill="FFFFFF"/>
          <w:lang w:val="en-US" w:eastAsia="zh-CN"/>
        </w:rPr>
        <w:t>川财农〔2024〕71号）关于下达2024年省级水利发展资金预算的通知中水资源节约利用（山区和西部民族地区小型水源工程）和水资源保护与修复治理（水土流失治理）2个项目资金已整合）。</w:t>
      </w:r>
    </w:p>
    <w:p w14:paraId="0694A783">
      <w:pPr>
        <w:keepNext w:val="0"/>
        <w:pageBreakBefore w:val="0"/>
        <w:widowControl/>
        <w:numPr>
          <w:ilvl w:val="0"/>
          <w:numId w:val="5"/>
        </w:numPr>
        <w:kinsoku/>
        <w:wordWrap/>
        <w:overflowPunct/>
        <w:topLinePunct w:val="0"/>
        <w:autoSpaceDE/>
        <w:autoSpaceDN/>
        <w:bidi w:val="0"/>
        <w:adjustRightInd w:val="0"/>
        <w:snapToGrid w:val="0"/>
        <w:spacing w:line="56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结果应用情况。</w:t>
      </w:r>
    </w:p>
    <w:p w14:paraId="7BB28D86">
      <w:pPr>
        <w:keepNext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en-US" w:eastAsia="zh-CN"/>
        </w:rPr>
        <w:t>水务局</w:t>
      </w:r>
      <w:r>
        <w:rPr>
          <w:rFonts w:hint="eastAsia" w:ascii="仿宋_GB2312" w:hAnsi="宋体" w:eastAsia="仿宋_GB2312" w:cs="宋体"/>
          <w:color w:val="000000"/>
          <w:kern w:val="0"/>
          <w:szCs w:val="32"/>
          <w:shd w:val="clear" w:color="auto" w:fill="FFFFFF"/>
          <w:lang w:val="zh-CN"/>
        </w:rPr>
        <w:t>按照财政局下达的预算指标，严格执行预算内开支，保障了单位正常运转。认真贯彻执行《四川省省级财政专项资金绩效分配管理暂行办法》实施绩效分配。资金分配科学合理，分配过程符合相关规定。建立健全专项资金绩效分配机制，实现了财政资金资源有效配置。本部门的预决算编制均按照县财政局下达的相关文件指标进行了编制，按时完成经、编制工作，决算报表和说明均在峨边彝族自治县县政府门户网站公开。绩效目标也按照有关文件如实进行了填报。专项预算也提前进行了规划和筹划。</w:t>
      </w:r>
    </w:p>
    <w:p w14:paraId="5464EABB">
      <w:pPr>
        <w:keepNext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lang w:eastAsia="zh-CN"/>
        </w:rPr>
        <w:t>五</w:t>
      </w:r>
      <w:r>
        <w:rPr>
          <w:rFonts w:hint="eastAsia" w:ascii="黑体" w:hAnsi="黑体" w:eastAsia="黑体" w:cs="宋体"/>
          <w:color w:val="000000"/>
          <w:kern w:val="0"/>
          <w:szCs w:val="32"/>
          <w:shd w:val="clear" w:color="auto" w:fill="FFFFFF"/>
        </w:rPr>
        <w:t>、评价结论及建议</w:t>
      </w:r>
    </w:p>
    <w:p w14:paraId="00C7EDBB">
      <w:pPr>
        <w:keepNext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14:paraId="447E6D55">
      <w:pPr>
        <w:keepNext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rPr>
          <w:rFonts w:hint="default" w:ascii="楷体_GB2312" w:hAnsi="宋体" w:eastAsia="楷体_GB2312" w:cs="宋体"/>
          <w:color w:val="000000"/>
          <w:kern w:val="0"/>
          <w:szCs w:val="32"/>
          <w:shd w:val="clear" w:color="auto" w:fill="FFFFFF"/>
          <w:lang w:val="en-US" w:eastAsia="zh-CN"/>
        </w:rPr>
      </w:pPr>
      <w:r>
        <w:rPr>
          <w:rFonts w:hint="eastAsia" w:ascii="楷体_GB2312" w:hAnsi="宋体" w:eastAsia="楷体_GB2312" w:cs="宋体"/>
          <w:color w:val="000000"/>
          <w:kern w:val="0"/>
          <w:szCs w:val="32"/>
          <w:shd w:val="clear" w:color="auto" w:fill="FFFFFF"/>
          <w:lang w:val="zh-CN"/>
        </w:rPr>
        <w:t>我局2024绩效评价考核自查情况总体良好，部门认真履职，项目认真落实，效果明显，群众满意度高，评价好。财务管理健全规范，没有发生违法违规现象，我局2024年的部门整体支出做到了使用规范、程序透明、达到预期绩效目标确保了机关的正常运行和各部室职能的正常履行，保证了目标任务的圆满完成。</w:t>
      </w:r>
      <w:r>
        <w:rPr>
          <w:rFonts w:hint="eastAsia" w:ascii="楷体_GB2312" w:hAnsi="宋体" w:eastAsia="楷体_GB2312" w:cs="宋体"/>
          <w:color w:val="000000"/>
          <w:kern w:val="0"/>
          <w:szCs w:val="32"/>
          <w:shd w:val="clear" w:color="auto" w:fill="FFFFFF"/>
          <w:lang w:val="en-US" w:eastAsia="zh-CN"/>
        </w:rPr>
        <w:t>自评得分95.3分</w:t>
      </w:r>
    </w:p>
    <w:p w14:paraId="60709987">
      <w:pPr>
        <w:keepNext w:val="0"/>
        <w:pageBreakBefore w:val="0"/>
        <w:widowControl/>
        <w:numPr>
          <w:ilvl w:val="0"/>
          <w:numId w:val="6"/>
        </w:numPr>
        <w:kinsoku/>
        <w:wordWrap/>
        <w:overflowPunct/>
        <w:topLinePunct w:val="0"/>
        <w:autoSpaceDE/>
        <w:autoSpaceDN/>
        <w:bidi w:val="0"/>
        <w:adjustRightInd w:val="0"/>
        <w:snapToGrid w:val="0"/>
        <w:spacing w:line="56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存在问题。</w:t>
      </w:r>
    </w:p>
    <w:p w14:paraId="744AA714">
      <w:pPr>
        <w:keepNext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在整体推进水务业务工作上，基本完成年初制定的目标任务，</w:t>
      </w:r>
    </w:p>
    <w:p w14:paraId="3907DB4E">
      <w:pPr>
        <w:keepNext w:val="0"/>
        <w:pageBreakBefore w:val="0"/>
        <w:widowControl/>
        <w:kinsoku/>
        <w:wordWrap/>
        <w:overflowPunct/>
        <w:topLinePunct w:val="0"/>
        <w:autoSpaceDE/>
        <w:autoSpaceDN/>
        <w:bidi w:val="0"/>
        <w:adjustRightInd w:val="0"/>
        <w:snapToGrid w:val="0"/>
        <w:spacing w:line="560" w:lineRule="exact"/>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但是因财政资金紧张导致部分资金下达时间晚导致支付时间较迟。</w:t>
      </w:r>
    </w:p>
    <w:p w14:paraId="6300BBC0">
      <w:pPr>
        <w:keepNext w:val="0"/>
        <w:pageBreakBefore w:val="0"/>
        <w:widowControl/>
        <w:numPr>
          <w:ilvl w:val="0"/>
          <w:numId w:val="6"/>
        </w:numPr>
        <w:kinsoku/>
        <w:wordWrap/>
        <w:overflowPunct/>
        <w:topLinePunct w:val="0"/>
        <w:autoSpaceDE/>
        <w:autoSpaceDN/>
        <w:bidi w:val="0"/>
        <w:adjustRightInd w:val="0"/>
        <w:snapToGrid w:val="0"/>
        <w:spacing w:line="56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改进建议。</w:t>
      </w:r>
    </w:p>
    <w:p w14:paraId="2EED0F33">
      <w:pPr>
        <w:keepNext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今后项目的执行上，为达到预期绩效目标，全力配合财政部门确保资金能及时下达，加强对项目资金的管理，严格按照资金的使用范围专款专用，支付有依据，严格开支标准。</w:t>
      </w: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0000000000000000000"/>
    <w:charset w:val="86"/>
    <w:family w:val="auto"/>
    <w:pitch w:val="default"/>
    <w:sig w:usb0="00000000" w:usb1="00000000"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656B">
    <w:pPr>
      <w:pStyle w:val="6"/>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1486CC77">
    <w:pPr>
      <w:pStyle w:val="6"/>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874C6">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30A30F"/>
    <w:multiLevelType w:val="singleLevel"/>
    <w:tmpl w:val="CC30A30F"/>
    <w:lvl w:ilvl="0" w:tentative="0">
      <w:start w:val="2"/>
      <w:numFmt w:val="chineseCounting"/>
      <w:suff w:val="nothing"/>
      <w:lvlText w:val="（%1）"/>
      <w:lvlJc w:val="left"/>
      <w:rPr>
        <w:rFonts w:hint="eastAsia"/>
      </w:rPr>
    </w:lvl>
  </w:abstractNum>
  <w:abstractNum w:abstractNumId="1">
    <w:nsid w:val="D232CA18"/>
    <w:multiLevelType w:val="singleLevel"/>
    <w:tmpl w:val="D232CA18"/>
    <w:lvl w:ilvl="0" w:tentative="0">
      <w:start w:val="2"/>
      <w:numFmt w:val="chineseCounting"/>
      <w:suff w:val="nothing"/>
      <w:lvlText w:val="（%1）"/>
      <w:lvlJc w:val="left"/>
      <w:rPr>
        <w:rFonts w:hint="eastAsia"/>
      </w:rPr>
    </w:lvl>
  </w:abstractNum>
  <w:abstractNum w:abstractNumId="2">
    <w:nsid w:val="E4D70B1F"/>
    <w:multiLevelType w:val="singleLevel"/>
    <w:tmpl w:val="E4D70B1F"/>
    <w:lvl w:ilvl="0" w:tentative="0">
      <w:start w:val="2"/>
      <w:numFmt w:val="chineseCounting"/>
      <w:suff w:val="nothing"/>
      <w:lvlText w:val="（%1）"/>
      <w:lvlJc w:val="left"/>
      <w:rPr>
        <w:rFonts w:hint="eastAsia"/>
      </w:rPr>
    </w:lvl>
  </w:abstractNum>
  <w:abstractNum w:abstractNumId="3">
    <w:nsid w:val="FB521DF0"/>
    <w:multiLevelType w:val="singleLevel"/>
    <w:tmpl w:val="FB521DF0"/>
    <w:lvl w:ilvl="0" w:tentative="0">
      <w:start w:val="17"/>
      <w:numFmt w:val="decimal"/>
      <w:lvlText w:val="%1."/>
      <w:lvlJc w:val="left"/>
      <w:pPr>
        <w:tabs>
          <w:tab w:val="left" w:pos="312"/>
        </w:tabs>
      </w:pPr>
      <w:rPr>
        <w:rFonts w:hint="default" w:ascii="仿宋_GB2312" w:hAnsi="仿宋_GB2312" w:eastAsia="仿宋_GB2312" w:cs="仿宋_GB2312"/>
      </w:rPr>
    </w:lvl>
  </w:abstractNum>
  <w:abstractNum w:abstractNumId="4">
    <w:nsid w:val="074EAD49"/>
    <w:multiLevelType w:val="singleLevel"/>
    <w:tmpl w:val="074EAD49"/>
    <w:lvl w:ilvl="0" w:tentative="0">
      <w:start w:val="1"/>
      <w:numFmt w:val="decimal"/>
      <w:suff w:val="nothing"/>
      <w:lvlText w:val="%1、"/>
      <w:lvlJc w:val="left"/>
    </w:lvl>
  </w:abstractNum>
  <w:abstractNum w:abstractNumId="5">
    <w:nsid w:val="0BF13BB2"/>
    <w:multiLevelType w:val="singleLevel"/>
    <w:tmpl w:val="0BF13BB2"/>
    <w:lvl w:ilvl="0" w:tentative="0">
      <w:start w:val="2"/>
      <w:numFmt w:val="chineseCounting"/>
      <w:suff w:val="nothing"/>
      <w:lvlText w:val="（%1）"/>
      <w:lvlJc w:val="left"/>
      <w:rPr>
        <w:rFonts w:hint="eastAsia"/>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F702DCC"/>
    <w:rsid w:val="10B71B4A"/>
    <w:rsid w:val="13E94EDC"/>
    <w:rsid w:val="14916A31"/>
    <w:rsid w:val="1694022E"/>
    <w:rsid w:val="19927F78"/>
    <w:rsid w:val="21AE59D8"/>
    <w:rsid w:val="28131C63"/>
    <w:rsid w:val="286F56EA"/>
    <w:rsid w:val="29FB0312"/>
    <w:rsid w:val="2D527252"/>
    <w:rsid w:val="2D7A67E5"/>
    <w:rsid w:val="329102D6"/>
    <w:rsid w:val="3A9520B3"/>
    <w:rsid w:val="3DE562B7"/>
    <w:rsid w:val="3E6507EA"/>
    <w:rsid w:val="42DC31A4"/>
    <w:rsid w:val="45964C78"/>
    <w:rsid w:val="47550EBA"/>
    <w:rsid w:val="4A0F35DD"/>
    <w:rsid w:val="50BB3388"/>
    <w:rsid w:val="56D07CFA"/>
    <w:rsid w:val="58723738"/>
    <w:rsid w:val="58B8511B"/>
    <w:rsid w:val="649A4F60"/>
    <w:rsid w:val="6636451A"/>
    <w:rsid w:val="6BE94116"/>
    <w:rsid w:val="7799210D"/>
    <w:rsid w:val="78916378"/>
    <w:rsid w:val="7BC20073"/>
    <w:rsid w:val="7C631402"/>
    <w:rsid w:val="7CFF5888"/>
    <w:rsid w:val="7DCC0F6E"/>
    <w:rsid w:val="7E140770"/>
    <w:rsid w:val="7FFB739A"/>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qFormat="1" w:unhideWhenUsed="0" w:uiPriority="99" w:semiHidden="0"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qFormat="1" w:unhideWhenUsed="0" w:uiPriority="0" w:semiHidden="0"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locked/>
    <w:uiPriority w:val="0"/>
    <w:pPr>
      <w:spacing w:after="120" w:afterLines="0" w:afterAutospacing="0"/>
    </w:pPr>
  </w:style>
  <w:style w:type="paragraph" w:styleId="3">
    <w:name w:val="Document Map"/>
    <w:basedOn w:val="1"/>
    <w:link w:val="14"/>
    <w:qFormat/>
    <w:uiPriority w:val="99"/>
    <w:rPr>
      <w:rFonts w:ascii="宋体"/>
      <w:sz w:val="18"/>
      <w:szCs w:val="18"/>
    </w:rPr>
  </w:style>
  <w:style w:type="paragraph" w:styleId="4">
    <w:name w:val="Plain Text"/>
    <w:basedOn w:val="1"/>
    <w:qFormat/>
    <w:locked/>
    <w:uiPriority w:val="0"/>
    <w:rPr>
      <w:rFonts w:ascii="宋体" w:hAnsi="Courier New" w:eastAsia="宋体" w:cs="Courier New"/>
      <w:szCs w:val="21"/>
    </w:rPr>
  </w:style>
  <w:style w:type="paragraph" w:styleId="5">
    <w:name w:val="Balloon Text"/>
    <w:basedOn w:val="1"/>
    <w:link w:val="15"/>
    <w:semiHidden/>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table of figures"/>
    <w:basedOn w:val="1"/>
    <w:next w:val="1"/>
    <w:qFormat/>
    <w:locked/>
    <w:uiPriority w:val="99"/>
    <w:pPr>
      <w:ind w:left="200" w:leftChars="200" w:hanging="200" w:hangingChars="200"/>
    </w:pPr>
    <w:rPr>
      <w:rFonts w:eastAsia="仿宋"/>
      <w:sz w:val="32"/>
      <w:szCs w:val="24"/>
    </w:rPr>
  </w:style>
  <w:style w:type="paragraph" w:styleId="9">
    <w:name w:val="Title"/>
    <w:basedOn w:val="1"/>
    <w:next w:val="1"/>
    <w:qFormat/>
    <w:locked/>
    <w:uiPriority w:val="0"/>
    <w:pPr>
      <w:spacing w:before="240" w:after="60"/>
      <w:jc w:val="center"/>
      <w:outlineLvl w:val="0"/>
    </w:pPr>
    <w:rPr>
      <w:rFonts w:ascii="Arial" w:hAnsi="Arial" w:cs="Arial"/>
      <w:b/>
      <w:bCs/>
      <w:sz w:val="32"/>
      <w:szCs w:val="32"/>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99"/>
    <w:rPr>
      <w:rFonts w:cs="Times New Roman"/>
    </w:rPr>
  </w:style>
  <w:style w:type="character" w:customStyle="1" w:styleId="14">
    <w:name w:val="文档结构图 Char"/>
    <w:link w:val="3"/>
    <w:qFormat/>
    <w:locked/>
    <w:uiPriority w:val="99"/>
    <w:rPr>
      <w:rFonts w:ascii="宋体" w:cs="Times New Roman"/>
      <w:kern w:val="2"/>
      <w:sz w:val="18"/>
      <w:szCs w:val="18"/>
    </w:rPr>
  </w:style>
  <w:style w:type="character" w:customStyle="1" w:styleId="15">
    <w:name w:val="批注框文本 Char"/>
    <w:link w:val="5"/>
    <w:semiHidden/>
    <w:qFormat/>
    <w:locked/>
    <w:uiPriority w:val="99"/>
    <w:rPr>
      <w:rFonts w:cs="Times New Roman"/>
      <w:sz w:val="2"/>
    </w:rPr>
  </w:style>
  <w:style w:type="character" w:customStyle="1" w:styleId="16">
    <w:name w:val="页脚 Char"/>
    <w:link w:val="6"/>
    <w:qFormat/>
    <w:locked/>
    <w:uiPriority w:val="99"/>
    <w:rPr>
      <w:rFonts w:cs="Times New Roman"/>
      <w:kern w:val="2"/>
      <w:sz w:val="18"/>
      <w:szCs w:val="18"/>
    </w:rPr>
  </w:style>
  <w:style w:type="character" w:customStyle="1" w:styleId="17">
    <w:name w:val="页眉 Char"/>
    <w:link w:val="7"/>
    <w:semiHidden/>
    <w:qFormat/>
    <w:locked/>
    <w:uiPriority w:val="99"/>
    <w:rPr>
      <w:rFonts w:cs="Times New Roman"/>
      <w:sz w:val="18"/>
      <w:szCs w:val="18"/>
    </w:rPr>
  </w:style>
  <w:style w:type="paragraph" w:customStyle="1" w:styleId="18">
    <w:name w:val="四号正文"/>
    <w:basedOn w:val="1"/>
    <w:link w:val="19"/>
    <w:qFormat/>
    <w:uiPriority w:val="99"/>
    <w:pPr>
      <w:spacing w:line="360" w:lineRule="auto"/>
    </w:pPr>
    <w:rPr>
      <w:rFonts w:ascii="??" w:hAnsi="??" w:cs="宋体"/>
      <w:color w:val="000000"/>
      <w:kern w:val="0"/>
      <w:sz w:val="28"/>
      <w:szCs w:val="21"/>
    </w:rPr>
  </w:style>
  <w:style w:type="character" w:customStyle="1" w:styleId="19">
    <w:name w:val="四号正文 Char"/>
    <w:link w:val="18"/>
    <w:qFormat/>
    <w:locked/>
    <w:uiPriority w:val="99"/>
    <w:rPr>
      <w:rFonts w:ascii="??" w:hAnsi="??" w:eastAsia="宋体" w:cs="宋体"/>
      <w:color w:val="000000"/>
      <w:sz w:val="21"/>
      <w:szCs w:val="21"/>
      <w:lang w:val="en-US" w:eastAsia="zh-CN" w:bidi="ar-SA"/>
    </w:rPr>
  </w:style>
  <w:style w:type="paragraph" w:customStyle="1" w:styleId="20">
    <w:name w:val="a"/>
    <w:basedOn w:val="1"/>
    <w:qFormat/>
    <w:uiPriority w:val="99"/>
    <w:pPr>
      <w:widowControl/>
      <w:spacing w:before="100" w:beforeAutospacing="1" w:after="100" w:afterAutospacing="1"/>
      <w:jc w:val="left"/>
    </w:pPr>
    <w:rPr>
      <w:rFonts w:ascii="宋体" w:hAnsi="宋体" w:cs="宋体"/>
      <w:kern w:val="0"/>
      <w:sz w:val="24"/>
    </w:rPr>
  </w:style>
  <w:style w:type="paragraph" w:customStyle="1" w:styleId="21">
    <w:name w:val="UserStyle_4"/>
    <w:basedOn w:val="22"/>
    <w:next w:val="22"/>
    <w:qFormat/>
    <w:uiPriority w:val="0"/>
    <w:pPr>
      <w:spacing w:after="740" w:line="718" w:lineRule="exact"/>
      <w:jc w:val="center"/>
      <w:textAlignment w:val="baseline"/>
    </w:pPr>
    <w:rPr>
      <w:rFonts w:ascii="宋体" w:hAnsi="宋体" w:eastAsia="宋体"/>
      <w:kern w:val="2"/>
      <w:sz w:val="42"/>
      <w:szCs w:val="42"/>
      <w:lang w:val="zh-TW" w:eastAsia="zh-TW" w:bidi="zh-TW"/>
    </w:rPr>
  </w:style>
  <w:style w:type="paragraph" w:customStyle="1" w:styleId="22">
    <w:name w:val="UserStyle_5"/>
    <w:qFormat/>
    <w:uiPriority w:val="0"/>
    <w:pPr>
      <w:jc w:val="both"/>
      <w:textAlignment w:val="baseline"/>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46634a77-f30d-45b3-9250-bb2858dc7459</errorID>
      <errorWord>法律、法规</errorWord>
      <group>L1_Word</group>
      <groupName>字词问题</groupName>
      <ability>L2_Typo</ability>
      <abilityName>字词错误</abilityName>
      <candidateList>
        <item>法律法规</item>
      </candidateList>
      <explain/>
      <paraID>671568D2</paraID>
      <start>15</start>
      <end>19</end>
      <status>modified</status>
      <modifiedWord>法律法规</modifiedWord>
      <trackRevisions>false</trackRevisions>
    </reviewItem>
    <reviewItem>
      <errorID>515741f0-14e4-4c80-81d0-6e298ea28b39</errorID>
      <errorWord>县委、政府</errorWord>
      <group>L1_Political</group>
      <groupName>政治性问题</groupName>
      <ability>L2_Unpolitical</ability>
      <abilityName>政治敏感错误</abilityName>
      <candidateList>
        <item>县委、县政府</item>
      </candidateList>
      <explain/>
      <paraID>6E6F6F67</paraID>
      <start>25</start>
      <end>31</end>
      <status>modified</status>
      <modifiedWord>县委、县政府</modifiedWord>
      <trackRevisions>false</trackRevisions>
    </reviewItem>
    <reviewItem>
      <errorID>538d086a-8c36-440b-8797-c7beb9870f76</errorID>
      <errorWord>截止</errorWord>
      <group>L1_Word</group>
      <groupName>字词问题</groupName>
      <ability>L2_Typo</ability>
      <abilityName>字词错误</abilityName>
      <candidateList>
        <item>截至</item>
      </candidateList>
      <explain>存在发音相同字词的误用。</explain>
      <paraID>3C721151</paraID>
      <start>46</start>
      <end>48</end>
      <status>modified</status>
      <modifiedWord>截至</modifiedWord>
      <trackRevisions>false</trackRevisions>
    </reviewItem>
    <reviewItem>
      <errorID>7b4fec7a-cb1f-4872-b1b9-5cbb75eaf443</errorID>
      <errorWord>,</errorWord>
      <group>L1_Format</group>
      <groupName>格式问题</groupName>
      <ability>L2_HalfPunc</ability>
      <abilityName>全半角检查</abilityName>
      <candidateList>
        <item>，</item>
      </candidateList>
      <explain>文本全半角错误。</explain>
      <paraID>3C721151</paraID>
      <start>116</start>
      <end>117</end>
      <status>modified</status>
      <modifiedWord>，</modifiedWord>
      <trackRevisions>false</trackRevisions>
    </reviewItem>
    <reviewItem>
      <errorID>49cff2e1-f9ad-40f6-b702-b8853f3228ea</errorID>
      <errorWord>并启</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2C651721</paraID>
      <start>33</start>
      <end>34</end>
      <status>modified</status>
      <modifiedWord>并</modifiedWord>
      <trackRevisions>false</trackRevisions>
    </reviewItem>
    <reviewItem>
      <errorID>97ab61ec-bdb1-4d8c-a029-1ef3194ae3bf</errorID>
      <errorWord>网</errorWord>
      <group>L1_Word</group>
      <groupName>字词问题</groupName>
      <ability>L2_Typo</ability>
      <abilityName>字词错误</abilityName>
      <candidateList>
        <item>网站</item>
      </candidateList>
      <explain/>
      <paraID>6A966EC1</paraID>
      <start>125</start>
      <end>127</end>
      <status>modified</status>
      <modifiedWord>网站</modifiedWord>
      <trackRevisions>false</trackRevisions>
    </reviewItem>
    <reviewItem>
      <errorID>1be01759-537d-48a6-9167-a7714798a764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5EF1F568</paraID>
      <start>24</start>
      <end>25</end>
      <status>modified</status>
      <modifiedWord>—</modifiedWord>
      <trackRevisions>false</trackRevisions>
    </reviewItem>
    <reviewItem>
      <errorID>a8d6e6a6-0d12-4466-952f-2df7fada0324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5EF1F568</paraID>
      <start>36</start>
      <end>37</end>
      <status>modified</status>
      <modifiedWord>—</modifiedWord>
      <trackRevisions>false</trackRevisions>
    </reviewItem>
    <reviewItem>
      <errorID>083ddf16-57d5-433c-80dd-8d690a69b408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5EF1F568</paraID>
      <start>46</start>
      <end>47</end>
      <status>modified</status>
      <modifiedWord>—</modifiedWord>
      <trackRevisions>false</trackRevisions>
    </reviewItem>
    <reviewItem>
      <errorID>0d4f3431-dae0-4d0f-8e81-4ff4778a1789</errorID>
      <errorWord>【2024】71号</errorWord>
      <group>L1_Knowledge</group>
      <groupName>知识性问题</groupName>
      <ability>L2_Knowledge</ability>
      <abilityName>其他知识</abilityName>
      <candidateList>
        <item>〔2024〕71号</item>
      </candidateList>
      <explain>发文字号格式错误。</explain>
      <paraID>5EF1F568</paraID>
      <start>67</start>
      <end>76</end>
      <status>modified</status>
      <modifiedWord>〔2024〕71号</modifiedWord>
      <trackRevisions>false</trackRevisions>
    </reviewItem>
    <reviewItem>
      <errorID>022bb003-fbaf-400f-a6fc-eae51c9f709a</errorID>
      <errorWord>)</errorWord>
      <group>L1_Format</group>
      <groupName>格式问题</groupName>
      <ability>L2_HalfPunc</ability>
      <abilityName>全半角检查</abilityName>
      <candidateList>
        <item>）</item>
      </candidateList>
      <explain>文本全半角错误。</explain>
      <paraID>5EF1F568</paraID>
      <start>76</start>
      <end>77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58659557-8818-46c0-b801-26d9a0eb2dbb}">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7</Pages>
  <Words>3466</Words>
  <Characters>3631</Characters>
  <Lines>3</Lines>
  <Paragraphs>1</Paragraphs>
  <TotalTime>85</TotalTime>
  <ScaleCrop>false</ScaleCrop>
  <LinksUpToDate>false</LinksUpToDate>
  <CharactersWithSpaces>3635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2025-05-21T08:10:00Z</cp:lastPrinted>
  <dcterms:modified xsi:type="dcterms:W3CDTF">2026-01-06T09:08:04Z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6AE9F8E6A2114E6684BD40918B3A39CC_12</vt:lpwstr>
  </property>
</Properties>
</file>