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4D6CB">
      <w:pPr>
        <w:spacing w:line="600" w:lineRule="exact"/>
        <w:jc w:val="center"/>
        <w:outlineLvl w:val="9"/>
        <w:rPr>
          <w:rFonts w:ascii="方正小标宋简体" w:hAnsi="宋体" w:eastAsia="方正小标宋简体"/>
          <w:color w:val="auto"/>
          <w:sz w:val="72"/>
          <w:szCs w:val="72"/>
          <w:highlight w:val="none"/>
        </w:rPr>
      </w:pPr>
      <w:bookmarkStart w:id="0" w:name="_Toc15377193"/>
      <w:bookmarkStart w:id="1" w:name="_Toc15378441"/>
      <w:bookmarkStart w:id="2" w:name="_Toc15396475"/>
      <w:bookmarkStart w:id="3" w:name="_Toc15396597"/>
      <w:bookmarkStart w:id="4" w:name="_Toc15306267"/>
      <w:bookmarkStart w:id="5" w:name="_Toc15377425"/>
    </w:p>
    <w:p w14:paraId="66F703D1">
      <w:pPr>
        <w:spacing w:line="600" w:lineRule="exact"/>
        <w:jc w:val="center"/>
        <w:outlineLvl w:val="9"/>
        <w:rPr>
          <w:rFonts w:ascii="方正小标宋简体" w:hAnsi="宋体" w:eastAsia="方正小标宋简体"/>
          <w:color w:val="auto"/>
          <w:sz w:val="72"/>
          <w:szCs w:val="72"/>
          <w:highlight w:val="none"/>
        </w:rPr>
      </w:pPr>
    </w:p>
    <w:p w14:paraId="3C013F19">
      <w:pPr>
        <w:spacing w:line="600" w:lineRule="exact"/>
        <w:jc w:val="center"/>
        <w:outlineLvl w:val="9"/>
        <w:rPr>
          <w:rFonts w:ascii="方正小标宋简体" w:hAnsi="宋体" w:eastAsia="方正小标宋简体"/>
          <w:color w:val="auto"/>
          <w:sz w:val="72"/>
          <w:szCs w:val="72"/>
          <w:highlight w:val="none"/>
        </w:rPr>
      </w:pPr>
    </w:p>
    <w:p w14:paraId="480E587B">
      <w:pPr>
        <w:spacing w:line="600" w:lineRule="exact"/>
        <w:jc w:val="center"/>
        <w:outlineLvl w:val="9"/>
        <w:rPr>
          <w:rFonts w:ascii="方正小标宋简体" w:hAnsi="宋体" w:eastAsia="方正小标宋简体"/>
          <w:color w:val="auto"/>
          <w:sz w:val="72"/>
          <w:szCs w:val="72"/>
          <w:highlight w:val="none"/>
        </w:rPr>
      </w:pPr>
    </w:p>
    <w:p w14:paraId="091E490C">
      <w:pPr>
        <w:spacing w:line="600" w:lineRule="exact"/>
        <w:jc w:val="center"/>
        <w:outlineLvl w:val="9"/>
        <w:rPr>
          <w:rFonts w:ascii="方正小标宋简体" w:hAnsi="宋体" w:eastAsia="方正小标宋简体"/>
          <w:color w:val="auto"/>
          <w:sz w:val="72"/>
          <w:szCs w:val="72"/>
          <w:highlight w:val="none"/>
        </w:rPr>
      </w:pPr>
    </w:p>
    <w:p w14:paraId="14EFE776">
      <w:pPr>
        <w:spacing w:line="600" w:lineRule="exact"/>
        <w:jc w:val="center"/>
        <w:outlineLvl w:val="9"/>
        <w:rPr>
          <w:rFonts w:ascii="方正小标宋简体" w:hAnsi="宋体" w:eastAsia="方正小标宋简体"/>
          <w:color w:val="auto"/>
          <w:sz w:val="72"/>
          <w:szCs w:val="72"/>
          <w:highlight w:val="none"/>
        </w:rPr>
      </w:pPr>
    </w:p>
    <w:p w14:paraId="00B830ED">
      <w:pPr>
        <w:spacing w:line="600" w:lineRule="exact"/>
        <w:jc w:val="center"/>
        <w:outlineLvl w:val="9"/>
        <w:rPr>
          <w:rFonts w:ascii="方正小标宋简体" w:hAnsi="宋体" w:eastAsia="方正小标宋简体"/>
          <w:color w:val="auto"/>
          <w:sz w:val="72"/>
          <w:szCs w:val="72"/>
          <w:highlight w:val="none"/>
        </w:rPr>
      </w:pPr>
    </w:p>
    <w:bookmarkEnd w:id="0"/>
    <w:bookmarkEnd w:id="1"/>
    <w:bookmarkEnd w:id="2"/>
    <w:bookmarkEnd w:id="3"/>
    <w:bookmarkEnd w:id="4"/>
    <w:bookmarkEnd w:id="5"/>
    <w:p w14:paraId="37C44116">
      <w:pPr>
        <w:widowControl/>
        <w:jc w:val="both"/>
        <w:rPr>
          <w:rFonts w:hint="eastAsia" w:ascii="宋体" w:hAnsi="宋体" w:eastAsia="宋体" w:cs="宋体"/>
          <w:b/>
          <w:bCs/>
          <w:color w:val="auto"/>
          <w:sz w:val="72"/>
          <w:szCs w:val="72"/>
          <w:highlight w:val="none"/>
        </w:rPr>
      </w:pPr>
    </w:p>
    <w:p w14:paraId="31DD32D5">
      <w:pPr>
        <w:widowControl/>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auto"/>
          <w:sz w:val="44"/>
          <w:szCs w:val="44"/>
          <w:highlight w:val="none"/>
        </w:rPr>
        <w:t>202</w:t>
      </w:r>
      <w:r>
        <w:rPr>
          <w:rFonts w:hint="eastAsia" w:ascii="方正小标宋简体" w:hAnsi="方正小标宋简体" w:eastAsia="方正小标宋简体" w:cs="方正小标宋简体"/>
          <w:b w:val="0"/>
          <w:bCs w:val="0"/>
          <w:color w:val="auto"/>
          <w:sz w:val="44"/>
          <w:szCs w:val="44"/>
          <w:highlight w:val="none"/>
          <w:lang w:val="en-US" w:eastAsia="zh-CN"/>
        </w:rPr>
        <w:t>4</w:t>
      </w:r>
      <w:r>
        <w:rPr>
          <w:rFonts w:hint="eastAsia" w:ascii="方正小标宋简体" w:hAnsi="方正小标宋简体" w:eastAsia="方正小标宋简体" w:cs="方正小标宋简体"/>
          <w:b w:val="0"/>
          <w:bCs w:val="0"/>
          <w:color w:val="auto"/>
          <w:sz w:val="44"/>
          <w:szCs w:val="44"/>
          <w:highlight w:val="none"/>
        </w:rPr>
        <w:t>年度</w:t>
      </w:r>
      <w:bookmarkStart w:id="6" w:name="_Toc15396476"/>
      <w:bookmarkStart w:id="7" w:name="_Toc15378442"/>
      <w:bookmarkStart w:id="8" w:name="_Toc15306268"/>
      <w:bookmarkStart w:id="9" w:name="_Toc15377426"/>
      <w:bookmarkStart w:id="10" w:name="_Toc15377194"/>
      <w:bookmarkStart w:id="11" w:name="_Toc15396598"/>
      <w:r>
        <w:rPr>
          <w:rFonts w:hint="eastAsia" w:ascii="方正小标宋简体" w:hAnsi="方正小标宋简体" w:eastAsia="方正小标宋简体" w:cs="方正小标宋简体"/>
          <w:b w:val="0"/>
          <w:bCs w:val="0"/>
          <w:color w:val="auto"/>
          <w:sz w:val="44"/>
          <w:szCs w:val="44"/>
          <w:highlight w:val="none"/>
          <w:lang w:val="en-US" w:eastAsia="zh-CN"/>
        </w:rPr>
        <w:t>峨边彝族自治县水务局</w:t>
      </w:r>
      <w:r>
        <w:rPr>
          <w:rFonts w:hint="eastAsia" w:ascii="方正小标宋简体" w:hAnsi="方正小标宋简体" w:eastAsia="方正小标宋简体" w:cs="方正小标宋简体"/>
          <w:b w:val="0"/>
          <w:bCs w:val="0"/>
          <w:color w:val="auto"/>
          <w:sz w:val="44"/>
          <w:szCs w:val="44"/>
          <w:highlight w:val="none"/>
        </w:rPr>
        <w:t>决算</w:t>
      </w:r>
      <w:bookmarkEnd w:id="6"/>
      <w:bookmarkEnd w:id="7"/>
      <w:bookmarkEnd w:id="8"/>
      <w:bookmarkEnd w:id="9"/>
      <w:bookmarkEnd w:id="10"/>
      <w:bookmarkEnd w:id="11"/>
    </w:p>
    <w:p w14:paraId="3C948B38">
      <w:pPr>
        <w:pStyle w:val="13"/>
        <w:jc w:val="center"/>
        <w:rPr>
          <w:rFonts w:hint="eastAsia" w:eastAsia="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部门公开</w:t>
      </w:r>
    </w:p>
    <w:p w14:paraId="6E7714B1">
      <w:pPr>
        <w:widowControl/>
        <w:jc w:val="center"/>
        <w:rPr>
          <w:rFonts w:ascii="黑体" w:hAnsi="黑体" w:eastAsia="黑体" w:cstheme="minorBidi"/>
          <w:color w:val="auto"/>
          <w:sz w:val="28"/>
          <w:szCs w:val="28"/>
          <w:highlight w:val="none"/>
        </w:rPr>
      </w:pPr>
      <w:r>
        <w:rPr>
          <w:rFonts w:ascii="方正小标宋简体" w:hAnsi="宋体" w:eastAsia="方正小标宋简体"/>
          <w:color w:val="auto"/>
          <w:sz w:val="36"/>
          <w:szCs w:val="36"/>
          <w:highlight w:val="none"/>
        </w:rPr>
        <w:br w:type="page"/>
      </w:r>
      <w:r>
        <w:rPr>
          <w:rFonts w:hint="eastAsia" w:ascii="方正小标宋简体" w:hAnsi="方正小标宋简体" w:eastAsia="方正小标宋简体" w:cs="方正小标宋简体"/>
          <w:color w:val="auto"/>
          <w:sz w:val="44"/>
          <w:szCs w:val="44"/>
          <w:highlight w:val="none"/>
        </w:rPr>
        <w:t>目录</w:t>
      </w:r>
    </w:p>
    <w:p w14:paraId="66EBB1D4">
      <w:pPr>
        <w:pStyle w:val="12"/>
        <w:rPr>
          <w:rFonts w:hint="eastAsia"/>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19</w:t>
      </w:r>
      <w:r>
        <w:rPr>
          <w:rFonts w:hint="eastAsia"/>
          <w:color w:val="auto"/>
          <w:highlight w:val="none"/>
        </w:rPr>
        <w:t>日</w:t>
      </w:r>
    </w:p>
    <w:sdt>
      <w:sdtPr>
        <w:rPr>
          <w:rFonts w:ascii="宋体" w:hAnsi="宋体" w:eastAsia="宋体" w:cs="Times New Roman"/>
          <w:kern w:val="2"/>
          <w:sz w:val="21"/>
          <w:szCs w:val="24"/>
          <w:lang w:val="en-US" w:eastAsia="zh-CN" w:bidi="ar-SA"/>
        </w:rPr>
        <w:id w:val="147454227"/>
        <w15:color w:val="DBDBDB"/>
        <w:docPartObj>
          <w:docPartGallery w:val="Table of Contents"/>
          <w:docPartUnique/>
        </w:docPartObj>
      </w:sdtPr>
      <w:sdtEndPr>
        <w:rPr>
          <w:rFonts w:hint="eastAsia" w:ascii="Times New Roman" w:hAnsi="Times New Roman" w:eastAsia="宋体" w:cs="Times New Roman"/>
          <w:kern w:val="2"/>
          <w:sz w:val="21"/>
          <w:szCs w:val="24"/>
          <w:lang w:val="en-US" w:eastAsia="zh-CN" w:bidi="ar-SA"/>
        </w:rPr>
      </w:sdtEndPr>
      <w:sdtContent>
        <w:p w14:paraId="7C7826CB">
          <w:pPr>
            <w:spacing w:before="0" w:beforeLines="0" w:after="0" w:afterLines="0" w:line="240" w:lineRule="auto"/>
            <w:ind w:left="0" w:leftChars="0" w:right="0" w:rightChars="0" w:firstLine="0" w:firstLineChars="0"/>
            <w:jc w:val="center"/>
          </w:pPr>
        </w:p>
        <w:p w14:paraId="2ABD767B">
          <w:pPr>
            <w:pStyle w:val="12"/>
            <w:tabs>
              <w:tab w:val="right" w:leader="dot" w:pos="8306"/>
              <w:tab w:val="clear" w:pos="8296"/>
            </w:tabs>
            <w:rPr>
              <w:sz w:val="24"/>
              <w:szCs w:val="24"/>
            </w:rPr>
          </w:pPr>
          <w:r>
            <w:rPr>
              <w:rFonts w:hint="eastAsia"/>
              <w:lang w:val="en-US" w:eastAsia="zh-CN"/>
            </w:rPr>
            <w:t xml:space="preserve">   </w:t>
          </w:r>
          <w:r>
            <w:rPr>
              <w:rFonts w:hint="eastAsia"/>
            </w:rPr>
            <w:fldChar w:fldCharType="begin"/>
          </w:r>
          <w:r>
            <w:rPr>
              <w:rFonts w:hint="eastAsia"/>
            </w:rPr>
            <w:instrText xml:space="preserve">TOC \o "1-2" \h \u </w:instrText>
          </w:r>
          <w:r>
            <w:rPr>
              <w:rFonts w:hint="eastAsia"/>
            </w:rPr>
            <w:fldChar w:fldCharType="separate"/>
          </w:r>
          <w:r>
            <w:rPr>
              <w:rFonts w:hint="eastAsia"/>
              <w:sz w:val="24"/>
              <w:szCs w:val="24"/>
            </w:rPr>
            <w:fldChar w:fldCharType="begin"/>
          </w:r>
          <w:r>
            <w:rPr>
              <w:rFonts w:hint="eastAsia"/>
              <w:sz w:val="24"/>
              <w:szCs w:val="24"/>
            </w:rPr>
            <w:instrText xml:space="preserve"> HYPERLINK \l _Toc10631 </w:instrText>
          </w:r>
          <w:r>
            <w:rPr>
              <w:rFonts w:hint="eastAsia"/>
              <w:sz w:val="24"/>
              <w:szCs w:val="24"/>
            </w:rPr>
            <w:fldChar w:fldCharType="separate"/>
          </w:r>
          <w:r>
            <w:rPr>
              <w:rFonts w:hint="eastAsia" w:ascii="黑体" w:hAnsi="黑体" w:eastAsia="黑体" w:cs="黑体"/>
              <w:sz w:val="24"/>
              <w:szCs w:val="24"/>
            </w:rPr>
            <w:t xml:space="preserve">第一部分 </w:t>
          </w:r>
          <w:r>
            <w:rPr>
              <w:rFonts w:hint="eastAsia" w:ascii="黑体" w:hAnsi="黑体" w:eastAsia="黑体"/>
              <w:bCs w:val="0"/>
              <w:sz w:val="24"/>
              <w:szCs w:val="24"/>
              <w:highlight w:val="none"/>
              <w:lang w:val="en-US" w:eastAsia="zh-CN"/>
            </w:rPr>
            <w:t>部门</w:t>
          </w:r>
          <w:r>
            <w:rPr>
              <w:rFonts w:hint="eastAsia" w:ascii="黑体" w:hAnsi="黑体" w:eastAsia="黑体"/>
              <w:bCs w:val="0"/>
              <w:sz w:val="24"/>
              <w:szCs w:val="24"/>
              <w:highlight w:val="none"/>
            </w:rPr>
            <w:t>概况</w:t>
          </w:r>
          <w:r>
            <w:rPr>
              <w:sz w:val="24"/>
              <w:szCs w:val="24"/>
            </w:rPr>
            <w:tab/>
          </w:r>
          <w:r>
            <w:rPr>
              <w:sz w:val="24"/>
              <w:szCs w:val="24"/>
            </w:rPr>
            <w:fldChar w:fldCharType="begin"/>
          </w:r>
          <w:r>
            <w:rPr>
              <w:sz w:val="24"/>
              <w:szCs w:val="24"/>
            </w:rPr>
            <w:instrText xml:space="preserve"> PAGEREF _Toc10631 \h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14:paraId="6F84D8B7">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_Toc19656 </w:instrText>
          </w:r>
          <w:r>
            <w:rPr>
              <w:rFonts w:hint="eastAsia"/>
              <w:sz w:val="24"/>
              <w:szCs w:val="24"/>
            </w:rPr>
            <w:fldChar w:fldCharType="separate"/>
          </w:r>
          <w:r>
            <w:rPr>
              <w:rFonts w:hint="eastAsia" w:ascii="仿宋" w:hAnsi="仿宋" w:eastAsia="仿宋"/>
              <w:sz w:val="24"/>
              <w:szCs w:val="24"/>
            </w:rPr>
            <w:t xml:space="preserve">一、 </w:t>
          </w:r>
          <w:r>
            <w:rPr>
              <w:rFonts w:hint="eastAsia" w:ascii="黑体" w:hAnsi="黑体" w:eastAsia="黑体"/>
              <w:sz w:val="24"/>
              <w:szCs w:val="24"/>
              <w:highlight w:val="none"/>
              <w:lang w:val="en-US" w:eastAsia="zh-CN"/>
            </w:rPr>
            <w:t>部门</w:t>
          </w:r>
          <w:r>
            <w:rPr>
              <w:rFonts w:hint="eastAsia" w:ascii="黑体" w:hAnsi="黑体" w:eastAsia="黑体"/>
              <w:sz w:val="24"/>
              <w:szCs w:val="24"/>
              <w:highlight w:val="none"/>
              <w:lang w:eastAsia="zh-CN"/>
            </w:rPr>
            <w:t>职责</w:t>
          </w:r>
          <w:r>
            <w:rPr>
              <w:sz w:val="24"/>
              <w:szCs w:val="24"/>
            </w:rPr>
            <w:tab/>
          </w:r>
          <w:r>
            <w:rPr>
              <w:sz w:val="24"/>
              <w:szCs w:val="24"/>
            </w:rPr>
            <w:fldChar w:fldCharType="begin"/>
          </w:r>
          <w:r>
            <w:rPr>
              <w:sz w:val="24"/>
              <w:szCs w:val="24"/>
            </w:rPr>
            <w:instrText xml:space="preserve"> PAGEREF _Toc19656 \h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14:paraId="49A392C9">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_Toc28233 </w:instrText>
          </w:r>
          <w:r>
            <w:rPr>
              <w:rFonts w:hint="eastAsia"/>
              <w:sz w:val="24"/>
              <w:szCs w:val="24"/>
            </w:rPr>
            <w:fldChar w:fldCharType="separate"/>
          </w:r>
          <w:r>
            <w:rPr>
              <w:rFonts w:hint="eastAsia" w:ascii="黑体" w:eastAsia="黑体"/>
              <w:sz w:val="24"/>
              <w:szCs w:val="24"/>
              <w:highlight w:val="none"/>
            </w:rPr>
            <w:t>二、</w:t>
          </w:r>
          <w:r>
            <w:rPr>
              <w:rFonts w:hint="eastAsia" w:ascii="黑体" w:hAnsi="黑体" w:eastAsia="黑体"/>
              <w:sz w:val="24"/>
              <w:szCs w:val="24"/>
              <w:highlight w:val="none"/>
            </w:rPr>
            <w:t>机</w:t>
          </w:r>
          <w:r>
            <w:rPr>
              <w:rFonts w:hint="eastAsia" w:ascii="黑体" w:hAnsi="黑体" w:eastAsia="黑体"/>
              <w:bCs w:val="0"/>
              <w:sz w:val="24"/>
              <w:szCs w:val="24"/>
              <w:highlight w:val="none"/>
            </w:rPr>
            <w:t>构设置</w:t>
          </w:r>
          <w:r>
            <w:rPr>
              <w:sz w:val="24"/>
              <w:szCs w:val="24"/>
            </w:rPr>
            <w:tab/>
          </w:r>
          <w:r>
            <w:rPr>
              <w:sz w:val="24"/>
              <w:szCs w:val="24"/>
            </w:rPr>
            <w:fldChar w:fldCharType="begin"/>
          </w:r>
          <w:r>
            <w:rPr>
              <w:sz w:val="24"/>
              <w:szCs w:val="24"/>
            </w:rPr>
            <w:instrText xml:space="preserve"> PAGEREF _Toc28233 \h </w:instrText>
          </w:r>
          <w:r>
            <w:rPr>
              <w:sz w:val="24"/>
              <w:szCs w:val="24"/>
            </w:rPr>
            <w:fldChar w:fldCharType="separate"/>
          </w:r>
          <w:r>
            <w:rPr>
              <w:sz w:val="24"/>
              <w:szCs w:val="24"/>
            </w:rPr>
            <w:t>4</w:t>
          </w:r>
          <w:r>
            <w:rPr>
              <w:sz w:val="24"/>
              <w:szCs w:val="24"/>
            </w:rPr>
            <w:fldChar w:fldCharType="end"/>
          </w:r>
          <w:r>
            <w:rPr>
              <w:rFonts w:hint="eastAsia"/>
              <w:sz w:val="24"/>
              <w:szCs w:val="24"/>
            </w:rPr>
            <w:fldChar w:fldCharType="end"/>
          </w:r>
        </w:p>
        <w:p w14:paraId="498DB757">
          <w:pPr>
            <w:pStyle w:val="12"/>
            <w:tabs>
              <w:tab w:val="right" w:leader="dot" w:pos="8306"/>
              <w:tab w:val="clear" w:pos="8296"/>
            </w:tabs>
            <w:rPr>
              <w:sz w:val="24"/>
              <w:szCs w:val="24"/>
            </w:rPr>
          </w:pPr>
          <w:r>
            <w:rPr>
              <w:rFonts w:hint="eastAsia"/>
              <w:sz w:val="24"/>
              <w:szCs w:val="24"/>
              <w:lang w:val="en-US" w:eastAsia="zh-CN"/>
            </w:rPr>
            <w:t xml:space="preserve">   </w:t>
          </w:r>
          <w:r>
            <w:rPr>
              <w:rFonts w:hint="eastAsia"/>
              <w:sz w:val="24"/>
              <w:szCs w:val="24"/>
            </w:rPr>
            <w:fldChar w:fldCharType="begin"/>
          </w:r>
          <w:r>
            <w:rPr>
              <w:rFonts w:hint="eastAsia"/>
              <w:sz w:val="24"/>
              <w:szCs w:val="24"/>
            </w:rPr>
            <w:instrText xml:space="preserve"> HYPERLINK \l _Toc19311 </w:instrText>
          </w:r>
          <w:r>
            <w:rPr>
              <w:rFonts w:hint="eastAsia"/>
              <w:sz w:val="24"/>
              <w:szCs w:val="24"/>
            </w:rPr>
            <w:fldChar w:fldCharType="separate"/>
          </w:r>
          <w:r>
            <w:rPr>
              <w:rFonts w:hint="eastAsia" w:ascii="黑体" w:hAnsi="黑体" w:eastAsia="黑体"/>
              <w:bCs/>
              <w:sz w:val="24"/>
              <w:szCs w:val="24"/>
              <w:highlight w:val="none"/>
            </w:rPr>
            <w:t xml:space="preserve">第二部分 </w:t>
          </w:r>
          <w:r>
            <w:rPr>
              <w:rFonts w:hint="eastAsia" w:ascii="黑体" w:hAnsi="黑体" w:eastAsia="黑体"/>
              <w:bCs/>
              <w:sz w:val="24"/>
              <w:szCs w:val="24"/>
              <w:highlight w:val="none"/>
              <w:lang w:val="en-US" w:eastAsia="zh-CN"/>
            </w:rPr>
            <w:t>2024年度</w:t>
          </w:r>
          <w:r>
            <w:rPr>
              <w:rFonts w:hint="eastAsia" w:ascii="黑体" w:hAnsi="黑体" w:eastAsia="黑体"/>
              <w:bCs/>
              <w:sz w:val="24"/>
              <w:szCs w:val="24"/>
              <w:highlight w:val="none"/>
            </w:rPr>
            <w:t>决算情况说明</w:t>
          </w:r>
          <w:r>
            <w:rPr>
              <w:sz w:val="24"/>
              <w:szCs w:val="24"/>
            </w:rPr>
            <w:tab/>
          </w:r>
          <w:r>
            <w:rPr>
              <w:sz w:val="24"/>
              <w:szCs w:val="24"/>
            </w:rPr>
            <w:fldChar w:fldCharType="begin"/>
          </w:r>
          <w:r>
            <w:rPr>
              <w:sz w:val="24"/>
              <w:szCs w:val="24"/>
            </w:rPr>
            <w:instrText xml:space="preserve"> PAGEREF _Toc19311 \h </w:instrText>
          </w:r>
          <w:r>
            <w:rPr>
              <w:sz w:val="24"/>
              <w:szCs w:val="24"/>
            </w:rPr>
            <w:fldChar w:fldCharType="separate"/>
          </w:r>
          <w:r>
            <w:rPr>
              <w:sz w:val="24"/>
              <w:szCs w:val="24"/>
            </w:rPr>
            <w:t>5</w:t>
          </w:r>
          <w:r>
            <w:rPr>
              <w:sz w:val="24"/>
              <w:szCs w:val="24"/>
            </w:rPr>
            <w:fldChar w:fldCharType="end"/>
          </w:r>
          <w:r>
            <w:rPr>
              <w:rFonts w:hint="eastAsia"/>
              <w:sz w:val="24"/>
              <w:szCs w:val="24"/>
            </w:rPr>
            <w:fldChar w:fldCharType="end"/>
          </w:r>
        </w:p>
        <w:p w14:paraId="1F183934">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_Toc1199 </w:instrText>
          </w:r>
          <w:r>
            <w:rPr>
              <w:rFonts w:hint="eastAsia"/>
              <w:sz w:val="24"/>
              <w:szCs w:val="24"/>
            </w:rPr>
            <w:fldChar w:fldCharType="separate"/>
          </w:r>
          <w:r>
            <w:rPr>
              <w:rFonts w:hint="default" w:ascii="黑体" w:hAnsi="黑体" w:eastAsia="黑体"/>
              <w:sz w:val="24"/>
              <w:szCs w:val="24"/>
            </w:rPr>
            <w:t xml:space="preserve">一、 </w:t>
          </w:r>
          <w:r>
            <w:rPr>
              <w:rFonts w:hint="eastAsia" w:ascii="黑体" w:hAnsi="黑体" w:eastAsia="黑体"/>
              <w:sz w:val="24"/>
              <w:szCs w:val="24"/>
              <w:highlight w:val="none"/>
            </w:rPr>
            <w:t>收入支出决算总体情况说明</w:t>
          </w:r>
          <w:r>
            <w:rPr>
              <w:sz w:val="24"/>
              <w:szCs w:val="24"/>
            </w:rPr>
            <w:tab/>
          </w:r>
          <w:r>
            <w:rPr>
              <w:sz w:val="24"/>
              <w:szCs w:val="24"/>
            </w:rPr>
            <w:fldChar w:fldCharType="begin"/>
          </w:r>
          <w:r>
            <w:rPr>
              <w:sz w:val="24"/>
              <w:szCs w:val="24"/>
            </w:rPr>
            <w:instrText xml:space="preserve"> PAGEREF _Toc1199 \h </w:instrText>
          </w:r>
          <w:r>
            <w:rPr>
              <w:sz w:val="24"/>
              <w:szCs w:val="24"/>
            </w:rPr>
            <w:fldChar w:fldCharType="separate"/>
          </w:r>
          <w:r>
            <w:rPr>
              <w:sz w:val="24"/>
              <w:szCs w:val="24"/>
            </w:rPr>
            <w:t>5</w:t>
          </w:r>
          <w:r>
            <w:rPr>
              <w:sz w:val="24"/>
              <w:szCs w:val="24"/>
            </w:rPr>
            <w:fldChar w:fldCharType="end"/>
          </w:r>
          <w:r>
            <w:rPr>
              <w:rFonts w:hint="eastAsia"/>
              <w:sz w:val="24"/>
              <w:szCs w:val="24"/>
            </w:rPr>
            <w:fldChar w:fldCharType="end"/>
          </w:r>
        </w:p>
        <w:p w14:paraId="2E7DB49D">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_Toc26053 </w:instrText>
          </w:r>
          <w:r>
            <w:rPr>
              <w:rFonts w:hint="eastAsia"/>
              <w:sz w:val="24"/>
              <w:szCs w:val="24"/>
            </w:rPr>
            <w:fldChar w:fldCharType="separate"/>
          </w:r>
          <w:r>
            <w:rPr>
              <w:rFonts w:hint="eastAsia" w:ascii="黑体" w:hAnsi="黑体" w:eastAsia="黑体" w:cs="黑体"/>
              <w:bCs/>
              <w:sz w:val="24"/>
              <w:szCs w:val="24"/>
              <w:highlight w:val="none"/>
              <w:lang w:val="en-US" w:eastAsia="zh-CN"/>
            </w:rPr>
            <w:t>二</w:t>
          </w:r>
          <w:r>
            <w:rPr>
              <w:rFonts w:hint="eastAsia" w:ascii="黑体" w:hAnsi="黑体" w:eastAsia="黑体" w:cs="黑体"/>
              <w:sz w:val="24"/>
              <w:szCs w:val="24"/>
              <w:highlight w:val="none"/>
              <w:lang w:val="en-US" w:eastAsia="zh-CN"/>
            </w:rPr>
            <w:t>、</w:t>
          </w:r>
          <w:r>
            <w:rPr>
              <w:rFonts w:hint="eastAsia" w:ascii="黑体" w:hAnsi="黑体" w:eastAsia="黑体" w:cs="黑体"/>
              <w:sz w:val="24"/>
              <w:szCs w:val="24"/>
              <w:highlight w:val="none"/>
            </w:rPr>
            <w:t>收入决算情况说明</w:t>
          </w:r>
          <w:r>
            <w:rPr>
              <w:sz w:val="24"/>
              <w:szCs w:val="24"/>
            </w:rPr>
            <w:tab/>
          </w:r>
          <w:r>
            <w:rPr>
              <w:sz w:val="24"/>
              <w:szCs w:val="24"/>
            </w:rPr>
            <w:fldChar w:fldCharType="begin"/>
          </w:r>
          <w:r>
            <w:rPr>
              <w:sz w:val="24"/>
              <w:szCs w:val="24"/>
            </w:rPr>
            <w:instrText xml:space="preserve"> PAGEREF _Toc26053 \h </w:instrText>
          </w:r>
          <w:r>
            <w:rPr>
              <w:sz w:val="24"/>
              <w:szCs w:val="24"/>
            </w:rPr>
            <w:fldChar w:fldCharType="separate"/>
          </w:r>
          <w:r>
            <w:rPr>
              <w:sz w:val="24"/>
              <w:szCs w:val="24"/>
            </w:rPr>
            <w:t>5</w:t>
          </w:r>
          <w:r>
            <w:rPr>
              <w:sz w:val="24"/>
              <w:szCs w:val="24"/>
            </w:rPr>
            <w:fldChar w:fldCharType="end"/>
          </w:r>
          <w:r>
            <w:rPr>
              <w:rFonts w:hint="eastAsia"/>
              <w:sz w:val="24"/>
              <w:szCs w:val="24"/>
            </w:rPr>
            <w:fldChar w:fldCharType="end"/>
          </w:r>
        </w:p>
        <w:p w14:paraId="6E7A3E0D">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_Toc24366 </w:instrText>
          </w:r>
          <w:r>
            <w:rPr>
              <w:rFonts w:hint="eastAsia"/>
              <w:sz w:val="24"/>
              <w:szCs w:val="24"/>
            </w:rPr>
            <w:fldChar w:fldCharType="separate"/>
          </w:r>
          <w:r>
            <w:rPr>
              <w:rFonts w:hint="eastAsia" w:ascii="黑体" w:hAnsi="黑体" w:eastAsia="黑体" w:cs="黑体"/>
              <w:sz w:val="24"/>
              <w:szCs w:val="24"/>
              <w:highlight w:val="none"/>
              <w:lang w:val="en-US" w:eastAsia="zh-CN"/>
            </w:rPr>
            <w:t>三、</w:t>
          </w:r>
          <w:r>
            <w:rPr>
              <w:rFonts w:hint="eastAsia" w:ascii="黑体" w:hAnsi="黑体" w:eastAsia="黑体" w:cs="黑体"/>
              <w:sz w:val="24"/>
              <w:szCs w:val="24"/>
              <w:highlight w:val="none"/>
            </w:rPr>
            <w:t>支出决算情况说明</w:t>
          </w:r>
          <w:r>
            <w:rPr>
              <w:sz w:val="24"/>
              <w:szCs w:val="24"/>
            </w:rPr>
            <w:tab/>
          </w:r>
          <w:r>
            <w:rPr>
              <w:sz w:val="24"/>
              <w:szCs w:val="24"/>
            </w:rPr>
            <w:fldChar w:fldCharType="begin"/>
          </w:r>
          <w:r>
            <w:rPr>
              <w:sz w:val="24"/>
              <w:szCs w:val="24"/>
            </w:rPr>
            <w:instrText xml:space="preserve"> PAGEREF _Toc24366 \h </w:instrText>
          </w:r>
          <w:r>
            <w:rPr>
              <w:sz w:val="24"/>
              <w:szCs w:val="24"/>
            </w:rPr>
            <w:fldChar w:fldCharType="separate"/>
          </w:r>
          <w:r>
            <w:rPr>
              <w:sz w:val="24"/>
              <w:szCs w:val="24"/>
            </w:rPr>
            <w:t>6</w:t>
          </w:r>
          <w:r>
            <w:rPr>
              <w:sz w:val="24"/>
              <w:szCs w:val="24"/>
            </w:rPr>
            <w:fldChar w:fldCharType="end"/>
          </w:r>
          <w:r>
            <w:rPr>
              <w:rFonts w:hint="eastAsia"/>
              <w:sz w:val="24"/>
              <w:szCs w:val="24"/>
            </w:rPr>
            <w:fldChar w:fldCharType="end"/>
          </w:r>
        </w:p>
        <w:p w14:paraId="546304C3">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_Toc4964 </w:instrText>
          </w:r>
          <w:r>
            <w:rPr>
              <w:rFonts w:hint="eastAsia"/>
              <w:sz w:val="24"/>
              <w:szCs w:val="24"/>
            </w:rPr>
            <w:fldChar w:fldCharType="separate"/>
          </w:r>
          <w:r>
            <w:rPr>
              <w:rFonts w:hint="eastAsia" w:ascii="黑体" w:hAnsi="黑体" w:eastAsia="黑体" w:cs="黑体"/>
              <w:sz w:val="24"/>
              <w:szCs w:val="24"/>
            </w:rPr>
            <w:t xml:space="preserve">四、 </w:t>
          </w:r>
          <w:r>
            <w:rPr>
              <w:rFonts w:hint="eastAsia" w:ascii="黑体" w:hAnsi="黑体" w:eastAsia="黑体"/>
              <w:sz w:val="24"/>
              <w:szCs w:val="24"/>
              <w:highlight w:val="none"/>
            </w:rPr>
            <w:t>财政拨款收入支出决算总体情况说明</w:t>
          </w:r>
          <w:r>
            <w:rPr>
              <w:sz w:val="24"/>
              <w:szCs w:val="24"/>
            </w:rPr>
            <w:tab/>
          </w:r>
          <w:r>
            <w:rPr>
              <w:sz w:val="24"/>
              <w:szCs w:val="24"/>
            </w:rPr>
            <w:fldChar w:fldCharType="begin"/>
          </w:r>
          <w:r>
            <w:rPr>
              <w:sz w:val="24"/>
              <w:szCs w:val="24"/>
            </w:rPr>
            <w:instrText xml:space="preserve"> PAGEREF _Toc4964 \h </w:instrText>
          </w:r>
          <w:r>
            <w:rPr>
              <w:sz w:val="24"/>
              <w:szCs w:val="24"/>
            </w:rPr>
            <w:fldChar w:fldCharType="separate"/>
          </w:r>
          <w:r>
            <w:rPr>
              <w:sz w:val="24"/>
              <w:szCs w:val="24"/>
            </w:rPr>
            <w:t>6</w:t>
          </w:r>
          <w:r>
            <w:rPr>
              <w:sz w:val="24"/>
              <w:szCs w:val="24"/>
            </w:rPr>
            <w:fldChar w:fldCharType="end"/>
          </w:r>
          <w:r>
            <w:rPr>
              <w:rFonts w:hint="eastAsia"/>
              <w:sz w:val="24"/>
              <w:szCs w:val="24"/>
            </w:rPr>
            <w:fldChar w:fldCharType="end"/>
          </w:r>
        </w:p>
        <w:p w14:paraId="229462C0">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_Toc29221 </w:instrText>
          </w:r>
          <w:r>
            <w:rPr>
              <w:rFonts w:hint="eastAsia"/>
              <w:sz w:val="24"/>
              <w:szCs w:val="24"/>
            </w:rPr>
            <w:fldChar w:fldCharType="separate"/>
          </w:r>
          <w:r>
            <w:rPr>
              <w:rFonts w:hint="eastAsia" w:ascii="黑体" w:hAnsi="黑体" w:eastAsia="黑体"/>
              <w:sz w:val="24"/>
              <w:szCs w:val="24"/>
              <w:highlight w:val="none"/>
            </w:rPr>
            <w:t>五、一般公共预算财政拨款支出决算情况说明</w:t>
          </w:r>
          <w:r>
            <w:rPr>
              <w:sz w:val="24"/>
              <w:szCs w:val="24"/>
            </w:rPr>
            <w:tab/>
          </w:r>
          <w:r>
            <w:rPr>
              <w:sz w:val="24"/>
              <w:szCs w:val="24"/>
            </w:rPr>
            <w:fldChar w:fldCharType="begin"/>
          </w:r>
          <w:r>
            <w:rPr>
              <w:sz w:val="24"/>
              <w:szCs w:val="24"/>
            </w:rPr>
            <w:instrText xml:space="preserve"> PAGEREF _Toc29221 \h </w:instrText>
          </w:r>
          <w:r>
            <w:rPr>
              <w:sz w:val="24"/>
              <w:szCs w:val="24"/>
            </w:rPr>
            <w:fldChar w:fldCharType="separate"/>
          </w:r>
          <w:r>
            <w:rPr>
              <w:sz w:val="24"/>
              <w:szCs w:val="24"/>
            </w:rPr>
            <w:t>7</w:t>
          </w:r>
          <w:r>
            <w:rPr>
              <w:sz w:val="24"/>
              <w:szCs w:val="24"/>
            </w:rPr>
            <w:fldChar w:fldCharType="end"/>
          </w:r>
          <w:r>
            <w:rPr>
              <w:rFonts w:hint="eastAsia"/>
              <w:sz w:val="24"/>
              <w:szCs w:val="24"/>
            </w:rPr>
            <w:fldChar w:fldCharType="end"/>
          </w:r>
        </w:p>
        <w:p w14:paraId="0E13A83E">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_Toc3500 </w:instrText>
          </w:r>
          <w:r>
            <w:rPr>
              <w:rFonts w:hint="eastAsia"/>
              <w:sz w:val="24"/>
              <w:szCs w:val="24"/>
            </w:rPr>
            <w:fldChar w:fldCharType="separate"/>
          </w:r>
          <w:r>
            <w:rPr>
              <w:rFonts w:hint="eastAsia" w:ascii="黑体" w:eastAsia="黑体"/>
              <w:sz w:val="24"/>
              <w:szCs w:val="24"/>
              <w:highlight w:val="none"/>
            </w:rPr>
            <w:t>六、</w:t>
          </w:r>
          <w:r>
            <w:rPr>
              <w:rFonts w:hint="eastAsia" w:ascii="黑体" w:hAnsi="黑体" w:eastAsia="黑体"/>
              <w:sz w:val="24"/>
              <w:szCs w:val="24"/>
              <w:highlight w:val="none"/>
            </w:rPr>
            <w:t>一般公共预算财政拨款基本支出决算情况说明</w:t>
          </w:r>
          <w:r>
            <w:rPr>
              <w:sz w:val="24"/>
              <w:szCs w:val="24"/>
            </w:rPr>
            <w:tab/>
          </w:r>
          <w:r>
            <w:rPr>
              <w:sz w:val="24"/>
              <w:szCs w:val="24"/>
            </w:rPr>
            <w:fldChar w:fldCharType="begin"/>
          </w:r>
          <w:r>
            <w:rPr>
              <w:sz w:val="24"/>
              <w:szCs w:val="24"/>
            </w:rPr>
            <w:instrText xml:space="preserve"> PAGEREF _Toc3500 \h </w:instrText>
          </w:r>
          <w:r>
            <w:rPr>
              <w:sz w:val="24"/>
              <w:szCs w:val="24"/>
            </w:rPr>
            <w:fldChar w:fldCharType="separate"/>
          </w:r>
          <w:r>
            <w:rPr>
              <w:sz w:val="24"/>
              <w:szCs w:val="24"/>
            </w:rPr>
            <w:t>9</w:t>
          </w:r>
          <w:r>
            <w:rPr>
              <w:sz w:val="24"/>
              <w:szCs w:val="24"/>
            </w:rPr>
            <w:fldChar w:fldCharType="end"/>
          </w:r>
          <w:r>
            <w:rPr>
              <w:rFonts w:hint="eastAsia"/>
              <w:sz w:val="24"/>
              <w:szCs w:val="24"/>
            </w:rPr>
            <w:fldChar w:fldCharType="end"/>
          </w:r>
        </w:p>
        <w:p w14:paraId="428B7540">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_Toc21988 </w:instrText>
          </w:r>
          <w:r>
            <w:rPr>
              <w:rFonts w:hint="eastAsia"/>
              <w:sz w:val="24"/>
              <w:szCs w:val="24"/>
            </w:rPr>
            <w:fldChar w:fldCharType="separate"/>
          </w:r>
          <w:r>
            <w:rPr>
              <w:rFonts w:hint="eastAsia" w:ascii="黑体" w:eastAsia="黑体"/>
              <w:sz w:val="24"/>
              <w:szCs w:val="24"/>
              <w:highlight w:val="none"/>
            </w:rPr>
            <w:t>七、</w:t>
          </w:r>
          <w:r>
            <w:rPr>
              <w:rFonts w:hint="eastAsia" w:ascii="黑体" w:hAnsi="黑体" w:eastAsia="黑体"/>
              <w:sz w:val="24"/>
              <w:szCs w:val="24"/>
              <w:highlight w:val="none"/>
            </w:rPr>
            <w:t>财政拨款“三公”经费支出决算情况说明</w:t>
          </w:r>
          <w:r>
            <w:rPr>
              <w:sz w:val="24"/>
              <w:szCs w:val="24"/>
            </w:rPr>
            <w:tab/>
          </w:r>
          <w:r>
            <w:rPr>
              <w:sz w:val="24"/>
              <w:szCs w:val="24"/>
            </w:rPr>
            <w:fldChar w:fldCharType="begin"/>
          </w:r>
          <w:r>
            <w:rPr>
              <w:sz w:val="24"/>
              <w:szCs w:val="24"/>
            </w:rPr>
            <w:instrText xml:space="preserve"> PAGEREF _Toc21988 \h </w:instrText>
          </w:r>
          <w:r>
            <w:rPr>
              <w:sz w:val="24"/>
              <w:szCs w:val="24"/>
            </w:rPr>
            <w:fldChar w:fldCharType="separate"/>
          </w:r>
          <w:r>
            <w:rPr>
              <w:sz w:val="24"/>
              <w:szCs w:val="24"/>
            </w:rPr>
            <w:t>10</w:t>
          </w:r>
          <w:r>
            <w:rPr>
              <w:sz w:val="24"/>
              <w:szCs w:val="24"/>
            </w:rPr>
            <w:fldChar w:fldCharType="end"/>
          </w:r>
          <w:r>
            <w:rPr>
              <w:rFonts w:hint="eastAsia"/>
              <w:sz w:val="24"/>
              <w:szCs w:val="24"/>
            </w:rPr>
            <w:fldChar w:fldCharType="end"/>
          </w:r>
        </w:p>
        <w:p w14:paraId="221C9108">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_Toc9789 </w:instrText>
          </w:r>
          <w:r>
            <w:rPr>
              <w:rFonts w:hint="eastAsia"/>
              <w:sz w:val="24"/>
              <w:szCs w:val="24"/>
            </w:rPr>
            <w:fldChar w:fldCharType="separate"/>
          </w:r>
          <w:r>
            <w:rPr>
              <w:rFonts w:hint="eastAsia" w:ascii="黑体" w:eastAsia="黑体"/>
              <w:sz w:val="24"/>
              <w:szCs w:val="24"/>
              <w:highlight w:val="none"/>
            </w:rPr>
            <w:t>八、</w:t>
          </w:r>
          <w:r>
            <w:rPr>
              <w:rFonts w:hint="eastAsia" w:ascii="黑体" w:hAnsi="黑体" w:eastAsia="黑体"/>
              <w:sz w:val="24"/>
              <w:szCs w:val="24"/>
              <w:highlight w:val="none"/>
            </w:rPr>
            <w:t>政府性基金预算支出决算情况说明</w:t>
          </w:r>
          <w:r>
            <w:rPr>
              <w:sz w:val="24"/>
              <w:szCs w:val="24"/>
            </w:rPr>
            <w:tab/>
          </w:r>
          <w:r>
            <w:rPr>
              <w:sz w:val="24"/>
              <w:szCs w:val="24"/>
            </w:rPr>
            <w:fldChar w:fldCharType="begin"/>
          </w:r>
          <w:r>
            <w:rPr>
              <w:sz w:val="24"/>
              <w:szCs w:val="24"/>
            </w:rPr>
            <w:instrText xml:space="preserve"> PAGEREF _Toc9789 \h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14:paraId="2395F65E">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_Toc3551 </w:instrText>
          </w:r>
          <w:r>
            <w:rPr>
              <w:rFonts w:hint="eastAsia"/>
              <w:sz w:val="24"/>
              <w:szCs w:val="24"/>
            </w:rPr>
            <w:fldChar w:fldCharType="separate"/>
          </w:r>
          <w:r>
            <w:rPr>
              <w:rFonts w:hint="eastAsia" w:ascii="黑体" w:hAnsi="黑体" w:eastAsia="黑体"/>
              <w:sz w:val="24"/>
              <w:szCs w:val="24"/>
            </w:rPr>
            <w:t xml:space="preserve">九、 </w:t>
          </w:r>
          <w:r>
            <w:rPr>
              <w:rFonts w:hint="eastAsia" w:ascii="黑体" w:hAnsi="黑体" w:eastAsia="黑体"/>
              <w:sz w:val="24"/>
              <w:szCs w:val="24"/>
              <w:highlight w:val="none"/>
            </w:rPr>
            <w:t>国有资本经营预算支出决算情况说明</w:t>
          </w:r>
          <w:r>
            <w:rPr>
              <w:sz w:val="24"/>
              <w:szCs w:val="24"/>
            </w:rPr>
            <w:tab/>
          </w:r>
          <w:r>
            <w:rPr>
              <w:sz w:val="24"/>
              <w:szCs w:val="24"/>
            </w:rPr>
            <w:fldChar w:fldCharType="begin"/>
          </w:r>
          <w:r>
            <w:rPr>
              <w:sz w:val="24"/>
              <w:szCs w:val="24"/>
            </w:rPr>
            <w:instrText xml:space="preserve"> PAGEREF _Toc3551 \h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14:paraId="4F201571">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_Toc4580 </w:instrText>
          </w:r>
          <w:r>
            <w:rPr>
              <w:rFonts w:hint="eastAsia"/>
              <w:sz w:val="24"/>
              <w:szCs w:val="24"/>
            </w:rPr>
            <w:fldChar w:fldCharType="separate"/>
          </w:r>
          <w:r>
            <w:rPr>
              <w:rFonts w:hint="eastAsia" w:ascii="黑体" w:hAnsi="黑体" w:eastAsia="黑体"/>
              <w:sz w:val="24"/>
              <w:szCs w:val="24"/>
            </w:rPr>
            <w:t xml:space="preserve">十、 </w:t>
          </w:r>
          <w:r>
            <w:rPr>
              <w:rFonts w:hint="eastAsia" w:ascii="黑体" w:hAnsi="黑体" w:eastAsia="黑体"/>
              <w:sz w:val="24"/>
              <w:szCs w:val="24"/>
              <w:highlight w:val="none"/>
            </w:rPr>
            <w:t>其他重要事项的情况说明</w:t>
          </w:r>
          <w:r>
            <w:rPr>
              <w:sz w:val="24"/>
              <w:szCs w:val="24"/>
            </w:rPr>
            <w:tab/>
          </w:r>
          <w:r>
            <w:rPr>
              <w:sz w:val="24"/>
              <w:szCs w:val="24"/>
            </w:rPr>
            <w:fldChar w:fldCharType="begin"/>
          </w:r>
          <w:r>
            <w:rPr>
              <w:sz w:val="24"/>
              <w:szCs w:val="24"/>
            </w:rPr>
            <w:instrText xml:space="preserve"> PAGEREF _Toc4580 \h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14:paraId="1AA79578">
          <w:pPr>
            <w:pStyle w:val="12"/>
            <w:tabs>
              <w:tab w:val="right" w:leader="dot" w:pos="8306"/>
              <w:tab w:val="clear" w:pos="8296"/>
            </w:tabs>
            <w:rPr>
              <w:sz w:val="24"/>
              <w:szCs w:val="24"/>
            </w:rPr>
          </w:pPr>
          <w:r>
            <w:rPr>
              <w:rFonts w:hint="eastAsia"/>
              <w:sz w:val="24"/>
              <w:szCs w:val="24"/>
              <w:lang w:val="en-US" w:eastAsia="zh-CN"/>
            </w:rPr>
            <w:t xml:space="preserve">   </w:t>
          </w:r>
          <w:r>
            <w:rPr>
              <w:rFonts w:hint="eastAsia"/>
              <w:sz w:val="24"/>
              <w:szCs w:val="24"/>
            </w:rPr>
            <w:fldChar w:fldCharType="begin"/>
          </w:r>
          <w:r>
            <w:rPr>
              <w:rFonts w:hint="eastAsia"/>
              <w:sz w:val="24"/>
              <w:szCs w:val="24"/>
            </w:rPr>
            <w:instrText xml:space="preserve"> HYPERLINK \l _Toc17989 </w:instrText>
          </w:r>
          <w:r>
            <w:rPr>
              <w:rFonts w:hint="eastAsia"/>
              <w:sz w:val="24"/>
              <w:szCs w:val="24"/>
            </w:rPr>
            <w:fldChar w:fldCharType="separate"/>
          </w:r>
          <w:r>
            <w:rPr>
              <w:rFonts w:hint="eastAsia" w:ascii="黑体" w:hAnsi="黑体" w:eastAsia="黑体"/>
              <w:sz w:val="24"/>
              <w:szCs w:val="24"/>
            </w:rPr>
            <w:t xml:space="preserve">第三部分 </w:t>
          </w:r>
          <w:r>
            <w:rPr>
              <w:rFonts w:hint="eastAsia" w:ascii="黑体" w:hAnsi="黑体" w:eastAsia="黑体"/>
              <w:sz w:val="24"/>
              <w:szCs w:val="24"/>
              <w:highlight w:val="none"/>
            </w:rPr>
            <w:t>名词解释</w:t>
          </w:r>
          <w:r>
            <w:rPr>
              <w:sz w:val="24"/>
              <w:szCs w:val="24"/>
            </w:rPr>
            <w:tab/>
          </w:r>
          <w:r>
            <w:rPr>
              <w:sz w:val="24"/>
              <w:szCs w:val="24"/>
            </w:rPr>
            <w:fldChar w:fldCharType="begin"/>
          </w:r>
          <w:r>
            <w:rPr>
              <w:sz w:val="24"/>
              <w:szCs w:val="24"/>
            </w:rPr>
            <w:instrText xml:space="preserve"> PAGEREF _Toc17989 \h </w:instrText>
          </w:r>
          <w:r>
            <w:rPr>
              <w:sz w:val="24"/>
              <w:szCs w:val="24"/>
            </w:rPr>
            <w:fldChar w:fldCharType="separate"/>
          </w:r>
          <w:r>
            <w:rPr>
              <w:sz w:val="24"/>
              <w:szCs w:val="24"/>
            </w:rPr>
            <w:t>15</w:t>
          </w:r>
          <w:r>
            <w:rPr>
              <w:sz w:val="24"/>
              <w:szCs w:val="24"/>
            </w:rPr>
            <w:fldChar w:fldCharType="end"/>
          </w:r>
          <w:r>
            <w:rPr>
              <w:rFonts w:hint="eastAsia"/>
              <w:sz w:val="24"/>
              <w:szCs w:val="24"/>
            </w:rPr>
            <w:fldChar w:fldCharType="end"/>
          </w:r>
        </w:p>
        <w:p w14:paraId="5DA78379">
          <w:pPr>
            <w:pStyle w:val="12"/>
            <w:tabs>
              <w:tab w:val="right" w:leader="dot" w:pos="8306"/>
              <w:tab w:val="clear" w:pos="8296"/>
            </w:tabs>
            <w:rPr>
              <w:sz w:val="24"/>
              <w:szCs w:val="24"/>
            </w:rPr>
          </w:pPr>
          <w:r>
            <w:rPr>
              <w:rFonts w:hint="eastAsia"/>
              <w:sz w:val="24"/>
              <w:szCs w:val="24"/>
              <w:lang w:val="en-US" w:eastAsia="zh-CN"/>
            </w:rPr>
            <w:t xml:space="preserve">   </w:t>
          </w:r>
          <w:r>
            <w:rPr>
              <w:rFonts w:hint="eastAsia"/>
              <w:sz w:val="24"/>
              <w:szCs w:val="24"/>
            </w:rPr>
            <w:fldChar w:fldCharType="begin"/>
          </w:r>
          <w:r>
            <w:rPr>
              <w:rFonts w:hint="eastAsia"/>
              <w:sz w:val="24"/>
              <w:szCs w:val="24"/>
            </w:rPr>
            <w:instrText xml:space="preserve"> HYPERLINK \l _Toc21570 </w:instrText>
          </w:r>
          <w:r>
            <w:rPr>
              <w:rFonts w:hint="eastAsia"/>
              <w:sz w:val="24"/>
              <w:szCs w:val="24"/>
            </w:rPr>
            <w:fldChar w:fldCharType="separate"/>
          </w:r>
          <w:r>
            <w:rPr>
              <w:rFonts w:hint="eastAsia" w:ascii="黑体" w:hAnsi="黑体" w:eastAsia="黑体"/>
              <w:sz w:val="24"/>
              <w:szCs w:val="24"/>
            </w:rPr>
            <w:t xml:space="preserve">第四部分 </w:t>
          </w:r>
          <w:r>
            <w:rPr>
              <w:rFonts w:hint="eastAsia" w:ascii="黑体" w:hAnsi="黑体" w:eastAsia="黑体"/>
              <w:sz w:val="24"/>
              <w:szCs w:val="24"/>
              <w:highlight w:val="none"/>
            </w:rPr>
            <w:t>附件</w:t>
          </w:r>
          <w:r>
            <w:rPr>
              <w:sz w:val="24"/>
              <w:szCs w:val="24"/>
            </w:rPr>
            <w:tab/>
          </w:r>
          <w:r>
            <w:rPr>
              <w:sz w:val="24"/>
              <w:szCs w:val="24"/>
            </w:rPr>
            <w:fldChar w:fldCharType="begin"/>
          </w:r>
          <w:r>
            <w:rPr>
              <w:sz w:val="24"/>
              <w:szCs w:val="24"/>
            </w:rPr>
            <w:instrText xml:space="preserve"> PAGEREF _Toc21570 \h </w:instrText>
          </w:r>
          <w:r>
            <w:rPr>
              <w:sz w:val="24"/>
              <w:szCs w:val="24"/>
            </w:rPr>
            <w:fldChar w:fldCharType="separate"/>
          </w:r>
          <w:r>
            <w:rPr>
              <w:sz w:val="24"/>
              <w:szCs w:val="24"/>
            </w:rPr>
            <w:t>19</w:t>
          </w:r>
          <w:r>
            <w:rPr>
              <w:sz w:val="24"/>
              <w:szCs w:val="24"/>
            </w:rPr>
            <w:fldChar w:fldCharType="end"/>
          </w:r>
          <w:r>
            <w:rPr>
              <w:rFonts w:hint="eastAsia"/>
              <w:sz w:val="24"/>
              <w:szCs w:val="24"/>
            </w:rPr>
            <w:fldChar w:fldCharType="end"/>
          </w:r>
        </w:p>
        <w:p w14:paraId="111B43AC">
          <w:pPr>
            <w:pStyle w:val="12"/>
            <w:tabs>
              <w:tab w:val="right" w:leader="dot" w:pos="8306"/>
              <w:tab w:val="clear" w:pos="8296"/>
            </w:tabs>
            <w:rPr>
              <w:sz w:val="24"/>
              <w:szCs w:val="24"/>
            </w:rPr>
          </w:pPr>
          <w:r>
            <w:rPr>
              <w:rFonts w:hint="eastAsia"/>
              <w:sz w:val="24"/>
              <w:szCs w:val="24"/>
              <w:lang w:val="en-US" w:eastAsia="zh-CN"/>
            </w:rPr>
            <w:t xml:space="preserve">   </w:t>
          </w:r>
          <w:r>
            <w:rPr>
              <w:rFonts w:hint="eastAsia"/>
              <w:sz w:val="24"/>
              <w:szCs w:val="24"/>
            </w:rPr>
            <w:fldChar w:fldCharType="begin"/>
          </w:r>
          <w:r>
            <w:rPr>
              <w:rFonts w:hint="eastAsia"/>
              <w:sz w:val="24"/>
              <w:szCs w:val="24"/>
            </w:rPr>
            <w:instrText xml:space="preserve"> HYPERLINK \l _Toc9117 </w:instrText>
          </w:r>
          <w:r>
            <w:rPr>
              <w:rFonts w:hint="eastAsia"/>
              <w:sz w:val="24"/>
              <w:szCs w:val="24"/>
            </w:rPr>
            <w:fldChar w:fldCharType="separate"/>
          </w:r>
          <w:r>
            <w:rPr>
              <w:rFonts w:hint="eastAsia" w:ascii="黑体" w:hAnsi="黑体" w:eastAsia="黑体"/>
              <w:sz w:val="24"/>
              <w:szCs w:val="24"/>
              <w:highlight w:val="none"/>
            </w:rPr>
            <w:t>第五部分 附表</w:t>
          </w:r>
          <w:r>
            <w:rPr>
              <w:sz w:val="24"/>
              <w:szCs w:val="24"/>
            </w:rPr>
            <w:tab/>
          </w:r>
          <w:r>
            <w:rPr>
              <w:sz w:val="24"/>
              <w:szCs w:val="24"/>
            </w:rPr>
            <w:fldChar w:fldCharType="begin"/>
          </w:r>
          <w:r>
            <w:rPr>
              <w:sz w:val="24"/>
              <w:szCs w:val="24"/>
            </w:rPr>
            <w:instrText xml:space="preserve"> PAGEREF _Toc9117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5A42B128">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_Toc6530 </w:instrText>
          </w:r>
          <w:r>
            <w:rPr>
              <w:rFonts w:hint="eastAsia"/>
              <w:sz w:val="24"/>
              <w:szCs w:val="24"/>
            </w:rPr>
            <w:fldChar w:fldCharType="separate"/>
          </w:r>
          <w:r>
            <w:rPr>
              <w:rFonts w:hint="eastAsia" w:ascii="黑体" w:hAnsi="黑体" w:eastAsia="黑体" w:cs="黑体"/>
              <w:bCs w:val="0"/>
              <w:sz w:val="24"/>
              <w:szCs w:val="24"/>
            </w:rPr>
            <w:t>一、收入支出决算总表</w:t>
          </w:r>
          <w:r>
            <w:rPr>
              <w:sz w:val="24"/>
              <w:szCs w:val="24"/>
            </w:rPr>
            <w:tab/>
          </w:r>
          <w:r>
            <w:rPr>
              <w:sz w:val="24"/>
              <w:szCs w:val="24"/>
            </w:rPr>
            <w:fldChar w:fldCharType="begin"/>
          </w:r>
          <w:r>
            <w:rPr>
              <w:sz w:val="24"/>
              <w:szCs w:val="24"/>
            </w:rPr>
            <w:instrText xml:space="preserve"> PAGEREF _Toc6530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7469DF01">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_Toc23584 </w:instrText>
          </w:r>
          <w:r>
            <w:rPr>
              <w:rFonts w:hint="eastAsia"/>
              <w:sz w:val="24"/>
              <w:szCs w:val="24"/>
            </w:rPr>
            <w:fldChar w:fldCharType="separate"/>
          </w:r>
          <w:r>
            <w:rPr>
              <w:rFonts w:hint="eastAsia" w:ascii="黑体" w:hAnsi="黑体" w:eastAsia="黑体" w:cs="黑体"/>
              <w:bCs w:val="0"/>
              <w:sz w:val="24"/>
              <w:szCs w:val="24"/>
            </w:rPr>
            <w:t>二、收入决算表</w:t>
          </w:r>
          <w:r>
            <w:rPr>
              <w:sz w:val="24"/>
              <w:szCs w:val="24"/>
            </w:rPr>
            <w:tab/>
          </w:r>
          <w:r>
            <w:rPr>
              <w:sz w:val="24"/>
              <w:szCs w:val="24"/>
            </w:rPr>
            <w:fldChar w:fldCharType="begin"/>
          </w:r>
          <w:r>
            <w:rPr>
              <w:sz w:val="24"/>
              <w:szCs w:val="24"/>
            </w:rPr>
            <w:instrText xml:space="preserve"> PAGEREF _Toc23584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62B4D256">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_Toc30415 </w:instrText>
          </w:r>
          <w:r>
            <w:rPr>
              <w:rFonts w:hint="eastAsia"/>
              <w:sz w:val="24"/>
              <w:szCs w:val="24"/>
            </w:rPr>
            <w:fldChar w:fldCharType="separate"/>
          </w:r>
          <w:r>
            <w:rPr>
              <w:rFonts w:hint="eastAsia" w:ascii="黑体" w:hAnsi="黑体" w:eastAsia="黑体" w:cs="黑体"/>
              <w:bCs w:val="0"/>
              <w:sz w:val="24"/>
              <w:szCs w:val="24"/>
            </w:rPr>
            <w:t>三、支出决算表</w:t>
          </w:r>
          <w:r>
            <w:rPr>
              <w:sz w:val="24"/>
              <w:szCs w:val="24"/>
            </w:rPr>
            <w:tab/>
          </w:r>
          <w:r>
            <w:rPr>
              <w:sz w:val="24"/>
              <w:szCs w:val="24"/>
            </w:rPr>
            <w:fldChar w:fldCharType="begin"/>
          </w:r>
          <w:r>
            <w:rPr>
              <w:sz w:val="24"/>
              <w:szCs w:val="24"/>
            </w:rPr>
            <w:instrText xml:space="preserve"> PAGEREF _Toc30415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65FC6972">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_Toc20696 </w:instrText>
          </w:r>
          <w:r>
            <w:rPr>
              <w:rFonts w:hint="eastAsia"/>
              <w:sz w:val="24"/>
              <w:szCs w:val="24"/>
            </w:rPr>
            <w:fldChar w:fldCharType="separate"/>
          </w:r>
          <w:r>
            <w:rPr>
              <w:rFonts w:hint="eastAsia" w:ascii="黑体" w:hAnsi="黑体" w:eastAsia="黑体" w:cs="黑体"/>
              <w:bCs w:val="0"/>
              <w:sz w:val="24"/>
              <w:szCs w:val="24"/>
            </w:rPr>
            <w:t>四、财政拨款收入支出决算总表</w:t>
          </w:r>
          <w:r>
            <w:rPr>
              <w:sz w:val="24"/>
              <w:szCs w:val="24"/>
            </w:rPr>
            <w:tab/>
          </w:r>
          <w:r>
            <w:rPr>
              <w:sz w:val="24"/>
              <w:szCs w:val="24"/>
            </w:rPr>
            <w:fldChar w:fldCharType="begin"/>
          </w:r>
          <w:r>
            <w:rPr>
              <w:sz w:val="24"/>
              <w:szCs w:val="24"/>
            </w:rPr>
            <w:instrText xml:space="preserve"> PAGEREF _Toc20696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0684811C">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_Toc3949 </w:instrText>
          </w:r>
          <w:r>
            <w:rPr>
              <w:rFonts w:hint="eastAsia"/>
              <w:sz w:val="24"/>
              <w:szCs w:val="24"/>
            </w:rPr>
            <w:fldChar w:fldCharType="separate"/>
          </w:r>
          <w:r>
            <w:rPr>
              <w:rFonts w:hint="eastAsia" w:ascii="黑体" w:hAnsi="黑体" w:eastAsia="黑体" w:cs="黑体"/>
              <w:bCs w:val="0"/>
              <w:sz w:val="24"/>
              <w:szCs w:val="24"/>
            </w:rPr>
            <w:t>五、财政拨款支出决算明细表</w:t>
          </w:r>
          <w:r>
            <w:rPr>
              <w:sz w:val="24"/>
              <w:szCs w:val="24"/>
            </w:rPr>
            <w:tab/>
          </w:r>
          <w:r>
            <w:rPr>
              <w:sz w:val="24"/>
              <w:szCs w:val="24"/>
            </w:rPr>
            <w:fldChar w:fldCharType="begin"/>
          </w:r>
          <w:r>
            <w:rPr>
              <w:sz w:val="24"/>
              <w:szCs w:val="24"/>
            </w:rPr>
            <w:instrText xml:space="preserve"> PAGEREF _Toc3949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36C3B4D4">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_Toc19668 </w:instrText>
          </w:r>
          <w:r>
            <w:rPr>
              <w:rFonts w:hint="eastAsia"/>
              <w:sz w:val="24"/>
              <w:szCs w:val="24"/>
            </w:rPr>
            <w:fldChar w:fldCharType="separate"/>
          </w:r>
          <w:r>
            <w:rPr>
              <w:rFonts w:hint="eastAsia" w:ascii="黑体" w:hAnsi="黑体" w:eastAsia="黑体" w:cs="黑体"/>
              <w:bCs w:val="0"/>
              <w:sz w:val="24"/>
              <w:szCs w:val="24"/>
            </w:rPr>
            <w:t>六、一般公共预算财政拨款支出决算表</w:t>
          </w:r>
          <w:r>
            <w:rPr>
              <w:sz w:val="24"/>
              <w:szCs w:val="24"/>
            </w:rPr>
            <w:tab/>
          </w:r>
          <w:r>
            <w:rPr>
              <w:sz w:val="24"/>
              <w:szCs w:val="24"/>
            </w:rPr>
            <w:fldChar w:fldCharType="begin"/>
          </w:r>
          <w:r>
            <w:rPr>
              <w:sz w:val="24"/>
              <w:szCs w:val="24"/>
            </w:rPr>
            <w:instrText xml:space="preserve"> PAGEREF _Toc19668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09FEA34D">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_Toc19357 </w:instrText>
          </w:r>
          <w:r>
            <w:rPr>
              <w:rFonts w:hint="eastAsia"/>
              <w:sz w:val="24"/>
              <w:szCs w:val="24"/>
            </w:rPr>
            <w:fldChar w:fldCharType="separate"/>
          </w:r>
          <w:r>
            <w:rPr>
              <w:rFonts w:hint="eastAsia" w:ascii="黑体" w:hAnsi="黑体" w:eastAsia="黑体" w:cs="黑体"/>
              <w:bCs w:val="0"/>
              <w:sz w:val="24"/>
              <w:szCs w:val="24"/>
            </w:rPr>
            <w:t>七、一般公共预算财政拨款支出决算明细表</w:t>
          </w:r>
          <w:r>
            <w:rPr>
              <w:sz w:val="24"/>
              <w:szCs w:val="24"/>
            </w:rPr>
            <w:tab/>
          </w:r>
          <w:r>
            <w:rPr>
              <w:sz w:val="24"/>
              <w:szCs w:val="24"/>
            </w:rPr>
            <w:fldChar w:fldCharType="begin"/>
          </w:r>
          <w:r>
            <w:rPr>
              <w:sz w:val="24"/>
              <w:szCs w:val="24"/>
            </w:rPr>
            <w:instrText xml:space="preserve"> PAGEREF _Toc19357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491EE632">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_Toc757 </w:instrText>
          </w:r>
          <w:r>
            <w:rPr>
              <w:rFonts w:hint="eastAsia"/>
              <w:sz w:val="24"/>
              <w:szCs w:val="24"/>
            </w:rPr>
            <w:fldChar w:fldCharType="separate"/>
          </w:r>
          <w:r>
            <w:rPr>
              <w:rFonts w:hint="eastAsia" w:ascii="黑体" w:hAnsi="黑体" w:eastAsia="黑体" w:cs="黑体"/>
              <w:bCs w:val="0"/>
              <w:sz w:val="24"/>
              <w:szCs w:val="24"/>
            </w:rPr>
            <w:t>八、一般公共预算财政拨款基本支出决算表</w:t>
          </w:r>
          <w:r>
            <w:rPr>
              <w:sz w:val="24"/>
              <w:szCs w:val="24"/>
            </w:rPr>
            <w:tab/>
          </w:r>
          <w:r>
            <w:rPr>
              <w:sz w:val="24"/>
              <w:szCs w:val="24"/>
            </w:rPr>
            <w:fldChar w:fldCharType="begin"/>
          </w:r>
          <w:r>
            <w:rPr>
              <w:sz w:val="24"/>
              <w:szCs w:val="24"/>
            </w:rPr>
            <w:instrText xml:space="preserve"> PAGEREF _Toc757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3377F96A">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_Toc30655 </w:instrText>
          </w:r>
          <w:r>
            <w:rPr>
              <w:rFonts w:hint="eastAsia"/>
              <w:sz w:val="24"/>
              <w:szCs w:val="24"/>
            </w:rPr>
            <w:fldChar w:fldCharType="separate"/>
          </w:r>
          <w:r>
            <w:rPr>
              <w:rFonts w:hint="eastAsia" w:ascii="黑体" w:hAnsi="黑体" w:eastAsia="黑体" w:cs="黑体"/>
              <w:bCs w:val="0"/>
              <w:sz w:val="24"/>
              <w:szCs w:val="24"/>
            </w:rPr>
            <w:t>九、一般公共预算财政拨款项目支出决算表</w:t>
          </w:r>
          <w:r>
            <w:rPr>
              <w:sz w:val="24"/>
              <w:szCs w:val="24"/>
            </w:rPr>
            <w:tab/>
          </w:r>
          <w:r>
            <w:rPr>
              <w:sz w:val="24"/>
              <w:szCs w:val="24"/>
            </w:rPr>
            <w:fldChar w:fldCharType="begin"/>
          </w:r>
          <w:r>
            <w:rPr>
              <w:sz w:val="24"/>
              <w:szCs w:val="24"/>
            </w:rPr>
            <w:instrText xml:space="preserve"> PAGEREF _Toc30655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3482DA29">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_Toc26397 </w:instrText>
          </w:r>
          <w:r>
            <w:rPr>
              <w:rFonts w:hint="eastAsia"/>
              <w:sz w:val="24"/>
              <w:szCs w:val="24"/>
            </w:rPr>
            <w:fldChar w:fldCharType="separate"/>
          </w:r>
          <w:r>
            <w:rPr>
              <w:rFonts w:hint="eastAsia" w:ascii="黑体" w:hAnsi="黑体" w:eastAsia="黑体" w:cs="黑体"/>
              <w:bCs w:val="0"/>
              <w:sz w:val="24"/>
              <w:szCs w:val="24"/>
            </w:rPr>
            <w:t>十、政府性基金预算财政拨款收入支出决算表</w:t>
          </w:r>
          <w:r>
            <w:rPr>
              <w:sz w:val="24"/>
              <w:szCs w:val="24"/>
            </w:rPr>
            <w:tab/>
          </w:r>
          <w:r>
            <w:rPr>
              <w:sz w:val="24"/>
              <w:szCs w:val="24"/>
            </w:rPr>
            <w:fldChar w:fldCharType="begin"/>
          </w:r>
          <w:r>
            <w:rPr>
              <w:sz w:val="24"/>
              <w:szCs w:val="24"/>
            </w:rPr>
            <w:instrText xml:space="preserve"> PAGEREF _Toc26397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71A78320">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_Toc5443 </w:instrText>
          </w:r>
          <w:r>
            <w:rPr>
              <w:rFonts w:hint="eastAsia"/>
              <w:sz w:val="24"/>
              <w:szCs w:val="24"/>
            </w:rPr>
            <w:fldChar w:fldCharType="separate"/>
          </w:r>
          <w:r>
            <w:rPr>
              <w:rFonts w:hint="eastAsia" w:ascii="黑体" w:hAnsi="黑体" w:eastAsia="黑体" w:cs="黑体"/>
              <w:bCs w:val="0"/>
              <w:sz w:val="24"/>
              <w:szCs w:val="24"/>
            </w:rPr>
            <w:t>十一、国有资本经营预算</w:t>
          </w:r>
          <w:r>
            <w:rPr>
              <w:rFonts w:hint="eastAsia" w:ascii="黑体" w:hAnsi="黑体" w:eastAsia="黑体" w:cs="黑体"/>
              <w:bCs w:val="0"/>
              <w:sz w:val="24"/>
              <w:szCs w:val="24"/>
              <w:lang w:eastAsia="zh-CN"/>
            </w:rPr>
            <w:t>财政拨款收入</w:t>
          </w:r>
          <w:r>
            <w:rPr>
              <w:rFonts w:hint="eastAsia" w:ascii="黑体" w:hAnsi="黑体" w:eastAsia="黑体" w:cs="黑体"/>
              <w:bCs w:val="0"/>
              <w:sz w:val="24"/>
              <w:szCs w:val="24"/>
            </w:rPr>
            <w:t>支出决算表</w:t>
          </w:r>
          <w:r>
            <w:rPr>
              <w:sz w:val="24"/>
              <w:szCs w:val="24"/>
            </w:rPr>
            <w:tab/>
          </w:r>
          <w:r>
            <w:rPr>
              <w:sz w:val="24"/>
              <w:szCs w:val="24"/>
            </w:rPr>
            <w:fldChar w:fldCharType="begin"/>
          </w:r>
          <w:r>
            <w:rPr>
              <w:sz w:val="24"/>
              <w:szCs w:val="24"/>
            </w:rPr>
            <w:instrText xml:space="preserve"> PAGEREF _Toc5443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37B1B554">
          <w:pPr>
            <w:pStyle w:val="15"/>
            <w:tabs>
              <w:tab w:val="right" w:leader="dot" w:pos="8306"/>
              <w:tab w:val="clear" w:pos="8296"/>
            </w:tabs>
            <w:rPr>
              <w:sz w:val="24"/>
              <w:szCs w:val="24"/>
            </w:rPr>
          </w:pPr>
          <w:r>
            <w:rPr>
              <w:rFonts w:hint="eastAsia"/>
              <w:sz w:val="24"/>
              <w:szCs w:val="24"/>
            </w:rPr>
            <w:fldChar w:fldCharType="begin"/>
          </w:r>
          <w:r>
            <w:rPr>
              <w:rFonts w:hint="eastAsia"/>
              <w:sz w:val="24"/>
              <w:szCs w:val="24"/>
            </w:rPr>
            <w:instrText xml:space="preserve"> HYPERLINK \l _Toc9663 </w:instrText>
          </w:r>
          <w:r>
            <w:rPr>
              <w:rFonts w:hint="eastAsia"/>
              <w:sz w:val="24"/>
              <w:szCs w:val="24"/>
            </w:rPr>
            <w:fldChar w:fldCharType="separate"/>
          </w:r>
          <w:r>
            <w:rPr>
              <w:rFonts w:hint="eastAsia" w:ascii="黑体" w:hAnsi="黑体" w:eastAsia="黑体" w:cs="黑体"/>
              <w:bCs w:val="0"/>
              <w:sz w:val="24"/>
              <w:szCs w:val="24"/>
            </w:rPr>
            <w:t>十二、</w:t>
          </w:r>
          <w:r>
            <w:rPr>
              <w:rFonts w:hint="eastAsia" w:ascii="黑体" w:hAnsi="黑体" w:eastAsia="黑体" w:cs="黑体"/>
              <w:bCs w:val="0"/>
              <w:sz w:val="24"/>
              <w:szCs w:val="24"/>
              <w:lang w:eastAsia="zh-CN"/>
            </w:rPr>
            <w:t>国有资本经营预算财政拨款支出决算表</w:t>
          </w:r>
          <w:r>
            <w:rPr>
              <w:sz w:val="24"/>
              <w:szCs w:val="24"/>
            </w:rPr>
            <w:tab/>
          </w:r>
          <w:r>
            <w:rPr>
              <w:sz w:val="24"/>
              <w:szCs w:val="24"/>
            </w:rPr>
            <w:fldChar w:fldCharType="begin"/>
          </w:r>
          <w:r>
            <w:rPr>
              <w:sz w:val="24"/>
              <w:szCs w:val="24"/>
            </w:rPr>
            <w:instrText xml:space="preserve"> PAGEREF _Toc9663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7E2D21E8">
          <w:pPr>
            <w:pStyle w:val="15"/>
            <w:tabs>
              <w:tab w:val="right" w:leader="dot" w:pos="8306"/>
              <w:tab w:val="clear" w:pos="8296"/>
            </w:tabs>
          </w:pPr>
          <w:r>
            <w:rPr>
              <w:rFonts w:hint="eastAsia"/>
              <w:sz w:val="24"/>
              <w:szCs w:val="24"/>
            </w:rPr>
            <w:fldChar w:fldCharType="begin"/>
          </w:r>
          <w:r>
            <w:rPr>
              <w:rFonts w:hint="eastAsia"/>
              <w:sz w:val="24"/>
              <w:szCs w:val="24"/>
            </w:rPr>
            <w:instrText xml:space="preserve"> HYPERLINK \l _Toc13422 </w:instrText>
          </w:r>
          <w:r>
            <w:rPr>
              <w:rFonts w:hint="eastAsia"/>
              <w:sz w:val="24"/>
              <w:szCs w:val="24"/>
            </w:rPr>
            <w:fldChar w:fldCharType="separate"/>
          </w:r>
          <w:r>
            <w:rPr>
              <w:rFonts w:hint="eastAsia" w:ascii="黑体" w:hAnsi="黑体" w:eastAsia="黑体" w:cs="黑体"/>
              <w:bCs w:val="0"/>
              <w:sz w:val="24"/>
              <w:szCs w:val="24"/>
            </w:rPr>
            <w:t>十三、</w:t>
          </w:r>
          <w:r>
            <w:rPr>
              <w:rFonts w:hint="eastAsia" w:ascii="黑体" w:hAnsi="黑体" w:eastAsia="黑体" w:cs="黑体"/>
              <w:bCs w:val="0"/>
              <w:sz w:val="24"/>
              <w:szCs w:val="24"/>
              <w:lang w:eastAsia="zh-CN"/>
            </w:rPr>
            <w:t>财政拨款“三公”经费支出决算表</w:t>
          </w:r>
          <w:r>
            <w:rPr>
              <w:sz w:val="24"/>
              <w:szCs w:val="24"/>
            </w:rPr>
            <w:tab/>
          </w:r>
          <w:r>
            <w:rPr>
              <w:sz w:val="24"/>
              <w:szCs w:val="24"/>
            </w:rPr>
            <w:fldChar w:fldCharType="begin"/>
          </w:r>
          <w:r>
            <w:rPr>
              <w:sz w:val="24"/>
              <w:szCs w:val="24"/>
            </w:rPr>
            <w:instrText xml:space="preserve"> PAGEREF _Toc13422 \h </w:instrText>
          </w:r>
          <w:r>
            <w:rPr>
              <w:sz w:val="24"/>
              <w:szCs w:val="24"/>
            </w:rPr>
            <w:fldChar w:fldCharType="separate"/>
          </w:r>
          <w:r>
            <w:rPr>
              <w:sz w:val="24"/>
              <w:szCs w:val="24"/>
            </w:rPr>
            <w:t>59</w:t>
          </w:r>
          <w:r>
            <w:rPr>
              <w:sz w:val="24"/>
              <w:szCs w:val="24"/>
            </w:rPr>
            <w:fldChar w:fldCharType="end"/>
          </w:r>
          <w:r>
            <w:rPr>
              <w:rFonts w:hint="eastAsia"/>
              <w:sz w:val="24"/>
              <w:szCs w:val="24"/>
            </w:rPr>
            <w:fldChar w:fldCharType="end"/>
          </w:r>
        </w:p>
        <w:p w14:paraId="1B8E22C0">
          <w:pPr>
            <w:rPr>
              <w:rFonts w:hint="eastAsia" w:ascii="Times New Roman" w:hAnsi="Times New Roman" w:eastAsia="宋体" w:cs="Times New Roman"/>
              <w:kern w:val="2"/>
              <w:sz w:val="21"/>
              <w:szCs w:val="24"/>
              <w:lang w:val="en-US" w:eastAsia="zh-CN" w:bidi="ar-SA"/>
            </w:rPr>
            <w:sectPr>
              <w:headerReference r:id="rId3" w:type="default"/>
              <w:pgSz w:w="11906" w:h="16838"/>
              <w:pgMar w:top="1440" w:right="1800" w:bottom="1440" w:left="1800" w:header="851" w:footer="992" w:gutter="0"/>
              <w:pgNumType w:fmt="numberInDash" w:start="1"/>
              <w:cols w:space="425" w:num="1"/>
              <w:titlePg/>
              <w:docGrid w:type="lines" w:linePitch="312" w:charSpace="0"/>
            </w:sectPr>
          </w:pPr>
          <w:r>
            <w:rPr>
              <w:rFonts w:hint="eastAsia"/>
            </w:rPr>
            <w:fldChar w:fldCharType="end"/>
          </w:r>
        </w:p>
      </w:sdtContent>
    </w:sdt>
    <w:p w14:paraId="0EE9345A">
      <w:pPr>
        <w:pStyle w:val="13"/>
        <w:rPr>
          <w:rFonts w:hint="eastAsia"/>
        </w:rPr>
      </w:pPr>
    </w:p>
    <w:p w14:paraId="194C624F">
      <w:pPr>
        <w:pStyle w:val="2"/>
        <w:pageBreakBefore w:val="0"/>
        <w:numPr>
          <w:ilvl w:val="0"/>
          <w:numId w:val="1"/>
        </w:numPr>
        <w:kinsoku/>
        <w:wordWrap/>
        <w:overflowPunct/>
        <w:topLinePunct w:val="0"/>
        <w:bidi w:val="0"/>
        <w:spacing w:before="0" w:after="0" w:line="600" w:lineRule="exact"/>
        <w:jc w:val="center"/>
        <w:outlineLvl w:val="0"/>
      </w:pPr>
      <w:bookmarkStart w:id="12" w:name="_Toc10631"/>
      <w:bookmarkStart w:id="13" w:name="_Toc15396599"/>
      <w:bookmarkStart w:id="14" w:name="_Toc15377196"/>
      <w:bookmarkStart w:id="15" w:name="_Toc18202"/>
      <w:r>
        <w:rPr>
          <w:rStyle w:val="24"/>
          <w:rFonts w:hint="eastAsia" w:ascii="黑体" w:hAnsi="黑体" w:eastAsia="黑体"/>
          <w:b w:val="0"/>
          <w:bCs w:val="0"/>
          <w:color w:val="auto"/>
          <w:highlight w:val="none"/>
          <w:lang w:val="en-US" w:eastAsia="zh-CN"/>
        </w:rPr>
        <w:t>部门</w:t>
      </w:r>
      <w:r>
        <w:rPr>
          <w:rStyle w:val="24"/>
          <w:rFonts w:hint="eastAsia" w:ascii="黑体" w:hAnsi="黑体" w:eastAsia="黑体"/>
          <w:b w:val="0"/>
          <w:bCs w:val="0"/>
          <w:color w:val="auto"/>
          <w:highlight w:val="none"/>
        </w:rPr>
        <w:t>概况</w:t>
      </w:r>
      <w:bookmarkEnd w:id="12"/>
      <w:bookmarkEnd w:id="13"/>
      <w:bookmarkEnd w:id="14"/>
      <w:bookmarkEnd w:id="15"/>
    </w:p>
    <w:p w14:paraId="23FCBFA4">
      <w:pPr>
        <w:pStyle w:val="3"/>
        <w:pageBreakBefore w:val="0"/>
        <w:numPr>
          <w:ilvl w:val="0"/>
          <w:numId w:val="2"/>
        </w:numPr>
        <w:kinsoku/>
        <w:wordWrap/>
        <w:overflowPunct/>
        <w:topLinePunct w:val="0"/>
        <w:bidi w:val="0"/>
        <w:spacing w:before="0" w:after="0" w:line="600" w:lineRule="exact"/>
        <w:outlineLvl w:val="1"/>
        <w:rPr>
          <w:rFonts w:ascii="仿宋" w:hAnsi="仿宋" w:eastAsia="仿宋"/>
          <w:sz w:val="32"/>
          <w:szCs w:val="32"/>
        </w:rPr>
      </w:pPr>
      <w:bookmarkStart w:id="16" w:name="_Toc19656"/>
      <w:bookmarkStart w:id="17" w:name="_Toc7236"/>
      <w:r>
        <w:rPr>
          <w:rFonts w:hint="eastAsia" w:ascii="黑体" w:hAnsi="黑体" w:eastAsia="黑体"/>
          <w:b w:val="0"/>
          <w:color w:val="auto"/>
          <w:sz w:val="32"/>
          <w:szCs w:val="32"/>
          <w:highlight w:val="none"/>
          <w:lang w:val="en-US" w:eastAsia="zh-CN"/>
        </w:rPr>
        <w:t>部门</w:t>
      </w:r>
      <w:r>
        <w:rPr>
          <w:rFonts w:hint="eastAsia" w:ascii="黑体" w:hAnsi="黑体" w:eastAsia="黑体"/>
          <w:b w:val="0"/>
          <w:color w:val="auto"/>
          <w:sz w:val="32"/>
          <w:szCs w:val="32"/>
          <w:highlight w:val="none"/>
          <w:lang w:eastAsia="zh-CN"/>
        </w:rPr>
        <w:t>职责</w:t>
      </w:r>
      <w:bookmarkEnd w:id="16"/>
      <w:bookmarkEnd w:id="17"/>
    </w:p>
    <w:p w14:paraId="1B3AD8C6">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1.宣传贯彻执行有关水务工作的</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和方针政策；负责拟定全县水务管理规范性文件并组织实施。</w:t>
      </w:r>
    </w:p>
    <w:p w14:paraId="0DDDBB8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2.负责编制全县城乡水务发展规划；拟定全县中长期供水计划和年度供水计划、水量分配方案和旱情紧急情况下水量调度预案，并组织实施。</w:t>
      </w:r>
    </w:p>
    <w:p w14:paraId="0EA6B22C">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3.组织有关全县国民经济发展总体规划、城市规划及重大建设项目的水资源利用和防洪论证工作。</w:t>
      </w:r>
    </w:p>
    <w:p w14:paraId="3A18FFF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64E0BF42">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5.负责组织指导全县水务行政执法工作；负责水务行政复议的受理和行政诉讼的应诉工作；调解处理重大水事纠纷；依法查处水事违法案件。</w:t>
      </w:r>
    </w:p>
    <w:p w14:paraId="24EFF70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6DEB918B">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7.负责拟定水务行业经济调节措施，研究提出水务行业有关价格、税收、信贷、财务等经济调节意见；负责编制全县水务行业建设项目资金计划，对水务资金的使用进行宏观管理、监督和审查。</w:t>
      </w:r>
    </w:p>
    <w:p w14:paraId="75E9D91C">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4CA4DC99">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9.编制全县水土保持规划并组织实施；负责水土保持预防监督、水土流失监测和综合防治工作；组织实施工程建设项目水土保持方案和设施自主验收的备案，征收水土保持补偿费；指导水利绿化工作。</w:t>
      </w:r>
    </w:p>
    <w:p w14:paraId="4DAE81CE">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10.对县境内主要江河和重要水利工程实施山洪灾害监测；掌握全县境内的雨情、水情信息，及时传达各有关。</w:t>
      </w:r>
    </w:p>
    <w:p w14:paraId="4C145971">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11.指导全县江河、湖库、滩涂的综合治理与开发；组织实施河道采砂许可制度和征收河道砂石资源费制度。</w:t>
      </w:r>
    </w:p>
    <w:p w14:paraId="49EBF1D4">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12.指导全县有关水务等项目的科学研究和技术推广，组织指导全县重大水务项目对外合作和交流。</w:t>
      </w:r>
    </w:p>
    <w:p w14:paraId="7040B12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13.指导全县水务行业干部职工队伍建设和服务体系建设；指导水务行业劳动保护和安全生产工作。</w:t>
      </w:r>
    </w:p>
    <w:p w14:paraId="20BC9CF5">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14.负责职责范围内的安全生产和职业健康、生态环境保护、服务便民化工作。</w:t>
      </w:r>
    </w:p>
    <w:p w14:paraId="370D66A3">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15.负责县总河长办公室的日常工作，贯彻执行上级和</w:t>
      </w:r>
      <w:r>
        <w:rPr>
          <w:rFonts w:hint="eastAsia" w:ascii="仿宋_GB2312" w:hAnsi="仿宋_GB2312" w:eastAsia="仿宋_GB2312" w:cs="仿宋_GB2312"/>
          <w:sz w:val="32"/>
          <w:szCs w:val="32"/>
          <w:lang w:eastAsia="zh-CN"/>
        </w:rPr>
        <w:t>县委、县政府</w:t>
      </w:r>
      <w:r>
        <w:rPr>
          <w:rFonts w:hint="eastAsia" w:ascii="仿宋_GB2312" w:hAnsi="仿宋_GB2312" w:eastAsia="仿宋_GB2312" w:cs="仿宋_GB2312"/>
          <w:sz w:val="32"/>
          <w:szCs w:val="32"/>
        </w:rPr>
        <w:t>河长制工作决策部署，充分发挥参谋助手、综合协调、督办等职能作用，认真履行办文、办会、办事等工作职责，统筹协调督促推进全县河长制工作</w:t>
      </w:r>
    </w:p>
    <w:p w14:paraId="293E582D">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在自然灾害防救方面的职责分工。县应急局与县自然资源局、县水务局、县林业局等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261E26EA">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应急局负责牵头组织编制全县综合应急防灾减灾预案和安全生产类、自然灾害类专项预案，承担应急预案衔接工作，组织开展预案演练。按照分级负责的原则，组织、指导自然灾害类应急救援；组织、协调灾害应急救援工作，并按权限作出决定；承担全县应对较大及以上灾害指挥部工作；负责组织较大及以上灾害处理工作。组织编制全县综合防灾减灾规划，指导、协调相关森林火灾、水旱灾害、地震和地质灾害等防治工作；会同县自然资源局、县水务局、县林业局等有关建立统一的应急管理信息平台，建立监测预警和灾情报告制度，健全自然灾害信息资源获取和共享机制，依法统一发布灾情、发布森林和草原火险信息。组织开展多灾种和灾害链综合监测预警，承担自然灾害综合风险评估工作。</w:t>
      </w:r>
    </w:p>
    <w:p w14:paraId="22467AAF">
      <w:pPr>
        <w:pageBreakBefore w:val="0"/>
        <w:kinsoku/>
        <w:wordWrap/>
        <w:overflowPunct/>
        <w:topLinePunct w:val="0"/>
        <w:bidi w:val="0"/>
        <w:spacing w:line="60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水务局负责落实综合防灾减灾规划相关要求，组织编制洪水干旱灾害防治规划和防护标准并指导实施，承担全县水情旱情监测预警工作。组织编制审查全县有防洪功能的水利工程汛期调度运用计划，组织编制、审查全县江河和重要水利工程的防洪抗旱调度方案及应急水量调度方案，按程序报批并组织、监督实施。承担防御洪水应急抢险的技术支撑工作。</w:t>
      </w:r>
    </w:p>
    <w:p w14:paraId="03FA360F">
      <w:pPr>
        <w:pageBreakBefore w:val="0"/>
        <w:kinsoku/>
        <w:wordWrap/>
        <w:overflowPunct/>
        <w:topLinePunct w:val="0"/>
        <w:bidi w:val="0"/>
        <w:spacing w:line="60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（3）必要时，县水务局可以提请县应急管理局，以县应急指挥机构名义部署相关防治工作。</w:t>
      </w:r>
    </w:p>
    <w:p w14:paraId="7BFD14ED">
      <w:pPr>
        <w:pStyle w:val="29"/>
        <w:pageBreakBefore w:val="0"/>
        <w:kinsoku/>
        <w:wordWrap/>
        <w:overflowPunct/>
        <w:topLinePunct w:val="0"/>
        <w:bidi w:val="0"/>
        <w:spacing w:line="600" w:lineRule="exact"/>
        <w:ind w:firstLine="640" w:firstLineChars="200"/>
        <w:rPr>
          <w:rFonts w:hint="eastAsia" w:ascii="仿宋_GB2312" w:hAnsi="仿宋_GB2312" w:eastAsia="仿宋_GB2312" w:cs="仿宋_GB2312"/>
          <w:b w:val="0"/>
          <w:bCs w:val="0"/>
          <w:i w:val="0"/>
          <w:iCs w:val="0"/>
          <w:sz w:val="32"/>
          <w:szCs w:val="32"/>
          <w:lang w:val="en-US" w:eastAsia="zh-CN"/>
        </w:rPr>
      </w:pPr>
      <w:r>
        <w:rPr>
          <w:rFonts w:hint="eastAsia" w:ascii="仿宋_GB2312" w:hAnsi="仿宋_GB2312" w:eastAsia="仿宋_GB2312" w:cs="仿宋_GB2312"/>
          <w:b w:val="0"/>
          <w:bCs w:val="0"/>
          <w:i w:val="0"/>
          <w:iCs w:val="0"/>
          <w:sz w:val="32"/>
          <w:szCs w:val="32"/>
          <w:lang w:val="en-US" w:eastAsia="zh-CN"/>
        </w:rPr>
        <w:t>17.完成原乡村振兴局承担的移民后期扶持工作</w:t>
      </w:r>
    </w:p>
    <w:p w14:paraId="3397B5B7">
      <w:pPr>
        <w:pageBreakBefore w:val="0"/>
        <w:kinsoku/>
        <w:wordWrap/>
        <w:overflowPunct/>
        <w:topLinePunct w:val="0"/>
        <w:bidi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.完成县委、县政府交办的</w:t>
      </w:r>
      <w:r>
        <w:rPr>
          <w:rFonts w:hint="eastAsia" w:ascii="仿宋_GB2312" w:hAnsi="仿宋_GB2312" w:eastAsia="仿宋_GB2312" w:cs="仿宋_GB2312"/>
          <w:sz w:val="32"/>
          <w:szCs w:val="32"/>
          <w:lang w:eastAsia="zh-CN"/>
        </w:rPr>
        <w:t>其他</w:t>
      </w:r>
      <w:r>
        <w:rPr>
          <w:rFonts w:hint="eastAsia" w:ascii="仿宋_GB2312" w:hAnsi="仿宋_GB2312" w:eastAsia="仿宋_GB2312" w:cs="仿宋_GB2312"/>
          <w:sz w:val="32"/>
          <w:szCs w:val="32"/>
        </w:rPr>
        <w:t>任务。</w:t>
      </w:r>
    </w:p>
    <w:p w14:paraId="1472C5F8">
      <w:pPr>
        <w:pStyle w:val="3"/>
        <w:pageBreakBefore w:val="0"/>
        <w:kinsoku/>
        <w:wordWrap/>
        <w:overflowPunct/>
        <w:topLinePunct w:val="0"/>
        <w:bidi w:val="0"/>
        <w:spacing w:before="0" w:after="0" w:line="600" w:lineRule="exact"/>
        <w:rPr>
          <w:rStyle w:val="25"/>
          <w:b w:val="0"/>
          <w:bCs w:val="0"/>
          <w:color w:val="auto"/>
          <w:highlight w:val="none"/>
        </w:rPr>
      </w:pPr>
      <w:bookmarkStart w:id="18" w:name="_Toc28233"/>
      <w:bookmarkStart w:id="19" w:name="_Toc15377200"/>
      <w:bookmarkStart w:id="20" w:name="_Toc15396601"/>
      <w:bookmarkStart w:id="21" w:name="_Toc2263"/>
      <w:r>
        <w:rPr>
          <w:rFonts w:hint="eastAsia" w:ascii="黑体" w:eastAsia="黑体"/>
          <w:b w:val="0"/>
          <w:color w:val="auto"/>
          <w:highlight w:val="none"/>
        </w:rPr>
        <w:t>二、</w:t>
      </w:r>
      <w:r>
        <w:rPr>
          <w:rFonts w:hint="eastAsia" w:ascii="黑体" w:hAnsi="黑体" w:eastAsia="黑体"/>
          <w:b w:val="0"/>
          <w:color w:val="auto"/>
          <w:highlight w:val="none"/>
        </w:rPr>
        <w:t>机</w:t>
      </w:r>
      <w:r>
        <w:rPr>
          <w:rStyle w:val="25"/>
          <w:rFonts w:hint="eastAsia" w:ascii="黑体" w:hAnsi="黑体" w:eastAsia="黑体"/>
          <w:b w:val="0"/>
          <w:bCs w:val="0"/>
          <w:color w:val="auto"/>
          <w:highlight w:val="none"/>
        </w:rPr>
        <w:t>构设置</w:t>
      </w:r>
      <w:bookmarkEnd w:id="18"/>
      <w:bookmarkEnd w:id="19"/>
      <w:bookmarkEnd w:id="20"/>
      <w:bookmarkEnd w:id="21"/>
    </w:p>
    <w:p w14:paraId="0DE98420">
      <w:pPr>
        <w:pageBreakBefore w:val="0"/>
        <w:kinsoku/>
        <w:wordWrap/>
        <w:overflowPunct/>
        <w:topLinePunct w:val="0"/>
        <w:bidi w:val="0"/>
        <w:spacing w:line="600" w:lineRule="exact"/>
        <w:ind w:firstLine="800" w:firstLineChars="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下属二级</w:t>
      </w:r>
      <w:r>
        <w:rPr>
          <w:rFonts w:hint="eastAsia" w:ascii="仿宋_GB2312" w:hAnsi="仿宋_GB2312" w:eastAsia="仿宋_GB2312" w:cs="仿宋_GB2312"/>
          <w:color w:val="auto"/>
          <w:sz w:val="32"/>
          <w:szCs w:val="32"/>
          <w:highlight w:val="none"/>
          <w:lang w:eastAsia="zh-CN"/>
        </w:rPr>
        <w:t>预算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个，其中行政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个，参照公务员法管理的事业</w:t>
      </w:r>
      <w:r>
        <w:rPr>
          <w:rFonts w:hint="eastAsia" w:ascii="仿宋_GB2312" w:hAnsi="仿宋_GB2312" w:eastAsia="仿宋_GB2312" w:cs="仿宋_GB2312"/>
          <w:bCs/>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个，其他事业</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个。</w:t>
      </w:r>
    </w:p>
    <w:p w14:paraId="76C4822E">
      <w:pPr>
        <w:pStyle w:val="6"/>
        <w:pageBreakBefore w:val="0"/>
        <w:kinsoku/>
        <w:wordWrap/>
        <w:overflowPunct/>
        <w:topLinePunct w:val="0"/>
        <w:bidi w:val="0"/>
        <w:adjustRightInd w:val="0"/>
        <w:snapToGrid w:val="0"/>
        <w:spacing w:beforeLines="0" w:line="600" w:lineRule="exact"/>
        <w:ind w:firstLine="672" w:firstLineChars="21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没有</w:t>
      </w:r>
      <w:r>
        <w:rPr>
          <w:rFonts w:hint="eastAsia" w:ascii="仿宋_GB2312" w:hAnsi="仿宋_GB2312" w:eastAsia="仿宋_GB2312" w:cs="仿宋_GB2312"/>
          <w:color w:val="auto"/>
          <w:sz w:val="32"/>
          <w:szCs w:val="32"/>
          <w:highlight w:val="none"/>
        </w:rPr>
        <w:t>纳入</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决算编制范围的二级预算</w:t>
      </w:r>
      <w:r>
        <w:rPr>
          <w:rFonts w:hint="eastAsia" w:ascii="仿宋_GB2312" w:hAnsi="仿宋_GB2312" w:eastAsia="仿宋_GB2312" w:cs="仿宋_GB2312"/>
          <w:color w:val="auto"/>
          <w:sz w:val="32"/>
          <w:szCs w:val="32"/>
          <w:highlight w:val="none"/>
          <w:lang w:eastAsia="zh-CN"/>
        </w:rPr>
        <w:t>。</w:t>
      </w:r>
    </w:p>
    <w:p w14:paraId="523C0447">
      <w:pPr>
        <w:pageBreakBefore w:val="0"/>
        <w:widowControl/>
        <w:kinsoku/>
        <w:wordWrap/>
        <w:overflowPunct/>
        <w:topLinePunct w:val="0"/>
        <w:bidi w:val="0"/>
        <w:spacing w:line="600" w:lineRule="exact"/>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18949651">
      <w:pPr>
        <w:pStyle w:val="2"/>
        <w:pageBreakBefore w:val="0"/>
        <w:kinsoku/>
        <w:wordWrap/>
        <w:overflowPunct/>
        <w:topLinePunct w:val="0"/>
        <w:bidi w:val="0"/>
        <w:spacing w:before="0" w:after="0" w:line="600" w:lineRule="exact"/>
        <w:ind w:right="440"/>
        <w:jc w:val="center"/>
        <w:rPr>
          <w:rStyle w:val="24"/>
          <w:rFonts w:ascii="黑体" w:hAnsi="黑体" w:eastAsia="黑体"/>
          <w:b w:val="0"/>
          <w:bCs/>
          <w:color w:val="auto"/>
          <w:highlight w:val="none"/>
        </w:rPr>
      </w:pPr>
      <w:bookmarkStart w:id="22" w:name="_Toc23511"/>
      <w:bookmarkStart w:id="23" w:name="_Toc15377204"/>
      <w:bookmarkStart w:id="24" w:name="_Toc19311"/>
      <w:bookmarkStart w:id="2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24"/>
          <w:rFonts w:hint="eastAsia" w:ascii="黑体" w:hAnsi="黑体" w:eastAsia="黑体"/>
          <w:b w:val="0"/>
          <w:bCs/>
          <w:color w:val="auto"/>
          <w:highlight w:val="none"/>
        </w:rPr>
        <w:t>决算情况说明</w:t>
      </w:r>
      <w:bookmarkEnd w:id="22"/>
      <w:bookmarkEnd w:id="23"/>
      <w:bookmarkEnd w:id="24"/>
      <w:bookmarkEnd w:id="25"/>
    </w:p>
    <w:p w14:paraId="12D9F365">
      <w:pPr>
        <w:pageBreakBefore w:val="0"/>
        <w:kinsoku/>
        <w:wordWrap/>
        <w:overflowPunct/>
        <w:topLinePunct w:val="0"/>
        <w:bidi w:val="0"/>
        <w:spacing w:line="600" w:lineRule="exact"/>
        <w:rPr>
          <w:color w:val="auto"/>
          <w:highlight w:val="none"/>
        </w:rPr>
      </w:pPr>
    </w:p>
    <w:p w14:paraId="79AA4F9D">
      <w:pPr>
        <w:pStyle w:val="26"/>
        <w:pageBreakBefore w:val="0"/>
        <w:numPr>
          <w:ilvl w:val="0"/>
          <w:numId w:val="3"/>
        </w:numPr>
        <w:kinsoku/>
        <w:wordWrap/>
        <w:overflowPunct/>
        <w:topLinePunct w:val="0"/>
        <w:bidi w:val="0"/>
        <w:spacing w:line="600" w:lineRule="exact"/>
        <w:ind w:firstLineChars="0"/>
        <w:outlineLvl w:val="1"/>
        <w:rPr>
          <w:rStyle w:val="25"/>
          <w:rFonts w:ascii="黑体" w:hAnsi="黑体" w:eastAsia="黑体"/>
          <w:b w:val="0"/>
          <w:color w:val="auto"/>
          <w:highlight w:val="none"/>
        </w:rPr>
      </w:pPr>
      <w:bookmarkStart w:id="26" w:name="_Toc1199"/>
      <w:bookmarkStart w:id="27" w:name="_Toc15396603"/>
      <w:bookmarkStart w:id="28" w:name="_Toc16862"/>
      <w:bookmarkStart w:id="29" w:name="_Toc15377205"/>
      <w:r>
        <w:rPr>
          <w:rFonts w:hint="eastAsia" w:ascii="黑体" w:hAnsi="黑体" w:eastAsia="黑体"/>
          <w:color w:val="auto"/>
          <w:sz w:val="32"/>
          <w:szCs w:val="32"/>
          <w:highlight w:val="none"/>
        </w:rPr>
        <w:t>收</w:t>
      </w:r>
      <w:r>
        <w:rPr>
          <w:rStyle w:val="25"/>
          <w:rFonts w:hint="eastAsia" w:ascii="黑体" w:hAnsi="黑体" w:eastAsia="黑体"/>
          <w:b w:val="0"/>
          <w:color w:val="auto"/>
          <w:highlight w:val="none"/>
        </w:rPr>
        <w:t>入支出决算总体情况说明</w:t>
      </w:r>
      <w:bookmarkEnd w:id="26"/>
      <w:bookmarkEnd w:id="27"/>
      <w:bookmarkEnd w:id="28"/>
      <w:bookmarkEnd w:id="29"/>
    </w:p>
    <w:p w14:paraId="24B74E28">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收、支总计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相比，收、支总计</w:t>
      </w:r>
      <w:r>
        <w:rPr>
          <w:rFonts w:hint="eastAsia" w:ascii="仿宋_GB2312" w:hAnsi="仿宋_GB2312" w:eastAsia="仿宋_GB2312" w:cs="仿宋_GB2312"/>
          <w:color w:val="auto"/>
          <w:sz w:val="32"/>
          <w:szCs w:val="32"/>
          <w:highlight w:val="none"/>
          <w:lang w:val="en-US" w:eastAsia="zh-CN"/>
        </w:rPr>
        <w:t>增加3462.28</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增长38.73</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2024年度增加了大中型水库移民后期扶持项目资金</w:t>
      </w:r>
      <w:r>
        <w:rPr>
          <w:rFonts w:hint="eastAsia" w:ascii="仿宋_GB2312" w:hAnsi="仿宋_GB2312" w:eastAsia="仿宋_GB2312" w:cs="仿宋_GB2312"/>
          <w:color w:val="auto"/>
          <w:sz w:val="32"/>
          <w:szCs w:val="32"/>
          <w:highlight w:val="none"/>
          <w:lang w:eastAsia="zh-CN"/>
        </w:rPr>
        <w:t>。</w:t>
      </w:r>
      <w:bookmarkStart w:id="30" w:name="_Toc14119"/>
    </w:p>
    <w:p w14:paraId="12C30A10">
      <w:pPr>
        <w:pageBreakBefore w:val="0"/>
        <w:kinsoku/>
        <w:wordWrap/>
        <w:overflowPunct/>
        <w:topLinePunct w:val="0"/>
        <w:bidi w:val="0"/>
        <w:spacing w:line="600" w:lineRule="exact"/>
        <w:ind w:firstLine="643" w:firstLineChars="200"/>
        <w:outlineLvl w:val="1"/>
        <w:rPr>
          <w:rStyle w:val="25"/>
          <w:rFonts w:ascii="黑体" w:hAnsi="黑体" w:eastAsia="黑体"/>
          <w:b w:val="0"/>
          <w:color w:val="auto"/>
          <w:highlight w:val="none"/>
        </w:rPr>
      </w:pPr>
      <w:bookmarkStart w:id="31" w:name="_Toc26053"/>
      <w:r>
        <w:rPr>
          <w:rFonts w:hint="eastAsia" w:ascii="仿宋_GB2312" w:eastAsia="仿宋_GB2312"/>
          <w:b/>
          <w:bCs/>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97790</wp:posOffset>
            </wp:positionH>
            <wp:positionV relativeFrom="paragraph">
              <wp:posOffset>365760</wp:posOffset>
            </wp:positionV>
            <wp:extent cx="5225415" cy="2693670"/>
            <wp:effectExtent l="4445" t="4445" r="8890" b="698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bookmarkStart w:id="32" w:name="_Toc15377206"/>
      <w:bookmarkStart w:id="33" w:name="_Toc15396604"/>
      <w:r>
        <w:rPr>
          <w:rFonts w:hint="eastAsia" w:ascii="黑体" w:hAnsi="黑体" w:eastAsia="黑体" w:cs="黑体"/>
          <w:b/>
          <w:bCs/>
          <w:color w:val="auto"/>
          <w:sz w:val="32"/>
          <w:szCs w:val="32"/>
          <w:highlight w:val="none"/>
          <w:lang w:val="en-US" w:eastAsia="zh-CN"/>
        </w:rPr>
        <w:t>二</w:t>
      </w:r>
      <w:r>
        <w:rPr>
          <w:rFonts w:hint="eastAsia" w:ascii="黑体" w:hAnsi="黑体" w:eastAsia="黑体" w:cs="黑体"/>
          <w:color w:val="auto"/>
          <w:sz w:val="32"/>
          <w:szCs w:val="32"/>
          <w:highlight w:val="none"/>
          <w:lang w:val="en-US" w:eastAsia="zh-CN"/>
        </w:rPr>
        <w:t>、</w:t>
      </w:r>
      <w:r>
        <w:rPr>
          <w:rFonts w:hint="eastAsia" w:ascii="黑体" w:hAnsi="黑体" w:eastAsia="黑体" w:cs="黑体"/>
          <w:color w:val="auto"/>
          <w:sz w:val="32"/>
          <w:szCs w:val="32"/>
          <w:highlight w:val="none"/>
        </w:rPr>
        <w:t>收</w:t>
      </w:r>
      <w:r>
        <w:rPr>
          <w:rStyle w:val="25"/>
          <w:rFonts w:hint="eastAsia" w:ascii="黑体" w:hAnsi="黑体" w:eastAsia="黑体" w:cs="黑体"/>
          <w:b w:val="0"/>
          <w:color w:val="auto"/>
          <w:highlight w:val="none"/>
        </w:rPr>
        <w:t>入决算情况说明</w:t>
      </w:r>
      <w:bookmarkEnd w:id="30"/>
      <w:bookmarkEnd w:id="31"/>
      <w:bookmarkEnd w:id="32"/>
      <w:bookmarkEnd w:id="33"/>
    </w:p>
    <w:p w14:paraId="0FBF4A29">
      <w:pPr>
        <w:pageBreakBefore w:val="0"/>
        <w:kinsoku/>
        <w:wordWrap/>
        <w:overflowPunct/>
        <w:topLinePunct w:val="0"/>
        <w:bidi w:val="0"/>
        <w:spacing w:line="600" w:lineRule="exact"/>
        <w:ind w:firstLine="640" w:firstLineChars="200"/>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4年</w:t>
      </w:r>
      <w:r>
        <w:rPr>
          <w:rFonts w:hint="eastAsia" w:ascii="仿宋_GB2312" w:hAnsi="仿宋_GB2312" w:eastAsia="仿宋_GB2312" w:cs="仿宋_GB2312"/>
          <w:color w:val="auto"/>
          <w:sz w:val="32"/>
          <w:szCs w:val="32"/>
          <w:highlight w:val="none"/>
        </w:rPr>
        <w:t>本年收入合计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51.04</w:t>
      </w:r>
      <w:r>
        <w:rPr>
          <w:rFonts w:hint="eastAsia" w:ascii="仿宋_GB2312" w:hAnsi="仿宋_GB2312" w:eastAsia="仿宋_GB2312" w:cs="仿宋_GB2312"/>
          <w:color w:val="auto"/>
          <w:sz w:val="32"/>
          <w:szCs w:val="32"/>
          <w:highlight w:val="none"/>
        </w:rPr>
        <w:t>%；政府性基金预算财政拨款收入</w:t>
      </w:r>
      <w:r>
        <w:rPr>
          <w:rFonts w:hint="eastAsia" w:ascii="仿宋_GB2312" w:hAnsi="仿宋_GB2312" w:eastAsia="仿宋_GB2312" w:cs="仿宋_GB2312"/>
          <w:color w:val="auto"/>
          <w:sz w:val="32"/>
          <w:szCs w:val="32"/>
          <w:highlight w:val="none"/>
          <w:lang w:val="en-US" w:eastAsia="zh-CN"/>
        </w:rPr>
        <w:t>4,377.66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48.96</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7DA47F11">
      <w:pPr>
        <w:pStyle w:val="13"/>
        <w:pageBreakBefore w:val="0"/>
        <w:kinsoku/>
        <w:wordWrap/>
        <w:overflowPunct/>
        <w:topLinePunct w:val="0"/>
        <w:bidi w:val="0"/>
        <w:spacing w:line="600" w:lineRule="exact"/>
        <w:rPr>
          <w:rFonts w:hint="eastAsia" w:ascii="仿宋_GB2312" w:hAnsi="仿宋_GB2312" w:eastAsia="仿宋_GB2312" w:cs="仿宋_GB2312"/>
          <w:color w:val="auto"/>
          <w:sz w:val="32"/>
          <w:szCs w:val="32"/>
          <w:highlight w:val="none"/>
          <w:lang w:eastAsia="zh-CN"/>
        </w:rPr>
      </w:pPr>
    </w:p>
    <w:p w14:paraId="4C081360">
      <w:pPr>
        <w:pStyle w:val="8"/>
        <w:pageBreakBefore w:val="0"/>
        <w:kinsoku/>
        <w:wordWrap/>
        <w:overflowPunct/>
        <w:topLinePunct w:val="0"/>
        <w:bidi w:val="0"/>
        <w:spacing w:after="0" w:line="600" w:lineRule="exact"/>
        <w:rPr>
          <w:rFonts w:hint="eastAsia" w:ascii="仿宋_GB2312" w:hAnsi="仿宋_GB2312" w:eastAsia="仿宋_GB2312" w:cs="仿宋_GB2312"/>
          <w:color w:val="auto"/>
          <w:sz w:val="32"/>
          <w:szCs w:val="32"/>
          <w:highlight w:val="none"/>
          <w:lang w:eastAsia="zh-CN"/>
        </w:rPr>
      </w:pPr>
    </w:p>
    <w:p w14:paraId="2AFEA4E5">
      <w:pPr>
        <w:pageBreakBefore w:val="0"/>
        <w:kinsoku/>
        <w:wordWrap/>
        <w:overflowPunct/>
        <w:topLinePunct w:val="0"/>
        <w:bidi w:val="0"/>
        <w:spacing w:line="600" w:lineRule="exact"/>
        <w:rPr>
          <w:rFonts w:hint="eastAsia" w:ascii="仿宋" w:hAnsi="仿宋" w:eastAsia="仿宋"/>
          <w:color w:val="auto"/>
          <w:sz w:val="32"/>
          <w:szCs w:val="32"/>
          <w:highlight w:val="none"/>
          <w:lang w:eastAsia="zh-CN"/>
        </w:rPr>
      </w:pPr>
    </w:p>
    <w:p w14:paraId="56CC095A">
      <w:pPr>
        <w:pStyle w:val="13"/>
        <w:pageBreakBefore w:val="0"/>
        <w:kinsoku/>
        <w:wordWrap/>
        <w:overflowPunct/>
        <w:topLinePunct w:val="0"/>
        <w:bidi w:val="0"/>
        <w:spacing w:line="600" w:lineRule="exact"/>
        <w:rPr>
          <w:rFonts w:hint="eastAsia" w:ascii="仿宋" w:hAnsi="仿宋" w:eastAsia="仿宋"/>
          <w:color w:val="auto"/>
          <w:sz w:val="32"/>
          <w:szCs w:val="32"/>
          <w:highlight w:val="none"/>
          <w:lang w:eastAsia="zh-CN"/>
        </w:rPr>
      </w:pPr>
    </w:p>
    <w:p w14:paraId="1209334F">
      <w:pPr>
        <w:pStyle w:val="8"/>
        <w:pageBreakBefore w:val="0"/>
        <w:kinsoku/>
        <w:wordWrap/>
        <w:overflowPunct/>
        <w:topLinePunct w:val="0"/>
        <w:bidi w:val="0"/>
        <w:spacing w:after="0" w:line="600" w:lineRule="exact"/>
        <w:rPr>
          <w:rFonts w:hint="eastAsia" w:ascii="仿宋" w:hAnsi="仿宋" w:eastAsia="仿宋"/>
          <w:color w:val="auto"/>
          <w:sz w:val="32"/>
          <w:szCs w:val="32"/>
          <w:highlight w:val="none"/>
          <w:lang w:eastAsia="zh-CN"/>
        </w:rPr>
      </w:pPr>
    </w:p>
    <w:p w14:paraId="63A86792">
      <w:pPr>
        <w:pStyle w:val="6"/>
        <w:pageBreakBefore w:val="0"/>
        <w:kinsoku/>
        <w:wordWrap/>
        <w:overflowPunct/>
        <w:topLinePunct w:val="0"/>
        <w:bidi w:val="0"/>
        <w:spacing w:beforeLines="0" w:line="600" w:lineRule="exact"/>
        <w:ind w:firstLine="320" w:firstLineChars="100"/>
        <w:outlineLvl w:val="1"/>
        <w:rPr>
          <w:rStyle w:val="25"/>
          <w:rFonts w:hint="eastAsia" w:ascii="黑体" w:hAnsi="黑体" w:eastAsia="黑体" w:cs="黑体"/>
          <w:b w:val="0"/>
          <w:color w:val="auto"/>
          <w:highlight w:val="none"/>
        </w:rPr>
      </w:pPr>
      <w:bookmarkStart w:id="34" w:name="_Toc21476"/>
      <w:bookmarkStart w:id="35" w:name="_Toc24366"/>
      <w:r>
        <w:rPr>
          <w:rFonts w:hint="eastAsia" w:ascii="黑体" w:hAnsi="黑体" w:eastAsia="黑体" w:cs="黑体"/>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-104775</wp:posOffset>
            </wp:positionV>
            <wp:extent cx="5226685" cy="2741930"/>
            <wp:effectExtent l="4445" t="4445" r="7620" b="1587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Start w:id="36" w:name="_Toc15377207"/>
      <w:bookmarkStart w:id="37" w:name="_Toc15396605"/>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支</w:t>
      </w:r>
      <w:r>
        <w:rPr>
          <w:rStyle w:val="25"/>
          <w:rFonts w:hint="eastAsia" w:ascii="黑体" w:hAnsi="黑体" w:eastAsia="黑体" w:cs="黑体"/>
          <w:b w:val="0"/>
          <w:color w:val="auto"/>
          <w:highlight w:val="none"/>
        </w:rPr>
        <w:t>出决算情况说明</w:t>
      </w:r>
      <w:bookmarkEnd w:id="34"/>
      <w:bookmarkEnd w:id="35"/>
      <w:bookmarkEnd w:id="36"/>
      <w:bookmarkEnd w:id="37"/>
    </w:p>
    <w:p w14:paraId="2E150A75">
      <w:pPr>
        <w:pageBreakBefore w:val="0"/>
        <w:kinsoku/>
        <w:wordWrap/>
        <w:overflowPunct/>
        <w:topLinePunct w:val="0"/>
        <w:bidi w:val="0"/>
        <w:spacing w:line="600" w:lineRule="exact"/>
        <w:ind w:firstLine="640" w:firstLineChars="200"/>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946.42</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10.59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项目支出7,994.10万元</w:t>
      </w:r>
      <w:r>
        <w:rPr>
          <w:rFonts w:hint="eastAsia" w:ascii="仿宋_GB2312" w:hAnsi="仿宋_GB2312" w:eastAsia="仿宋_GB2312" w:cs="仿宋_GB2312"/>
          <w:color w:val="auto"/>
          <w:sz w:val="32"/>
          <w:szCs w:val="32"/>
          <w:highlight w:val="none"/>
        </w:rPr>
        <w:t>，占</w:t>
      </w:r>
      <w:r>
        <w:rPr>
          <w:rFonts w:hint="eastAsia" w:ascii="仿宋_GB2312" w:hAnsi="仿宋_GB2312" w:eastAsia="仿宋_GB2312" w:cs="仿宋_GB2312"/>
          <w:color w:val="auto"/>
          <w:sz w:val="32"/>
          <w:szCs w:val="32"/>
          <w:highlight w:val="none"/>
          <w:lang w:val="en-US" w:eastAsia="zh-CN"/>
        </w:rPr>
        <w:t>89.41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7A4B800B">
      <w:pPr>
        <w:pageBreakBefore w:val="0"/>
        <w:numPr>
          <w:ilvl w:val="0"/>
          <w:numId w:val="4"/>
        </w:numPr>
        <w:kinsoku/>
        <w:wordWrap/>
        <w:overflowPunct/>
        <w:topLinePunct w:val="0"/>
        <w:bidi w:val="0"/>
        <w:spacing w:line="600" w:lineRule="exact"/>
        <w:ind w:left="640" w:leftChars="0"/>
        <w:outlineLvl w:val="1"/>
      </w:pPr>
      <w:bookmarkStart w:id="38" w:name="_Toc4964"/>
      <w:bookmarkStart w:id="39" w:name="_Toc28626"/>
      <w:r>
        <w:rPr>
          <w:rFonts w:hint="eastAsia" w:ascii="黑体" w:hAnsi="黑体" w:eastAsia="黑体" w:cs="黑体"/>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316865</wp:posOffset>
            </wp:positionV>
            <wp:extent cx="5226685" cy="2741930"/>
            <wp:effectExtent l="4445" t="4445" r="7620" b="15875"/>
            <wp:wrapTopAndBottom/>
            <wp:docPr id="3" name="图表 3" descr="7b0a202020202263686172745265734964223a202232303437363934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bookmarkStart w:id="40" w:name="_Toc15396606"/>
      <w:bookmarkStart w:id="41" w:name="_Toc15377208"/>
      <w:r>
        <w:rPr>
          <w:rFonts w:hint="eastAsia" w:ascii="黑体" w:hAnsi="黑体" w:eastAsia="黑体"/>
          <w:color w:val="auto"/>
          <w:sz w:val="32"/>
          <w:szCs w:val="32"/>
          <w:highlight w:val="none"/>
        </w:rPr>
        <w:t>财</w:t>
      </w:r>
      <w:r>
        <w:rPr>
          <w:rStyle w:val="25"/>
          <w:rFonts w:hint="eastAsia" w:ascii="黑体" w:hAnsi="黑体" w:eastAsia="黑体"/>
          <w:b w:val="0"/>
          <w:color w:val="auto"/>
          <w:highlight w:val="none"/>
        </w:rPr>
        <w:t>政拨款收入支出决算总体情况说明</w:t>
      </w:r>
      <w:bookmarkEnd w:id="38"/>
      <w:bookmarkEnd w:id="39"/>
      <w:bookmarkEnd w:id="40"/>
      <w:bookmarkEnd w:id="41"/>
    </w:p>
    <w:p w14:paraId="039AA4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财政拨款收、支总计</w:t>
      </w:r>
      <w:r>
        <w:rPr>
          <w:rFonts w:hint="eastAsia" w:ascii="仿宋_GB2312" w:hAnsi="仿宋_GB2312" w:eastAsia="仿宋_GB2312" w:cs="仿宋_GB2312"/>
          <w:color w:val="auto"/>
          <w:sz w:val="32"/>
          <w:szCs w:val="32"/>
          <w:highlight w:val="none"/>
          <w:lang w:eastAsia="zh-CN"/>
        </w:rPr>
        <w:t>均为</w:t>
      </w:r>
      <w:r>
        <w:rPr>
          <w:rFonts w:hint="eastAsia" w:ascii="仿宋_GB2312" w:hAnsi="仿宋_GB2312" w:eastAsia="仿宋_GB2312" w:cs="仿宋_GB2312"/>
          <w:color w:val="auto"/>
          <w:sz w:val="32"/>
          <w:szCs w:val="32"/>
          <w:highlight w:val="none"/>
          <w:lang w:val="en-US" w:eastAsia="zh-CN"/>
        </w:rPr>
        <w:t>8940.52</w:t>
      </w:r>
      <w:r>
        <w:rPr>
          <w:rFonts w:hint="eastAsia" w:ascii="仿宋_GB2312" w:hAnsi="仿宋_GB2312" w:eastAsia="仿宋_GB2312" w:cs="仿宋_GB2312"/>
          <w:color w:val="auto"/>
          <w:sz w:val="32"/>
          <w:szCs w:val="32"/>
          <w:highlight w:val="none"/>
        </w:rPr>
        <w:t>万元。与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相比，收、支总计</w:t>
      </w:r>
      <w:r>
        <w:rPr>
          <w:rFonts w:hint="eastAsia" w:ascii="仿宋_GB2312" w:hAnsi="仿宋_GB2312" w:eastAsia="仿宋_GB2312" w:cs="仿宋_GB2312"/>
          <w:color w:val="auto"/>
          <w:sz w:val="32"/>
          <w:szCs w:val="32"/>
          <w:highlight w:val="none"/>
          <w:lang w:val="en-US" w:eastAsia="zh-CN"/>
        </w:rPr>
        <w:t>增加3462.28</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增长38.73</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2024年度增加了大中型水库移民后期扶持项目资金</w:t>
      </w:r>
      <w:r>
        <w:rPr>
          <w:rFonts w:hint="eastAsia" w:ascii="仿宋_GB2312" w:hAnsi="仿宋_GB2312" w:eastAsia="仿宋_GB2312" w:cs="仿宋_GB2312"/>
          <w:color w:val="auto"/>
          <w:sz w:val="32"/>
          <w:szCs w:val="32"/>
          <w:highlight w:val="none"/>
          <w:lang w:eastAsia="zh-CN"/>
        </w:rPr>
        <w:t>。</w:t>
      </w:r>
    </w:p>
    <w:p w14:paraId="517E77DC">
      <w:pPr>
        <w:pStyle w:val="23"/>
        <w:pageBreakBefore w:val="0"/>
        <w:kinsoku/>
        <w:wordWrap/>
        <w:overflowPunct/>
        <w:topLinePunct w:val="0"/>
        <w:bidi w:val="0"/>
        <w:spacing w:before="0" w:after="0" w:line="600" w:lineRule="exact"/>
        <w:rPr>
          <w:rFonts w:hint="eastAsia" w:eastAsia="黑体"/>
          <w:lang w:eastAsia="zh-CN"/>
        </w:rPr>
      </w:pPr>
      <w:r>
        <w:rPr>
          <w:rFonts w:hint="eastAsia" w:eastAsia="黑体"/>
          <w:lang w:eastAsia="zh-CN"/>
        </w:rPr>
        <w:drawing>
          <wp:inline distT="0" distB="0" distL="114300" distR="114300">
            <wp:extent cx="5256530" cy="2988310"/>
            <wp:effectExtent l="5080" t="4445" r="1524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B502F7">
      <w:pPr>
        <w:pageBreakBefore w:val="0"/>
        <w:kinsoku/>
        <w:wordWrap/>
        <w:overflowPunct/>
        <w:topLinePunct w:val="0"/>
        <w:bidi w:val="0"/>
        <w:spacing w:line="600" w:lineRule="exact"/>
        <w:ind w:firstLine="640" w:firstLineChars="200"/>
        <w:outlineLvl w:val="1"/>
        <w:rPr>
          <w:rStyle w:val="25"/>
          <w:rFonts w:ascii="黑体" w:hAnsi="黑体" w:eastAsia="黑体"/>
          <w:b w:val="0"/>
          <w:color w:val="auto"/>
          <w:highlight w:val="none"/>
        </w:rPr>
      </w:pPr>
      <w:bookmarkStart w:id="42" w:name="_Toc19915"/>
      <w:bookmarkStart w:id="43" w:name="_Toc15396607"/>
      <w:bookmarkStart w:id="44" w:name="_Toc15377209"/>
      <w:bookmarkStart w:id="45" w:name="_Toc29221"/>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般公共预算财政拨款支出决算情况说明</w:t>
      </w:r>
      <w:bookmarkEnd w:id="42"/>
      <w:bookmarkEnd w:id="43"/>
      <w:bookmarkEnd w:id="44"/>
      <w:bookmarkEnd w:id="45"/>
    </w:p>
    <w:p w14:paraId="40390E90">
      <w:pPr>
        <w:pageBreakBefore w:val="0"/>
        <w:kinsoku/>
        <w:wordWrap/>
        <w:overflowPunct/>
        <w:topLinePunct w:val="0"/>
        <w:bidi w:val="0"/>
        <w:spacing w:line="600" w:lineRule="exact"/>
        <w:ind w:firstLine="643" w:firstLineChars="200"/>
        <w:outlineLvl w:val="2"/>
        <w:rPr>
          <w:rFonts w:ascii="仿宋" w:hAnsi="仿宋" w:eastAsia="仿宋"/>
          <w:b/>
          <w:color w:val="auto"/>
          <w:sz w:val="32"/>
          <w:szCs w:val="32"/>
          <w:highlight w:val="none"/>
        </w:rPr>
      </w:pPr>
      <w:bookmarkStart w:id="46" w:name="_Toc15377210"/>
      <w:r>
        <w:rPr>
          <w:rFonts w:hint="eastAsia" w:ascii="仿宋" w:hAnsi="仿宋" w:eastAsia="仿宋"/>
          <w:b/>
          <w:color w:val="auto"/>
          <w:sz w:val="32"/>
          <w:szCs w:val="32"/>
          <w:highlight w:val="none"/>
        </w:rPr>
        <w:t>（一）一般公共预算财政拨款支出决算总体情况</w:t>
      </w:r>
      <w:bookmarkEnd w:id="46"/>
    </w:p>
    <w:p w14:paraId="298A3A33">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51.04</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lang w:val="en-US" w:eastAsia="zh-CN"/>
        </w:rPr>
        <w:t>增加</w:t>
      </w:r>
      <w:r>
        <w:rPr>
          <w:rFonts w:hint="eastAsia" w:ascii="仿宋_GB2312" w:hAnsi="仿宋_GB2312" w:eastAsia="仿宋_GB2312" w:cs="仿宋_GB2312"/>
          <w:sz w:val="32"/>
          <w:szCs w:val="32"/>
          <w:lang w:val="en-US" w:eastAsia="zh-CN"/>
        </w:rPr>
        <w:t>2210.69</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93.99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val="en-US" w:eastAsia="zh-CN"/>
        </w:rPr>
        <w:t>无重大项目支出。</w:t>
      </w:r>
    </w:p>
    <w:p w14:paraId="3F84DB1A">
      <w:pPr>
        <w:pStyle w:val="6"/>
        <w:pageBreakBefore w:val="0"/>
        <w:kinsoku/>
        <w:wordWrap/>
        <w:overflowPunct/>
        <w:topLinePunct w:val="0"/>
        <w:bidi w:val="0"/>
        <w:spacing w:beforeLines="0" w:line="240" w:lineRule="auto"/>
        <w:rPr>
          <w:rFonts w:hint="eastAsia"/>
          <w:lang w:eastAsia="zh-CN"/>
        </w:rPr>
      </w:pPr>
      <w:r>
        <w:rPr>
          <w:rFonts w:hint="eastAsia"/>
          <w:lang w:eastAsia="zh-CN"/>
        </w:rPr>
        <w:drawing>
          <wp:inline distT="0" distB="0" distL="114300" distR="114300">
            <wp:extent cx="5256530" cy="2988310"/>
            <wp:effectExtent l="5080" t="4445" r="15240" b="17145"/>
            <wp:docPr id="9" name="图表 9" descr="7b0a202020202263686172745265734964223a2022323034373535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2B444D">
      <w:pPr>
        <w:pageBreakBefore w:val="0"/>
        <w:kinsoku/>
        <w:wordWrap/>
        <w:overflowPunct/>
        <w:topLinePunct w:val="0"/>
        <w:bidi w:val="0"/>
        <w:spacing w:line="600" w:lineRule="exact"/>
        <w:ind w:firstLine="643" w:firstLineChars="200"/>
        <w:outlineLvl w:val="2"/>
        <w:rPr>
          <w:rFonts w:ascii="仿宋" w:hAnsi="仿宋" w:eastAsia="仿宋"/>
          <w:b/>
          <w:color w:val="auto"/>
          <w:sz w:val="32"/>
          <w:szCs w:val="32"/>
          <w:highlight w:val="none"/>
        </w:rPr>
      </w:pPr>
      <w:bookmarkStart w:id="47" w:name="_Toc15377211"/>
      <w:r>
        <w:rPr>
          <w:rFonts w:hint="eastAsia" w:ascii="仿宋" w:hAnsi="仿宋" w:eastAsia="仿宋"/>
          <w:b/>
          <w:color w:val="auto"/>
          <w:sz w:val="32"/>
          <w:szCs w:val="32"/>
          <w:highlight w:val="none"/>
        </w:rPr>
        <w:t>（二）一般公共预算财政拨款支出决算结构情况</w:t>
      </w:r>
      <w:bookmarkEnd w:id="47"/>
    </w:p>
    <w:p w14:paraId="767A1EAA">
      <w:pPr>
        <w:pageBreakBefore w:val="0"/>
        <w:kinsoku/>
        <w:wordWrap/>
        <w:overflowPunct/>
        <w:topLinePunct w:val="0"/>
        <w:bidi w:val="0"/>
        <w:spacing w:line="600" w:lineRule="exact"/>
        <w:ind w:firstLine="640"/>
        <w:rPr>
          <w:rFonts w:ascii="仿宋" w:hAnsi="仿宋" w:eastAsia="仿宋"/>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4562.86</w:t>
      </w:r>
      <w:r>
        <w:rPr>
          <w:rFonts w:hint="eastAsia" w:ascii="仿宋_GB2312" w:hAnsi="仿宋_GB2312" w:eastAsia="仿宋_GB2312" w:cs="仿宋_GB2312"/>
          <w:color w:val="auto"/>
          <w:sz w:val="32"/>
          <w:szCs w:val="32"/>
          <w:highlight w:val="none"/>
        </w:rPr>
        <w:t>万元，主要用于以下方面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color w:val="auto"/>
          <w:sz w:val="32"/>
          <w:szCs w:val="32"/>
          <w:highlight w:val="none"/>
        </w:rPr>
        <w:t>社会保障和就业</w:t>
      </w:r>
      <w:r>
        <w:rPr>
          <w:rFonts w:hint="eastAsia" w:ascii="仿宋_GB2312" w:hAnsi="仿宋_GB2312" w:eastAsia="仿宋_GB2312" w:cs="仿宋_GB2312"/>
          <w:b/>
          <w:bCs/>
          <w:color w:val="auto"/>
          <w:sz w:val="32"/>
          <w:szCs w:val="32"/>
          <w:highlight w:val="none"/>
        </w:rPr>
        <w:t>支出</w:t>
      </w:r>
      <w:r>
        <w:rPr>
          <w:rFonts w:hint="eastAsia" w:ascii="仿宋_GB2312" w:hAnsi="仿宋_GB2312" w:eastAsia="仿宋_GB2312" w:cs="仿宋_GB2312"/>
          <w:b w:val="0"/>
          <w:bCs w:val="0"/>
          <w:color w:val="auto"/>
          <w:sz w:val="32"/>
          <w:szCs w:val="32"/>
          <w:highlight w:val="none"/>
          <w:lang w:val="en-US" w:eastAsia="zh-CN"/>
        </w:rPr>
        <w:t>122.81</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2.69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卫生健康支出</w:t>
      </w:r>
      <w:r>
        <w:rPr>
          <w:rFonts w:hint="eastAsia" w:ascii="仿宋_GB2312" w:hAnsi="仿宋_GB2312" w:eastAsia="仿宋_GB2312" w:cs="仿宋_GB2312"/>
          <w:color w:val="auto"/>
          <w:sz w:val="32"/>
          <w:szCs w:val="32"/>
          <w:highlight w:val="none"/>
          <w:lang w:val="en-US" w:eastAsia="zh-CN"/>
        </w:rPr>
        <w:t>20.57</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0.45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农林水</w:t>
      </w:r>
      <w:r>
        <w:rPr>
          <w:rFonts w:hint="eastAsia" w:ascii="仿宋_GB2312" w:hAnsi="仿宋_GB2312" w:eastAsia="仿宋_GB2312" w:cs="仿宋_GB2312"/>
          <w:b/>
          <w:bCs/>
          <w:color w:val="auto"/>
          <w:sz w:val="32"/>
          <w:szCs w:val="32"/>
          <w:highlight w:val="none"/>
          <w:lang w:eastAsia="zh-CN"/>
        </w:rPr>
        <w:t>支出</w:t>
      </w:r>
      <w:r>
        <w:rPr>
          <w:rFonts w:hint="eastAsia" w:ascii="仿宋_GB2312" w:hAnsi="仿宋_GB2312" w:eastAsia="仿宋_GB2312" w:cs="仿宋_GB2312"/>
          <w:color w:val="auto"/>
          <w:sz w:val="32"/>
          <w:szCs w:val="32"/>
          <w:highlight w:val="none"/>
          <w:lang w:val="en-US" w:eastAsia="zh-CN"/>
        </w:rPr>
        <w:t>4358.68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95.53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住房保障支出</w:t>
      </w:r>
      <w:r>
        <w:rPr>
          <w:rFonts w:hint="eastAsia" w:ascii="仿宋_GB2312" w:hAnsi="仿宋_GB2312" w:eastAsia="仿宋_GB2312" w:cs="仿宋_GB2312"/>
          <w:color w:val="auto"/>
          <w:sz w:val="32"/>
          <w:szCs w:val="32"/>
          <w:highlight w:val="none"/>
          <w:lang w:val="en-US" w:eastAsia="zh-CN"/>
        </w:rPr>
        <w:t>60.80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1.33</w:t>
      </w:r>
      <w:r>
        <w:rPr>
          <w:rFonts w:hint="eastAsia" w:ascii="仿宋_GB2312" w:hAnsi="仿宋_GB2312" w:eastAsia="仿宋_GB2312" w:cs="仿宋_GB2312"/>
          <w:color w:val="auto"/>
          <w:sz w:val="32"/>
          <w:szCs w:val="32"/>
          <w:highlight w:val="none"/>
        </w:rPr>
        <w:t>%。</w:t>
      </w:r>
    </w:p>
    <w:p w14:paraId="1D2B4CF3">
      <w:pPr>
        <w:pStyle w:val="6"/>
        <w:pageBreakBefore w:val="0"/>
        <w:kinsoku/>
        <w:wordWrap/>
        <w:overflowPunct/>
        <w:topLinePunct w:val="0"/>
        <w:bidi w:val="0"/>
        <w:spacing w:beforeLines="0" w:line="240" w:lineRule="auto"/>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5213985" cy="2939415"/>
            <wp:effectExtent l="4445" t="4445" r="20320" b="8890"/>
            <wp:docPr id="7" name="图表 7" descr="7b0a202020202263686172745265734964223a202232303437363934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D4A744">
      <w:pPr>
        <w:pageBreakBefore w:val="0"/>
        <w:kinsoku/>
        <w:wordWrap/>
        <w:overflowPunct/>
        <w:topLinePunct w:val="0"/>
        <w:bidi w:val="0"/>
        <w:spacing w:line="600" w:lineRule="exact"/>
        <w:ind w:firstLine="643" w:firstLineChars="200"/>
        <w:outlineLvl w:val="2"/>
        <w:rPr>
          <w:rFonts w:ascii="仿宋" w:hAnsi="仿宋" w:eastAsia="仿宋"/>
          <w:b/>
          <w:color w:val="auto"/>
          <w:sz w:val="32"/>
          <w:szCs w:val="32"/>
          <w:highlight w:val="none"/>
        </w:rPr>
      </w:pPr>
      <w:bookmarkStart w:id="48" w:name="_Toc15377212"/>
      <w:r>
        <w:rPr>
          <w:rFonts w:hint="eastAsia" w:ascii="仿宋" w:hAnsi="仿宋" w:eastAsia="仿宋"/>
          <w:b/>
          <w:color w:val="auto"/>
          <w:sz w:val="32"/>
          <w:szCs w:val="32"/>
          <w:highlight w:val="none"/>
        </w:rPr>
        <w:t>（三）一般公共预算财政拨款支出决算具体情况</w:t>
      </w:r>
      <w:bookmarkEnd w:id="48"/>
    </w:p>
    <w:p w14:paraId="45CDDB5D">
      <w:pPr>
        <w:pageBreakBefore w:val="0"/>
        <w:kinsoku/>
        <w:wordWrap/>
        <w:overflowPunct/>
        <w:topLinePunct w:val="0"/>
        <w:bidi w:val="0"/>
        <w:spacing w:line="600" w:lineRule="exact"/>
        <w:ind w:firstLine="643" w:firstLineChars="200"/>
        <w:outlineLvl w:val="2"/>
        <w:rPr>
          <w:rStyle w:val="20"/>
          <w:rFonts w:hint="eastAsia" w:ascii="仿宋_GB2312" w:hAnsi="仿宋_GB2312" w:eastAsia="仿宋_GB2312" w:cs="仿宋_GB2312"/>
          <w:bCs/>
          <w:color w:val="auto"/>
          <w:sz w:val="32"/>
          <w:szCs w:val="32"/>
          <w:highlight w:val="none"/>
        </w:rPr>
      </w:pPr>
      <w:bookmarkStart w:id="49" w:name="_Toc15377213"/>
      <w:bookmarkStart w:id="50" w:name="_Toc15378460"/>
      <w:bookmarkStart w:id="51" w:name="_Toc15377444"/>
      <w:r>
        <w:rPr>
          <w:rFonts w:hint="eastAsia" w:ascii="仿宋_GB2312" w:hAnsi="仿宋_GB2312" w:eastAsia="仿宋_GB2312" w:cs="仿宋_GB2312"/>
          <w:b/>
          <w:color w:val="auto"/>
          <w:sz w:val="32"/>
          <w:szCs w:val="32"/>
          <w:highlight w:val="none"/>
          <w:lang w:eastAsia="zh-CN"/>
        </w:rPr>
        <w:t>202</w:t>
      </w:r>
      <w:r>
        <w:rPr>
          <w:rFonts w:hint="eastAsia" w:ascii="仿宋_GB2312" w:hAnsi="仿宋_GB2312" w:eastAsia="仿宋_GB2312" w:cs="仿宋_GB2312"/>
          <w:b/>
          <w:color w:val="auto"/>
          <w:sz w:val="32"/>
          <w:szCs w:val="32"/>
          <w:highlight w:val="none"/>
          <w:lang w:val="en-US" w:eastAsia="zh-CN"/>
        </w:rPr>
        <w:t>4</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lang w:eastAsia="zh-CN"/>
        </w:rPr>
        <w:t>一</w:t>
      </w:r>
      <w:r>
        <w:rPr>
          <w:rFonts w:hint="eastAsia" w:ascii="仿宋_GB2312" w:hAnsi="仿宋_GB2312" w:eastAsia="仿宋_GB2312" w:cs="仿宋_GB2312"/>
          <w:b/>
          <w:color w:val="auto"/>
          <w:sz w:val="32"/>
          <w:szCs w:val="32"/>
          <w:highlight w:val="none"/>
        </w:rPr>
        <w:t>般公共预算支出决算数为</w:t>
      </w:r>
      <w:r>
        <w:rPr>
          <w:rFonts w:hint="eastAsia" w:ascii="仿宋_GB2312" w:hAnsi="仿宋_GB2312" w:eastAsia="仿宋_GB2312" w:cs="仿宋_GB2312"/>
          <w:b/>
          <w:color w:val="auto"/>
          <w:sz w:val="32"/>
          <w:szCs w:val="32"/>
          <w:highlight w:val="none"/>
          <w:lang w:val="en-US" w:eastAsia="zh-CN"/>
        </w:rPr>
        <w:t>4562.86万元</w:t>
      </w:r>
      <w:r>
        <w:rPr>
          <w:rFonts w:hint="eastAsia" w:ascii="仿宋_GB2312" w:hAnsi="仿宋_GB2312" w:eastAsia="仿宋_GB2312" w:cs="仿宋_GB2312"/>
          <w:color w:val="auto"/>
          <w:sz w:val="32"/>
          <w:szCs w:val="32"/>
          <w:highlight w:val="none"/>
        </w:rPr>
        <w:t>，</w:t>
      </w:r>
      <w:r>
        <w:rPr>
          <w:rStyle w:val="20"/>
          <w:rFonts w:hint="eastAsia" w:ascii="仿宋_GB2312" w:hAnsi="仿宋_GB2312" w:eastAsia="仿宋_GB2312" w:cs="仿宋_GB2312"/>
          <w:bCs/>
          <w:color w:val="auto"/>
          <w:sz w:val="32"/>
          <w:szCs w:val="32"/>
          <w:highlight w:val="none"/>
        </w:rPr>
        <w:t>完成预算</w:t>
      </w:r>
      <w:r>
        <w:rPr>
          <w:rStyle w:val="20"/>
          <w:rFonts w:hint="eastAsia" w:ascii="仿宋_GB2312" w:hAnsi="仿宋_GB2312" w:eastAsia="仿宋_GB2312" w:cs="仿宋_GB2312"/>
          <w:bCs/>
          <w:color w:val="auto"/>
          <w:sz w:val="32"/>
          <w:szCs w:val="32"/>
          <w:highlight w:val="none"/>
          <w:lang w:val="en-US" w:eastAsia="zh-CN"/>
        </w:rPr>
        <w:t>100</w:t>
      </w:r>
      <w:r>
        <w:rPr>
          <w:rStyle w:val="20"/>
          <w:rFonts w:hint="eastAsia" w:ascii="仿宋_GB2312" w:hAnsi="仿宋_GB2312" w:eastAsia="仿宋_GB2312" w:cs="仿宋_GB2312"/>
          <w:bCs/>
          <w:color w:val="auto"/>
          <w:sz w:val="32"/>
          <w:szCs w:val="32"/>
          <w:highlight w:val="none"/>
        </w:rPr>
        <w:t>%。其中：</w:t>
      </w:r>
      <w:bookmarkEnd w:id="49"/>
      <w:bookmarkEnd w:id="50"/>
      <w:bookmarkEnd w:id="51"/>
    </w:p>
    <w:p w14:paraId="7114D582">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1.</w:t>
      </w:r>
      <w:r>
        <w:rPr>
          <w:rStyle w:val="20"/>
          <w:rFonts w:hint="eastAsia" w:ascii="仿宋_GB2312" w:hAnsi="仿宋_GB2312" w:eastAsia="仿宋_GB2312" w:cs="仿宋_GB2312"/>
          <w:bCs/>
          <w:color w:val="auto"/>
          <w:sz w:val="32"/>
          <w:szCs w:val="32"/>
          <w:highlight w:val="none"/>
        </w:rPr>
        <w:t>社会保障和就业（类）行政事业养老支出（款）  机关事业基本养老保险缴费支出（项）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72.96</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458FD158">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2.</w:t>
      </w:r>
      <w:r>
        <w:rPr>
          <w:rStyle w:val="20"/>
          <w:rFonts w:hint="eastAsia" w:ascii="仿宋_GB2312" w:hAnsi="仿宋_GB2312" w:eastAsia="仿宋_GB2312" w:cs="仿宋_GB2312"/>
          <w:bCs/>
          <w:color w:val="auto"/>
          <w:sz w:val="32"/>
          <w:szCs w:val="32"/>
          <w:highlight w:val="none"/>
        </w:rPr>
        <w:t>社会保障和就业（类）行政事业养老支出（款）    机关事业职业年金缴费支出（项）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36.48</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73FDADD8">
      <w:pPr>
        <w:pageBreakBefore w:val="0"/>
        <w:numPr>
          <w:ilvl w:val="0"/>
          <w:numId w:val="0"/>
        </w:numPr>
        <w:kinsoku/>
        <w:wordWrap/>
        <w:overflowPunct/>
        <w:topLinePunct w:val="0"/>
        <w:bidi w:val="0"/>
        <w:spacing w:line="600" w:lineRule="exact"/>
        <w:ind w:left="-13" w:leftChars="0" w:firstLine="638"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3.</w:t>
      </w:r>
      <w:r>
        <w:rPr>
          <w:rFonts w:hint="eastAsia" w:ascii="仿宋_GB2312" w:hAnsi="仿宋_GB2312" w:eastAsia="仿宋_GB2312" w:cs="仿宋_GB2312"/>
          <w:lang w:val="en-US" w:eastAsia="zh-CN"/>
        </w:rPr>
        <w:t xml:space="preserve"> </w:t>
      </w:r>
      <w:r>
        <w:rPr>
          <w:rStyle w:val="20"/>
          <w:rFonts w:hint="eastAsia" w:ascii="仿宋_GB2312" w:hAnsi="仿宋_GB2312" w:eastAsia="仿宋_GB2312" w:cs="仿宋_GB2312"/>
          <w:bCs/>
          <w:color w:val="auto"/>
          <w:sz w:val="32"/>
          <w:szCs w:val="32"/>
          <w:highlight w:val="none"/>
        </w:rPr>
        <w:t>社会保障和就业（类）其他社会保障和就业支出（款）      其他社会保障和就业支出（项）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支出决算为</w:t>
      </w:r>
      <w:r>
        <w:rPr>
          <w:rStyle w:val="20"/>
          <w:rFonts w:hint="eastAsia" w:ascii="仿宋_GB2312" w:hAnsi="仿宋_GB2312" w:eastAsia="仿宋_GB2312" w:cs="仿宋_GB2312"/>
          <w:b w:val="0"/>
          <w:bCs/>
          <w:color w:val="auto"/>
          <w:sz w:val="32"/>
          <w:szCs w:val="32"/>
          <w:highlight w:val="none"/>
          <w:lang w:val="en-US" w:eastAsia="zh-CN"/>
        </w:rPr>
        <w:t>13.37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1F825DE3">
      <w:pPr>
        <w:pageBreakBefore w:val="0"/>
        <w:numPr>
          <w:ilvl w:val="0"/>
          <w:numId w:val="0"/>
        </w:numPr>
        <w:kinsoku/>
        <w:wordWrap/>
        <w:overflowPunct/>
        <w:topLinePunct w:val="0"/>
        <w:bidi w:val="0"/>
        <w:spacing w:line="600" w:lineRule="exact"/>
        <w:ind w:left="-13" w:leftChars="0" w:firstLine="643"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4.</w:t>
      </w: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（类）行政事业医疗（款）行政医疗（项）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20.57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rPr>
        <w:t>。</w:t>
      </w:r>
    </w:p>
    <w:p w14:paraId="303705B8">
      <w:pPr>
        <w:pageBreakBefore w:val="0"/>
        <w:numPr>
          <w:ilvl w:val="0"/>
          <w:numId w:val="0"/>
        </w:numPr>
        <w:kinsoku/>
        <w:wordWrap/>
        <w:overflowPunct/>
        <w:topLinePunct w:val="0"/>
        <w:bidi w:val="0"/>
        <w:spacing w:line="600" w:lineRule="exact"/>
        <w:ind w:left="-13" w:leftChars="0" w:firstLine="643"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5.</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（类）水利（款）行政运行（项）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392.37</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111529AA">
      <w:pPr>
        <w:pStyle w:val="6"/>
        <w:pageBreakBefore w:val="0"/>
        <w:numPr>
          <w:ilvl w:val="0"/>
          <w:numId w:val="0"/>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kern w:val="0"/>
          <w:sz w:val="32"/>
          <w:szCs w:val="32"/>
          <w:lang w:val="en-US" w:eastAsia="zh-CN" w:bidi="ar-SA"/>
        </w:rPr>
        <w:t>6.</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（类）水利（款）水利行业业务管理（项）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431.61</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58E3F02A">
      <w:pPr>
        <w:pStyle w:val="6"/>
        <w:pageBreakBefore w:val="0"/>
        <w:numPr>
          <w:ilvl w:val="0"/>
          <w:numId w:val="0"/>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kern w:val="0"/>
          <w:sz w:val="32"/>
          <w:szCs w:val="32"/>
          <w:lang w:val="en-US" w:eastAsia="zh-CN" w:bidi="ar-SA"/>
        </w:rPr>
        <w:t>7.</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（类）水利（款）其他水利支出（项）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2899.20</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77506FA0">
      <w:pPr>
        <w:pStyle w:val="6"/>
        <w:pageBreakBefore w:val="0"/>
        <w:numPr>
          <w:ilvl w:val="0"/>
          <w:numId w:val="0"/>
        </w:numPr>
        <w:kinsoku/>
        <w:wordWrap/>
        <w:overflowPunct/>
        <w:topLinePunct w:val="0"/>
        <w:bidi w:val="0"/>
        <w:spacing w:beforeLines="0" w:line="600" w:lineRule="exact"/>
        <w:ind w:left="-13" w:leftChars="0" w:firstLine="643" w:firstLineChars="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kern w:val="0"/>
          <w:sz w:val="32"/>
          <w:szCs w:val="32"/>
          <w:lang w:val="en-US" w:eastAsia="zh-CN" w:bidi="ar-SA"/>
        </w:rPr>
        <w:t>8.</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（类）巩固脱贫衔接乡村振兴（款）其他巩固脱贫衔接乡村振兴支出（项）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635.51</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0F40C78B">
      <w:pPr>
        <w:pStyle w:val="6"/>
        <w:pageBreakBefore w:val="0"/>
        <w:numPr>
          <w:ilvl w:val="0"/>
          <w:numId w:val="0"/>
        </w:numPr>
        <w:kinsoku/>
        <w:wordWrap/>
        <w:overflowPunct/>
        <w:topLinePunct w:val="0"/>
        <w:bidi w:val="0"/>
        <w:spacing w:beforeLines="0" w:line="600" w:lineRule="exact"/>
        <w:ind w:left="-13" w:leftChars="0" w:firstLine="643"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lang w:val="en-US" w:eastAsia="zh-CN" w:bidi="ar-SA"/>
        </w:rPr>
        <w:t>9.</w:t>
      </w:r>
      <w:r>
        <w:rPr>
          <w:rFonts w:hint="eastAsia" w:ascii="仿宋_GB2312" w:hAnsi="仿宋_GB2312" w:eastAsia="仿宋_GB2312" w:cs="仿宋_GB2312"/>
          <w:b/>
          <w:bCs/>
          <w:color w:val="auto"/>
          <w:sz w:val="32"/>
          <w:szCs w:val="32"/>
          <w:highlight w:val="none"/>
        </w:rPr>
        <w:t>住房保障支出</w:t>
      </w:r>
      <w:r>
        <w:rPr>
          <w:rStyle w:val="20"/>
          <w:rFonts w:hint="eastAsia" w:ascii="仿宋_GB2312" w:hAnsi="仿宋_GB2312" w:eastAsia="仿宋_GB2312" w:cs="仿宋_GB2312"/>
          <w:bCs/>
          <w:color w:val="auto"/>
          <w:sz w:val="32"/>
          <w:szCs w:val="32"/>
          <w:highlight w:val="none"/>
        </w:rPr>
        <w:t>（类）住房改革支出（款）住房公积金（项）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支出决算为</w:t>
      </w:r>
      <w:r>
        <w:rPr>
          <w:rStyle w:val="20"/>
          <w:rFonts w:hint="eastAsia" w:ascii="仿宋_GB2312" w:hAnsi="仿宋_GB2312" w:eastAsia="仿宋_GB2312" w:cs="仿宋_GB2312"/>
          <w:b w:val="0"/>
          <w:bCs/>
          <w:color w:val="auto"/>
          <w:sz w:val="32"/>
          <w:szCs w:val="32"/>
          <w:highlight w:val="none"/>
          <w:lang w:val="en-US" w:eastAsia="zh-CN"/>
        </w:rPr>
        <w:t>60.80</w:t>
      </w:r>
      <w:r>
        <w:rPr>
          <w:rStyle w:val="20"/>
          <w:rFonts w:hint="eastAsia" w:ascii="仿宋_GB2312" w:hAnsi="仿宋_GB2312" w:eastAsia="仿宋_GB2312" w:cs="仿宋_GB2312"/>
          <w:b w:val="0"/>
          <w:bCs/>
          <w:color w:val="auto"/>
          <w:sz w:val="32"/>
          <w:szCs w:val="32"/>
          <w:highlight w:val="none"/>
        </w:rPr>
        <w:t>万元，完成预算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Style w:val="20"/>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color w:val="auto"/>
          <w:kern w:val="2"/>
          <w:sz w:val="32"/>
          <w:lang w:val="en-US"/>
        </w:rPr>
        <w:t>决算数等于预算数</w:t>
      </w:r>
      <w:r>
        <w:rPr>
          <w:rStyle w:val="20"/>
          <w:rFonts w:hint="eastAsia" w:ascii="仿宋_GB2312" w:hAnsi="仿宋_GB2312" w:eastAsia="仿宋_GB2312" w:cs="仿宋_GB2312"/>
          <w:b w:val="0"/>
          <w:bCs/>
          <w:color w:val="auto"/>
          <w:sz w:val="32"/>
          <w:szCs w:val="32"/>
          <w:highlight w:val="none"/>
          <w:lang w:eastAsia="zh-CN"/>
        </w:rPr>
        <w:t>。</w:t>
      </w:r>
    </w:p>
    <w:p w14:paraId="7675043B">
      <w:pPr>
        <w:pageBreakBefore w:val="0"/>
        <w:tabs>
          <w:tab w:val="right" w:pos="8306"/>
        </w:tabs>
        <w:kinsoku/>
        <w:wordWrap/>
        <w:overflowPunct/>
        <w:topLinePunct w:val="0"/>
        <w:bidi w:val="0"/>
        <w:spacing w:line="600" w:lineRule="exact"/>
        <w:ind w:firstLine="640"/>
        <w:outlineLvl w:val="1"/>
        <w:rPr>
          <w:rStyle w:val="25"/>
          <w:color w:val="auto"/>
          <w:highlight w:val="none"/>
        </w:rPr>
      </w:pPr>
      <w:bookmarkStart w:id="52" w:name="_Toc15377214"/>
      <w:bookmarkStart w:id="53" w:name="_Toc15396608"/>
      <w:bookmarkStart w:id="54" w:name="_Toc17926"/>
      <w:bookmarkStart w:id="55" w:name="_Toc3500"/>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5"/>
          <w:rFonts w:hint="eastAsia" w:ascii="黑体" w:hAnsi="黑体" w:eastAsia="黑体"/>
          <w:b w:val="0"/>
          <w:color w:val="auto"/>
          <w:highlight w:val="none"/>
        </w:rPr>
        <w:t>般公共预算财政拨款基本支出决算情况说明</w:t>
      </w:r>
      <w:bookmarkEnd w:id="52"/>
      <w:bookmarkEnd w:id="53"/>
      <w:bookmarkEnd w:id="54"/>
      <w:bookmarkEnd w:id="55"/>
      <w:r>
        <w:rPr>
          <w:rStyle w:val="25"/>
          <w:rFonts w:ascii="黑体" w:hAnsi="黑体" w:eastAsia="黑体"/>
          <w:b w:val="0"/>
          <w:color w:val="auto"/>
          <w:highlight w:val="none"/>
        </w:rPr>
        <w:tab/>
      </w:r>
    </w:p>
    <w:p w14:paraId="59E168FD">
      <w:pPr>
        <w:pageBreakBefore w:val="0"/>
        <w:kinsoku/>
        <w:wordWrap/>
        <w:overflowPunct/>
        <w:topLinePunct w:val="0"/>
        <w:bidi w:val="0"/>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年一般公共预算财政拨款基本支出</w:t>
      </w:r>
      <w:r>
        <w:rPr>
          <w:rFonts w:hint="eastAsia" w:ascii="仿宋_GB2312" w:hAnsi="仿宋_GB2312" w:eastAsia="仿宋_GB2312" w:cs="仿宋_GB2312"/>
          <w:color w:val="auto"/>
          <w:sz w:val="32"/>
          <w:szCs w:val="32"/>
          <w:highlight w:val="none"/>
          <w:lang w:val="en-US" w:eastAsia="zh-CN"/>
        </w:rPr>
        <w:t>946.43</w:t>
      </w:r>
      <w:r>
        <w:rPr>
          <w:rFonts w:hint="eastAsia" w:ascii="仿宋_GB2312" w:hAnsi="仿宋_GB2312" w:eastAsia="仿宋_GB2312" w:cs="仿宋_GB2312"/>
          <w:color w:val="auto"/>
          <w:sz w:val="32"/>
          <w:szCs w:val="32"/>
          <w:highlight w:val="none"/>
        </w:rPr>
        <w:t>万元，其中：</w:t>
      </w:r>
    </w:p>
    <w:p w14:paraId="1389C5D6">
      <w:pPr>
        <w:pageBreakBefore w:val="0"/>
        <w:kinsoku/>
        <w:wordWrap/>
        <w:overflowPunct/>
        <w:topLinePunct w:val="0"/>
        <w:bidi w:val="0"/>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人员经费</w:t>
      </w:r>
      <w:r>
        <w:rPr>
          <w:rFonts w:hint="eastAsia" w:ascii="仿宋_GB2312" w:hAnsi="仿宋_GB2312" w:eastAsia="仿宋_GB2312" w:cs="仿宋_GB2312"/>
          <w:color w:val="auto"/>
          <w:sz w:val="32"/>
          <w:szCs w:val="32"/>
          <w:highlight w:val="none"/>
          <w:lang w:val="en-US" w:eastAsia="zh-CN"/>
        </w:rPr>
        <w:t>819.49</w:t>
      </w:r>
      <w:r>
        <w:rPr>
          <w:rFonts w:hint="eastAsia" w:ascii="仿宋_GB2312" w:hAnsi="仿宋_GB2312" w:eastAsia="仿宋_GB2312" w:cs="仿宋_GB2312"/>
          <w:color w:val="auto"/>
          <w:sz w:val="32"/>
          <w:szCs w:val="32"/>
          <w:highlight w:val="none"/>
        </w:rPr>
        <w:t>万元，主要包括：基本工资、津贴补贴、奖金、伙食补助费、绩效工资、机关事业基本养老保险缴费、职业年金缴费、</w:t>
      </w:r>
      <w:r>
        <w:rPr>
          <w:rFonts w:hint="eastAsia" w:ascii="仿宋_GB2312" w:hAnsi="仿宋_GB2312" w:eastAsia="仿宋_GB2312" w:cs="仿宋_GB2312"/>
          <w:color w:val="auto"/>
          <w:sz w:val="32"/>
          <w:szCs w:val="32"/>
          <w:highlight w:val="none"/>
          <w:lang w:val="en-US" w:eastAsia="zh-CN"/>
        </w:rPr>
        <w:t>公务员医疗补助缴费、职工基本医疗保险缴费、</w:t>
      </w:r>
      <w:r>
        <w:rPr>
          <w:rFonts w:hint="eastAsia" w:ascii="仿宋_GB2312" w:hAnsi="仿宋_GB2312" w:eastAsia="仿宋_GB2312" w:cs="仿宋_GB2312"/>
          <w:color w:val="auto"/>
          <w:sz w:val="32"/>
          <w:szCs w:val="32"/>
          <w:highlight w:val="none"/>
        </w:rPr>
        <w:t>其他社会保障缴费、</w:t>
      </w:r>
      <w:r>
        <w:rPr>
          <w:rFonts w:hint="eastAsia" w:ascii="仿宋_GB2312" w:hAnsi="仿宋_GB2312" w:eastAsia="仿宋_GB2312" w:cs="仿宋_GB2312"/>
          <w:color w:val="auto"/>
          <w:sz w:val="32"/>
          <w:szCs w:val="32"/>
          <w:highlight w:val="none"/>
          <w:lang w:val="en-US" w:eastAsia="zh-CN"/>
        </w:rPr>
        <w:t>住房公积金、</w:t>
      </w:r>
      <w:r>
        <w:rPr>
          <w:rFonts w:hint="eastAsia" w:ascii="仿宋_GB2312" w:hAnsi="仿宋_GB2312" w:eastAsia="仿宋_GB2312" w:cs="仿宋_GB2312"/>
          <w:color w:val="auto"/>
          <w:sz w:val="32"/>
          <w:szCs w:val="32"/>
          <w:highlight w:val="none"/>
        </w:rPr>
        <w:t>其他工资福利支出、生活补助。</w:t>
      </w:r>
      <w:r>
        <w:rPr>
          <w:rFonts w:hint="eastAsia" w:ascii="仿宋_GB2312" w:hAnsi="仿宋_GB2312" w:eastAsia="仿宋_GB2312" w:cs="仿宋_GB2312"/>
          <w:color w:val="auto"/>
          <w:sz w:val="32"/>
          <w:szCs w:val="32"/>
          <w:highlight w:val="none"/>
        </w:rPr>
        <w:br w:type="textWrapping"/>
      </w:r>
      <w:r>
        <w:rPr>
          <w:rFonts w:hint="eastAsia" w:ascii="仿宋_GB2312" w:hAnsi="仿宋_GB2312" w:eastAsia="仿宋_GB2312" w:cs="仿宋_GB2312"/>
          <w:color w:val="auto"/>
          <w:sz w:val="32"/>
          <w:szCs w:val="32"/>
          <w:highlight w:val="none"/>
        </w:rPr>
        <w:t>　　公用经费</w:t>
      </w:r>
      <w:r>
        <w:rPr>
          <w:rFonts w:hint="eastAsia" w:ascii="仿宋_GB2312" w:hAnsi="仿宋_GB2312" w:eastAsia="仿宋_GB2312" w:cs="仿宋_GB2312"/>
          <w:color w:val="auto"/>
          <w:sz w:val="32"/>
          <w:szCs w:val="32"/>
          <w:highlight w:val="none"/>
          <w:lang w:val="en-US" w:eastAsia="zh-CN"/>
        </w:rPr>
        <w:t>126.93</w:t>
      </w:r>
      <w:r>
        <w:rPr>
          <w:rFonts w:hint="eastAsia" w:ascii="仿宋_GB2312" w:hAnsi="仿宋_GB2312" w:eastAsia="仿宋_GB2312" w:cs="仿宋_GB2312"/>
          <w:color w:val="auto"/>
          <w:sz w:val="32"/>
          <w:szCs w:val="32"/>
          <w:highlight w:val="none"/>
        </w:rPr>
        <w:t>万元，主要包括：办公费、印刷费、水费、电费、邮电费、差旅费、维修（护）费、培训费、公务接待费、劳务费、委托业务费、工会经费、福利费、其他交通费、其他商品和服务支出、办公设备购置。</w:t>
      </w:r>
    </w:p>
    <w:p w14:paraId="3DCC141B">
      <w:pPr>
        <w:pageBreakBefore w:val="0"/>
        <w:kinsoku/>
        <w:wordWrap/>
        <w:overflowPunct/>
        <w:topLinePunct w:val="0"/>
        <w:bidi w:val="0"/>
        <w:spacing w:line="600" w:lineRule="exact"/>
        <w:ind w:firstLine="640"/>
        <w:outlineLvl w:val="1"/>
        <w:rPr>
          <w:rStyle w:val="25"/>
          <w:rFonts w:ascii="黑体" w:hAnsi="黑体" w:eastAsia="黑体"/>
          <w:b w:val="0"/>
          <w:color w:val="auto"/>
          <w:highlight w:val="none"/>
        </w:rPr>
      </w:pPr>
      <w:bookmarkStart w:id="56" w:name="_Toc21988"/>
      <w:bookmarkStart w:id="57" w:name="_Toc15377215"/>
      <w:bookmarkStart w:id="58" w:name="_Toc28816"/>
      <w:bookmarkStart w:id="59" w:name="_Toc15396609"/>
      <w:r>
        <w:rPr>
          <w:rFonts w:hint="eastAsia" w:ascii="黑体" w:eastAsia="黑体"/>
          <w:color w:val="auto"/>
          <w:sz w:val="32"/>
          <w:szCs w:val="32"/>
          <w:highlight w:val="none"/>
        </w:rPr>
        <w:t>七、</w:t>
      </w:r>
      <w:r>
        <w:rPr>
          <w:rStyle w:val="25"/>
          <w:rFonts w:hint="eastAsia" w:ascii="黑体" w:hAnsi="黑体" w:eastAsia="黑体"/>
          <w:b w:val="0"/>
          <w:color w:val="auto"/>
          <w:highlight w:val="none"/>
        </w:rPr>
        <w:t>财政拨款</w:t>
      </w:r>
      <w:r>
        <w:rPr>
          <w:rStyle w:val="25"/>
          <w:rFonts w:hint="eastAsia" w:ascii="黑体" w:hAnsi="黑体" w:eastAsia="黑体"/>
          <w:color w:val="auto"/>
          <w:highlight w:val="none"/>
        </w:rPr>
        <w:t>“</w:t>
      </w:r>
      <w:r>
        <w:rPr>
          <w:rStyle w:val="25"/>
          <w:rFonts w:hint="eastAsia" w:ascii="黑体" w:hAnsi="黑体" w:eastAsia="黑体"/>
          <w:b w:val="0"/>
          <w:color w:val="auto"/>
          <w:highlight w:val="none"/>
        </w:rPr>
        <w:t>三公”经费支出决算情况说明</w:t>
      </w:r>
      <w:bookmarkEnd w:id="56"/>
      <w:bookmarkEnd w:id="57"/>
      <w:bookmarkEnd w:id="58"/>
      <w:bookmarkEnd w:id="59"/>
    </w:p>
    <w:p w14:paraId="1ACFD385">
      <w:pPr>
        <w:pageBreakBefore w:val="0"/>
        <w:kinsoku/>
        <w:wordWrap/>
        <w:overflowPunct/>
        <w:topLinePunct w:val="0"/>
        <w:bidi w:val="0"/>
        <w:spacing w:line="600" w:lineRule="exact"/>
        <w:ind w:firstLine="640"/>
        <w:outlineLvl w:val="2"/>
        <w:rPr>
          <w:rFonts w:hint="eastAsia" w:ascii="仿宋_GB2312" w:hAnsi="仿宋_GB2312" w:eastAsia="仿宋_GB2312" w:cs="仿宋_GB2312"/>
          <w:b/>
          <w:color w:val="auto"/>
          <w:sz w:val="32"/>
          <w:szCs w:val="32"/>
          <w:highlight w:val="none"/>
        </w:rPr>
      </w:pPr>
      <w:bookmarkStart w:id="60" w:name="_Toc15377216"/>
      <w:r>
        <w:rPr>
          <w:rFonts w:hint="eastAsia" w:ascii="仿宋_GB2312" w:hAnsi="仿宋_GB2312" w:eastAsia="仿宋_GB2312" w:cs="仿宋_GB2312"/>
          <w:b/>
          <w:color w:val="auto"/>
          <w:sz w:val="32"/>
          <w:szCs w:val="32"/>
          <w:highlight w:val="none"/>
        </w:rPr>
        <w:t>（一）“三公”经费财政拨款支出决算总体情况说明</w:t>
      </w:r>
      <w:bookmarkEnd w:id="60"/>
    </w:p>
    <w:p w14:paraId="65D14374">
      <w:pPr>
        <w:pageBreakBefore w:val="0"/>
        <w:kinsoku/>
        <w:wordWrap/>
        <w:overflowPunct/>
        <w:topLinePunct w:val="0"/>
        <w:bidi w:val="0"/>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w:t>
      </w:r>
      <w:r>
        <w:rPr>
          <w:rFonts w:hint="eastAsia" w:ascii="仿宋_GB2312" w:hAnsi="仿宋_GB2312" w:eastAsia="仿宋_GB2312" w:cs="仿宋_GB2312"/>
          <w:color w:val="auto"/>
          <w:sz w:val="32"/>
          <w:szCs w:val="32"/>
          <w:highlight w:val="none"/>
          <w:lang w:val="en-US" w:eastAsia="zh-CN"/>
        </w:rPr>
        <w:t>减少0.49万元，减少9.12%。</w:t>
      </w:r>
      <w:r>
        <w:rPr>
          <w:rFonts w:hint="eastAsia" w:ascii="仿宋_GB2312" w:hAnsi="仿宋_GB2312" w:eastAsia="仿宋_GB2312" w:cs="仿宋_GB2312"/>
          <w:color w:val="auto"/>
          <w:sz w:val="32"/>
          <w:szCs w:val="32"/>
          <w:highlight w:val="none"/>
        </w:rPr>
        <w:t>决算数小于预算数的主要原因是</w:t>
      </w:r>
      <w:r>
        <w:rPr>
          <w:rFonts w:hint="eastAsia" w:ascii="仿宋_GB2312" w:hAnsi="仿宋_GB2312" w:eastAsia="仿宋_GB2312" w:cs="仿宋_GB2312"/>
          <w:color w:val="auto"/>
          <w:sz w:val="32"/>
          <w:szCs w:val="32"/>
          <w:highlight w:val="none"/>
          <w:lang w:val="en-US" w:eastAsia="zh-CN"/>
        </w:rPr>
        <w:t>严格控制</w:t>
      </w:r>
      <w:r>
        <w:rPr>
          <w:rFonts w:hint="eastAsia" w:ascii="仿宋_GB2312" w:hAnsi="仿宋_GB2312" w:eastAsia="仿宋_GB2312" w:cs="仿宋_GB2312"/>
          <w:color w:val="auto"/>
          <w:sz w:val="32"/>
          <w:szCs w:val="32"/>
          <w:highlight w:val="none"/>
        </w:rPr>
        <w:t>“三公”</w:t>
      </w:r>
      <w:r>
        <w:rPr>
          <w:rFonts w:hint="eastAsia" w:ascii="仿宋_GB2312" w:hAnsi="仿宋_GB2312" w:eastAsia="仿宋_GB2312" w:cs="仿宋_GB2312"/>
          <w:color w:val="auto"/>
          <w:sz w:val="32"/>
          <w:szCs w:val="32"/>
          <w:highlight w:val="none"/>
          <w:lang w:val="en-US" w:eastAsia="zh-CN"/>
        </w:rPr>
        <w:t>经费支出</w:t>
      </w:r>
      <w:r>
        <w:rPr>
          <w:rFonts w:hint="eastAsia" w:ascii="仿宋_GB2312" w:hAnsi="仿宋_GB2312" w:eastAsia="仿宋_GB2312" w:cs="仿宋_GB2312"/>
          <w:color w:val="auto"/>
          <w:sz w:val="32"/>
          <w:szCs w:val="32"/>
          <w:highlight w:val="none"/>
        </w:rPr>
        <w:t>。</w:t>
      </w:r>
    </w:p>
    <w:p w14:paraId="31BA3D90">
      <w:pPr>
        <w:pageBreakBefore w:val="0"/>
        <w:kinsoku/>
        <w:wordWrap/>
        <w:overflowPunct/>
        <w:topLinePunct w:val="0"/>
        <w:bidi w:val="0"/>
        <w:spacing w:line="600" w:lineRule="exact"/>
        <w:ind w:firstLine="640"/>
        <w:outlineLvl w:val="2"/>
        <w:rPr>
          <w:rFonts w:hint="eastAsia" w:ascii="仿宋_GB2312" w:hAnsi="仿宋_GB2312" w:eastAsia="仿宋_GB2312" w:cs="仿宋_GB2312"/>
          <w:b/>
          <w:color w:val="auto"/>
          <w:sz w:val="32"/>
          <w:szCs w:val="32"/>
          <w:highlight w:val="none"/>
        </w:rPr>
      </w:pPr>
      <w:bookmarkStart w:id="61" w:name="_Toc15377217"/>
      <w:r>
        <w:rPr>
          <w:rFonts w:hint="eastAsia" w:ascii="仿宋_GB2312" w:hAnsi="仿宋_GB2312" w:eastAsia="仿宋_GB2312" w:cs="仿宋_GB2312"/>
          <w:b/>
          <w:color w:val="auto"/>
          <w:sz w:val="32"/>
          <w:szCs w:val="32"/>
          <w:highlight w:val="none"/>
        </w:rPr>
        <w:t>（二）“三公”经费财政拨款支出决算具体情况说明</w:t>
      </w:r>
      <w:bookmarkEnd w:id="61"/>
    </w:p>
    <w:p w14:paraId="6DE9C3A2">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%。具体情况如下：</w:t>
      </w:r>
    </w:p>
    <w:p w14:paraId="28E8C777">
      <w:pPr>
        <w:pStyle w:val="6"/>
        <w:pageBreakBefore w:val="0"/>
        <w:kinsoku/>
        <w:wordWrap/>
        <w:overflowPunct/>
        <w:topLinePunct w:val="0"/>
        <w:bidi w:val="0"/>
        <w:spacing w:beforeLines="0" w:line="240" w:lineRule="auto"/>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5" name="图表 5" descr="7b0a202020202263686172745265734964223a202232303437363038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3C2962">
      <w:pPr>
        <w:pageBreakBefore w:val="0"/>
        <w:kinsoku/>
        <w:wordWrap/>
        <w:overflowPunct/>
        <w:topLinePunct w:val="0"/>
        <w:bidi w:val="0"/>
        <w:spacing w:line="600" w:lineRule="exact"/>
        <w:ind w:firstLine="64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1.因公出国（境）经费支出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全年安排因公出国（境）团组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次，出国（境）</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人。因公出国（境）支出决算</w:t>
      </w:r>
      <w:r>
        <w:rPr>
          <w:rFonts w:hint="eastAsia" w:ascii="仿宋_GB2312" w:hAnsi="仿宋_GB2312" w:eastAsia="仿宋_GB2312" w:cs="仿宋_GB2312"/>
          <w:color w:val="auto"/>
          <w:sz w:val="32"/>
          <w:szCs w:val="32"/>
          <w:highlight w:val="none"/>
          <w:lang w:val="en-US" w:eastAsia="zh-CN"/>
        </w:rPr>
        <w:t>与</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持平</w:t>
      </w:r>
      <w:r>
        <w:rPr>
          <w:rFonts w:hint="eastAsia" w:ascii="仿宋_GB2312" w:hAnsi="仿宋_GB2312" w:eastAsia="仿宋_GB2312" w:cs="仿宋_GB2312"/>
          <w:color w:val="auto"/>
          <w:sz w:val="32"/>
          <w:szCs w:val="32"/>
          <w:highlight w:val="none"/>
        </w:rPr>
        <w:t>。</w:t>
      </w:r>
    </w:p>
    <w:p w14:paraId="15024F6D">
      <w:pPr>
        <w:pageBreakBefore w:val="0"/>
        <w:kinsoku/>
        <w:wordWrap/>
        <w:overflowPunct/>
        <w:topLinePunct w:val="0"/>
        <w:bidi w:val="0"/>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lang w:val="en-US" w:eastAsia="zh-CN"/>
        </w:rPr>
        <w:t>增加0万元，增长0%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主要原因是峨边彝族自治县水务局未购置和拥有公务车辆</w:t>
      </w:r>
      <w:r>
        <w:rPr>
          <w:rFonts w:hint="eastAsia" w:ascii="仿宋_GB2312" w:hAnsi="仿宋_GB2312" w:eastAsia="仿宋_GB2312" w:cs="仿宋_GB2312"/>
          <w:color w:val="auto"/>
          <w:sz w:val="32"/>
          <w:szCs w:val="32"/>
          <w:highlight w:val="none"/>
        </w:rPr>
        <w:t>。</w:t>
      </w:r>
    </w:p>
    <w:p w14:paraId="6F77F88D">
      <w:pPr>
        <w:pageBreakBefore w:val="0"/>
        <w:kinsoku/>
        <w:wordWrap/>
        <w:overflowPunct/>
        <w:topLinePunct w:val="0"/>
        <w:bidi w:val="0"/>
        <w:spacing w:line="600" w:lineRule="exact"/>
        <w:ind w:firstLine="640"/>
        <w:rPr>
          <w:rFonts w:hint="eastAsia" w:ascii="仿宋_GB2312" w:hAnsi="仿宋_GB2312" w:eastAsia="仿宋_GB2312" w:cs="仿宋_GB2312"/>
        </w:rPr>
      </w:pPr>
      <w:r>
        <w:rPr>
          <w:rFonts w:hint="eastAsia" w:ascii="仿宋_GB2312" w:hAnsi="仿宋_GB2312" w:eastAsia="仿宋_GB2312" w:cs="仿宋_GB2312"/>
          <w:color w:val="auto"/>
          <w:kern w:val="2"/>
          <w:sz w:val="32"/>
          <w:szCs w:val="32"/>
          <w:highlight w:val="none"/>
          <w:lang w:val="en-US" w:eastAsia="zh-CN" w:bidi="ar-SA"/>
        </w:rPr>
        <w:t>其中：公务用车购置支出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color w:val="auto"/>
          <w:kern w:val="2"/>
          <w:sz w:val="32"/>
          <w:szCs w:val="32"/>
          <w:highlight w:val="none"/>
          <w:lang w:val="en-US" w:eastAsia="zh-CN" w:bidi="ar-SA"/>
        </w:rPr>
        <w:t>。全年按规定更新购置公务用车0辆，其中：轿车0辆、金额0万元，越野车0辆、金额0万元，载客汽车0辆、金额0万元，主要用于……。截至2024年12月31日，单位共有公务用车0辆，其中：轿车0辆、越野车0辆、载客汽车0辆。</w:t>
      </w:r>
    </w:p>
    <w:p w14:paraId="5565BB92">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3.公务接待费支出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w:t>
      </w:r>
      <w:r>
        <w:rPr>
          <w:rStyle w:val="20"/>
          <w:rFonts w:hint="eastAsia" w:ascii="仿宋_GB2312" w:hAnsi="仿宋_GB2312" w:eastAsia="仿宋_GB2312" w:cs="仿宋_GB2312"/>
          <w:b w:val="0"/>
          <w:bCs/>
          <w:color w:val="auto"/>
          <w:sz w:val="32"/>
          <w:szCs w:val="32"/>
          <w:highlight w:val="none"/>
        </w:rPr>
        <w:t>完成预算</w:t>
      </w:r>
      <w:r>
        <w:rPr>
          <w:rStyle w:val="20"/>
          <w:rFonts w:hint="eastAsia" w:ascii="仿宋_GB2312" w:hAnsi="仿宋_GB2312" w:eastAsia="仿宋_GB2312" w:cs="仿宋_GB2312"/>
          <w:b w:val="0"/>
          <w:bCs/>
          <w:color w:val="auto"/>
          <w:sz w:val="32"/>
          <w:szCs w:val="32"/>
          <w:highlight w:val="none"/>
          <w:lang w:val="en-US" w:eastAsia="zh-CN"/>
        </w:rPr>
        <w:t>100</w:t>
      </w:r>
      <w:r>
        <w:rPr>
          <w:rStyle w:val="20"/>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公务接待费支出决算比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0.49</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val="en-US" w:eastAsia="zh-CN"/>
        </w:rPr>
        <w:t>减少9.12%</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color w:val="auto"/>
          <w:sz w:val="32"/>
          <w:szCs w:val="32"/>
          <w:highlight w:val="none"/>
          <w:lang w:val="en-US" w:eastAsia="zh-CN"/>
        </w:rPr>
        <w:t>上级检查移民项目、水利发展资金项目和河长制工作次数减少</w:t>
      </w:r>
      <w:r>
        <w:rPr>
          <w:rFonts w:hint="eastAsia" w:ascii="仿宋_GB2312" w:hAnsi="仿宋_GB2312" w:eastAsia="仿宋_GB2312" w:cs="仿宋_GB2312"/>
          <w:color w:val="auto"/>
          <w:sz w:val="32"/>
          <w:szCs w:val="32"/>
          <w:highlight w:val="none"/>
        </w:rPr>
        <w:t>。其中：</w:t>
      </w:r>
    </w:p>
    <w:p w14:paraId="3A3978E8">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国内公务接待支出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万元，主要用于</w:t>
      </w:r>
      <w:r>
        <w:rPr>
          <w:rFonts w:hint="eastAsia" w:ascii="仿宋_GB2312" w:hAnsi="仿宋_GB2312" w:eastAsia="仿宋_GB2312" w:cs="仿宋_GB2312"/>
          <w:color w:val="auto"/>
          <w:sz w:val="32"/>
          <w:szCs w:val="32"/>
          <w:highlight w:val="none"/>
          <w:lang w:val="en-US" w:eastAsia="zh-CN"/>
        </w:rPr>
        <w:t>上级检查移民项目、水利发展资金项目、河长制工作、</w:t>
      </w:r>
      <w:r>
        <w:rPr>
          <w:rFonts w:hint="eastAsia" w:ascii="仿宋_GB2312" w:hAnsi="仿宋_GB2312" w:eastAsia="仿宋_GB2312" w:cs="仿宋_GB2312"/>
          <w:color w:val="auto"/>
          <w:sz w:val="32"/>
          <w:szCs w:val="32"/>
          <w:highlight w:val="none"/>
        </w:rPr>
        <w:t>开展业务活动开支的用餐费。国内公务接待</w:t>
      </w:r>
      <w:r>
        <w:rPr>
          <w:rFonts w:hint="eastAsia" w:ascii="仿宋_GB2312" w:hAnsi="仿宋_GB2312" w:eastAsia="仿宋_GB2312" w:cs="仿宋_GB2312"/>
          <w:color w:val="auto"/>
          <w:sz w:val="32"/>
          <w:szCs w:val="32"/>
          <w:highlight w:val="none"/>
          <w:lang w:val="en-US" w:eastAsia="zh-CN"/>
        </w:rPr>
        <w:t>49</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495</w:t>
      </w:r>
      <w:r>
        <w:rPr>
          <w:rFonts w:hint="eastAsia" w:ascii="仿宋_GB2312" w:hAnsi="仿宋_GB2312" w:eastAsia="仿宋_GB2312" w:cs="仿宋_GB2312"/>
          <w:color w:val="auto"/>
          <w:sz w:val="32"/>
          <w:szCs w:val="32"/>
          <w:highlight w:val="none"/>
        </w:rPr>
        <w:t>人次，共计支出</w:t>
      </w:r>
      <w:r>
        <w:rPr>
          <w:rFonts w:hint="eastAsia" w:ascii="仿宋_GB2312" w:hAnsi="仿宋_GB2312" w:eastAsia="仿宋_GB2312" w:cs="仿宋_GB2312"/>
          <w:color w:val="auto"/>
          <w:sz w:val="32"/>
          <w:szCs w:val="32"/>
          <w:highlight w:val="none"/>
          <w:lang w:val="en-US" w:eastAsia="zh-CN"/>
        </w:rPr>
        <w:t>4.88</w:t>
      </w:r>
      <w:r>
        <w:rPr>
          <w:rFonts w:hint="eastAsia" w:ascii="仿宋_GB2312" w:hAnsi="仿宋_GB2312" w:eastAsia="仿宋_GB2312" w:cs="仿宋_GB2312"/>
          <w:color w:val="auto"/>
          <w:sz w:val="32"/>
          <w:szCs w:val="32"/>
          <w:highlight w:val="none"/>
        </w:rPr>
        <w:t>万元，具体内容包括：</w:t>
      </w:r>
      <w:r>
        <w:rPr>
          <w:rFonts w:hint="eastAsia" w:ascii="仿宋_GB2312" w:hAnsi="仿宋_GB2312" w:eastAsia="仿宋_GB2312" w:cs="仿宋_GB2312"/>
          <w:color w:val="auto"/>
          <w:sz w:val="32"/>
          <w:szCs w:val="32"/>
          <w:highlight w:val="none"/>
          <w:lang w:val="en-US" w:eastAsia="zh-CN"/>
        </w:rPr>
        <w:t>检查移民项目、水利发展资金、长制工作项目</w:t>
      </w:r>
      <w:r>
        <w:rPr>
          <w:rFonts w:hint="eastAsia" w:ascii="仿宋_GB2312" w:hAnsi="仿宋_GB2312" w:eastAsia="仿宋_GB2312" w:cs="仿宋_GB2312"/>
          <w:color w:val="auto"/>
          <w:sz w:val="32"/>
          <w:szCs w:val="32"/>
          <w:highlight w:val="none"/>
        </w:rPr>
        <w:t>。</w:t>
      </w:r>
    </w:p>
    <w:p w14:paraId="3813C6A0">
      <w:pPr>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外事接待支出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主要用于……（具体项目）。外事接待</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人次（不包括陪同人员），共计支出0万元。</w:t>
      </w:r>
      <w:bookmarkStart w:id="62" w:name="_Toc15377218"/>
      <w:bookmarkStart w:id="63" w:name="_Toc15396610"/>
    </w:p>
    <w:p w14:paraId="2915D566">
      <w:pPr>
        <w:pageBreakBefore w:val="0"/>
        <w:kinsoku/>
        <w:wordWrap/>
        <w:overflowPunct/>
        <w:topLinePunct w:val="0"/>
        <w:bidi w:val="0"/>
        <w:spacing w:line="600" w:lineRule="exact"/>
        <w:ind w:firstLine="640"/>
        <w:outlineLvl w:val="1"/>
        <w:rPr>
          <w:rStyle w:val="25"/>
          <w:rFonts w:ascii="黑体" w:hAnsi="黑体" w:eastAsia="黑体"/>
          <w:color w:val="auto"/>
          <w:highlight w:val="none"/>
        </w:rPr>
      </w:pPr>
      <w:bookmarkStart w:id="64" w:name="_Toc9789"/>
      <w:bookmarkStart w:id="65" w:name="_Toc6702"/>
      <w:r>
        <w:rPr>
          <w:rFonts w:hint="eastAsia" w:ascii="黑体" w:eastAsia="黑体"/>
          <w:color w:val="auto"/>
          <w:sz w:val="32"/>
          <w:szCs w:val="32"/>
          <w:highlight w:val="none"/>
        </w:rPr>
        <w:t>八、</w:t>
      </w:r>
      <w:r>
        <w:rPr>
          <w:rStyle w:val="25"/>
          <w:rFonts w:hint="eastAsia" w:ascii="黑体" w:hAnsi="黑体" w:eastAsia="黑体"/>
          <w:b w:val="0"/>
          <w:color w:val="auto"/>
          <w:highlight w:val="none"/>
        </w:rPr>
        <w:t>政府性基金预算支出决算情况说明</w:t>
      </w:r>
      <w:bookmarkEnd w:id="62"/>
      <w:bookmarkEnd w:id="63"/>
      <w:bookmarkEnd w:id="64"/>
      <w:bookmarkEnd w:id="65"/>
    </w:p>
    <w:p w14:paraId="445047FA">
      <w:pPr>
        <w:pageBreakBefore w:val="0"/>
        <w:kinsoku/>
        <w:wordWrap/>
        <w:overflowPunct/>
        <w:topLinePunct w:val="0"/>
        <w:bidi w:val="0"/>
        <w:spacing w:line="600" w:lineRule="exact"/>
        <w:ind w:firstLine="640"/>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年政府性基金预算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4377.65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占本年支出合计的</w:t>
      </w:r>
      <w:r>
        <w:rPr>
          <w:rFonts w:hint="eastAsia" w:ascii="仿宋_GB2312" w:hAnsi="仿宋_GB2312" w:eastAsia="仿宋_GB2312" w:cs="仿宋_GB2312"/>
          <w:sz w:val="32"/>
          <w:szCs w:val="32"/>
          <w:lang w:val="en-US" w:eastAsia="zh-CN"/>
        </w:rPr>
        <w:t>48.96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highlight w:val="none"/>
          <w:lang w:val="en-US" w:eastAsia="zh-CN" w:bidi="ar-SA"/>
        </w:rPr>
        <w:t>。与2023年度相比，政府性基金预算财政拨款支出增加1024.49万元，增长23.40%。主要变动原因是增加拨付了峨边彝族自治县二水厂三期饮水项目工程款。</w:t>
      </w:r>
    </w:p>
    <w:p w14:paraId="3070E760">
      <w:pPr>
        <w:pageBreakBefore w:val="0"/>
        <w:numPr>
          <w:ilvl w:val="0"/>
          <w:numId w:val="5"/>
        </w:numPr>
        <w:kinsoku/>
        <w:wordWrap/>
        <w:overflowPunct/>
        <w:topLinePunct w:val="0"/>
        <w:bidi w:val="0"/>
        <w:spacing w:line="600" w:lineRule="exact"/>
        <w:ind w:firstLine="640"/>
        <w:outlineLvl w:val="1"/>
        <w:rPr>
          <w:rStyle w:val="25"/>
          <w:rFonts w:ascii="黑体" w:hAnsi="黑体" w:eastAsia="黑体"/>
          <w:b w:val="0"/>
          <w:color w:val="auto"/>
          <w:highlight w:val="none"/>
        </w:rPr>
      </w:pPr>
      <w:bookmarkStart w:id="66" w:name="_Toc3551"/>
      <w:bookmarkStart w:id="67" w:name="_Toc14545"/>
      <w:bookmarkStart w:id="68" w:name="_Toc15377219"/>
      <w:bookmarkStart w:id="69" w:name="_Toc15396611"/>
      <w:r>
        <w:rPr>
          <w:rStyle w:val="25"/>
          <w:rFonts w:hint="eastAsia" w:ascii="黑体" w:hAnsi="黑体" w:eastAsia="黑体"/>
          <w:b w:val="0"/>
          <w:color w:val="auto"/>
          <w:highlight w:val="none"/>
        </w:rPr>
        <w:t>国有资本经营预算支出决算情况说明</w:t>
      </w:r>
      <w:bookmarkEnd w:id="66"/>
      <w:bookmarkEnd w:id="67"/>
      <w:bookmarkEnd w:id="68"/>
      <w:bookmarkEnd w:id="69"/>
    </w:p>
    <w:p w14:paraId="6CAB8449">
      <w:pPr>
        <w:pageBreakBefore w:val="0"/>
        <w:kinsoku/>
        <w:wordWrap/>
        <w:overflowPunct/>
        <w:topLinePunct w:val="0"/>
        <w:bidi w:val="0"/>
        <w:spacing w:line="600" w:lineRule="exact"/>
        <w:ind w:firstLine="640"/>
        <w:rPr>
          <w:rFonts w:hint="eastAsia" w:ascii="仿宋_GB2312" w:hAnsi="仿宋_GB2312" w:eastAsia="仿宋_GB2312" w:cs="仿宋_GB2312"/>
          <w:color w:val="auto"/>
          <w:sz w:val="44"/>
          <w:szCs w:val="44"/>
          <w:highlight w:val="none"/>
        </w:rPr>
      </w:pPr>
      <w:r>
        <w:rPr>
          <w:rFonts w:hint="eastAsia" w:ascii="仿宋_GB2312" w:hAnsi="仿宋_GB2312" w:eastAsia="仿宋_GB2312" w:cs="仿宋_GB2312"/>
          <w:color w:val="auto"/>
          <w:sz w:val="32"/>
          <w:szCs w:val="32"/>
          <w:highlight w:val="none"/>
          <w:lang w:eastAsia="zh-CN"/>
        </w:rPr>
        <w:t>2023</w:t>
      </w:r>
      <w:r>
        <w:rPr>
          <w:rFonts w:hint="eastAsia" w:ascii="仿宋_GB2312" w:hAnsi="仿宋_GB2312" w:eastAsia="仿宋_GB2312" w:cs="仿宋_GB2312"/>
          <w:color w:val="auto"/>
          <w:sz w:val="32"/>
          <w:szCs w:val="32"/>
          <w:highlight w:val="none"/>
        </w:rPr>
        <w:t>年国有资本经营预算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kern w:val="2"/>
          <w:sz w:val="32"/>
          <w:szCs w:val="32"/>
          <w:highlight w:val="none"/>
          <w:lang w:val="en-US" w:eastAsia="zh-CN" w:bidi="ar-SA"/>
        </w:rPr>
        <w:t>占本年支出合计的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kern w:val="2"/>
          <w:sz w:val="32"/>
          <w:szCs w:val="32"/>
          <w:highlight w:val="none"/>
          <w:lang w:val="en-US" w:eastAsia="zh-CN" w:bidi="ar-SA"/>
        </w:rPr>
        <w:t>。与2023年度相比，国有资本经营预算支出财政拨款支出增加0万元，增长0%。</w:t>
      </w:r>
    </w:p>
    <w:p w14:paraId="4D9B27D8">
      <w:pPr>
        <w:pageBreakBefore w:val="0"/>
        <w:numPr>
          <w:ilvl w:val="0"/>
          <w:numId w:val="5"/>
        </w:numPr>
        <w:kinsoku/>
        <w:wordWrap/>
        <w:overflowPunct/>
        <w:topLinePunct w:val="0"/>
        <w:bidi w:val="0"/>
        <w:spacing w:line="600" w:lineRule="exact"/>
        <w:ind w:firstLine="640"/>
        <w:outlineLvl w:val="1"/>
        <w:rPr>
          <w:rStyle w:val="25"/>
          <w:rFonts w:hint="eastAsia" w:ascii="黑体" w:hAnsi="黑体" w:eastAsia="黑体"/>
          <w:b w:val="0"/>
          <w:color w:val="auto"/>
          <w:highlight w:val="none"/>
        </w:rPr>
      </w:pPr>
      <w:bookmarkStart w:id="70" w:name="_Toc4580"/>
      <w:bookmarkStart w:id="71" w:name="_Toc1252"/>
      <w:bookmarkStart w:id="72" w:name="_Toc15396612"/>
      <w:bookmarkStart w:id="73" w:name="_Toc15377221"/>
      <w:r>
        <w:rPr>
          <w:rStyle w:val="25"/>
          <w:rFonts w:hint="eastAsia" w:ascii="黑体" w:hAnsi="黑体" w:eastAsia="黑体"/>
          <w:b w:val="0"/>
          <w:color w:val="auto"/>
          <w:highlight w:val="none"/>
        </w:rPr>
        <w:t>其他重要事项的情况说明</w:t>
      </w:r>
      <w:bookmarkEnd w:id="70"/>
      <w:bookmarkEnd w:id="71"/>
      <w:bookmarkEnd w:id="72"/>
      <w:bookmarkEnd w:id="73"/>
    </w:p>
    <w:p w14:paraId="6AEED7C4">
      <w:pPr>
        <w:pageBreakBefore w:val="0"/>
        <w:kinsoku/>
        <w:wordWrap/>
        <w:overflowPunct/>
        <w:topLinePunct w:val="0"/>
        <w:bidi w:val="0"/>
        <w:spacing w:line="600" w:lineRule="exact"/>
        <w:ind w:firstLine="643" w:firstLineChars="200"/>
        <w:outlineLvl w:val="2"/>
        <w:rPr>
          <w:rFonts w:hint="eastAsia" w:ascii="仿宋_GB2312" w:hAnsi="仿宋_GB2312" w:eastAsia="仿宋_GB2312" w:cs="仿宋_GB2312"/>
          <w:color w:val="auto"/>
          <w:sz w:val="32"/>
          <w:szCs w:val="32"/>
          <w:highlight w:val="none"/>
        </w:rPr>
      </w:pPr>
      <w:bookmarkStart w:id="74" w:name="_Toc15377222"/>
      <w:r>
        <w:rPr>
          <w:rFonts w:hint="eastAsia" w:ascii="仿宋_GB2312" w:hAnsi="仿宋_GB2312" w:eastAsia="仿宋_GB2312" w:cs="仿宋_GB2312"/>
          <w:b/>
          <w:color w:val="auto"/>
          <w:sz w:val="32"/>
          <w:szCs w:val="32"/>
          <w:highlight w:val="none"/>
        </w:rPr>
        <w:t>（一）机关运行经费支出情况</w:t>
      </w:r>
      <w:bookmarkEnd w:id="74"/>
    </w:p>
    <w:p w14:paraId="568B5C61">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机关运行经费支出</w:t>
      </w:r>
      <w:r>
        <w:rPr>
          <w:rFonts w:hint="eastAsia" w:ascii="仿宋_GB2312" w:hAnsi="仿宋_GB2312" w:eastAsia="仿宋_GB2312" w:cs="仿宋_GB2312"/>
          <w:color w:val="auto"/>
          <w:sz w:val="32"/>
          <w:szCs w:val="32"/>
          <w:highlight w:val="none"/>
          <w:lang w:val="en-US" w:eastAsia="zh-CN"/>
        </w:rPr>
        <w:t>126.93</w:t>
      </w:r>
      <w:r>
        <w:rPr>
          <w:rFonts w:hint="eastAsia" w:ascii="仿宋_GB2312" w:hAnsi="仿宋_GB2312" w:eastAsia="仿宋_GB2312" w:cs="仿宋_GB2312"/>
          <w:color w:val="auto"/>
          <w:sz w:val="32"/>
          <w:szCs w:val="32"/>
          <w:highlight w:val="none"/>
        </w:rPr>
        <w:t>万元，比</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减少</w:t>
      </w:r>
      <w:r>
        <w:rPr>
          <w:rFonts w:hint="eastAsia" w:ascii="仿宋_GB2312" w:hAnsi="仿宋_GB2312" w:eastAsia="仿宋_GB2312" w:cs="仿宋_GB2312"/>
          <w:color w:val="auto"/>
          <w:sz w:val="32"/>
          <w:szCs w:val="32"/>
          <w:highlight w:val="none"/>
          <w:lang w:val="en-US" w:eastAsia="zh-CN"/>
        </w:rPr>
        <w:t>22.48</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auto"/>
          <w:sz w:val="32"/>
          <w:szCs w:val="32"/>
          <w:highlight w:val="none"/>
          <w:lang w:val="en-US" w:eastAsia="zh-CN"/>
        </w:rPr>
        <w:t>15.05</w:t>
      </w:r>
      <w:r>
        <w:rPr>
          <w:rFonts w:hint="eastAsia" w:ascii="仿宋_GB2312" w:hAnsi="仿宋_GB2312" w:eastAsia="仿宋_GB2312" w:cs="仿宋_GB2312"/>
          <w:color w:val="auto"/>
          <w:sz w:val="32"/>
          <w:szCs w:val="32"/>
          <w:highlight w:val="none"/>
        </w:rPr>
        <w:t>%。主要原因是</w:t>
      </w:r>
      <w:r>
        <w:rPr>
          <w:rFonts w:hint="eastAsia" w:ascii="仿宋_GB2312" w:hAnsi="仿宋_GB2312" w:eastAsia="仿宋_GB2312" w:cs="仿宋_GB2312"/>
          <w:color w:val="auto"/>
          <w:sz w:val="32"/>
          <w:szCs w:val="32"/>
          <w:highlight w:val="none"/>
          <w:lang w:val="en-US" w:eastAsia="zh-CN"/>
        </w:rPr>
        <w:t>水务局综合执法大队人员调到县应急管理局</w:t>
      </w:r>
      <w:r>
        <w:rPr>
          <w:rFonts w:hint="eastAsia" w:ascii="仿宋_GB2312" w:hAnsi="仿宋_GB2312" w:eastAsia="仿宋_GB2312" w:cs="仿宋_GB2312"/>
          <w:color w:val="auto"/>
          <w:sz w:val="32"/>
          <w:szCs w:val="32"/>
          <w:highlight w:val="none"/>
          <w:lang w:eastAsia="zh-CN"/>
        </w:rPr>
        <w:t>。</w:t>
      </w:r>
    </w:p>
    <w:p w14:paraId="407CD130">
      <w:pPr>
        <w:pageBreakBefore w:val="0"/>
        <w:kinsoku/>
        <w:wordWrap/>
        <w:overflowPunct/>
        <w:topLinePunct w:val="0"/>
        <w:autoSpaceDE w:val="0"/>
        <w:autoSpaceDN w:val="0"/>
        <w:bidi w:val="0"/>
        <w:adjustRightInd w:val="0"/>
        <w:spacing w:line="600" w:lineRule="exact"/>
        <w:ind w:firstLine="643" w:firstLineChars="200"/>
        <w:jc w:val="left"/>
        <w:outlineLvl w:val="2"/>
        <w:rPr>
          <w:rFonts w:hint="eastAsia" w:ascii="仿宋_GB2312" w:hAnsi="仿宋_GB2312" w:eastAsia="仿宋_GB2312" w:cs="仿宋_GB2312"/>
          <w:b/>
          <w:color w:val="auto"/>
          <w:sz w:val="32"/>
          <w:szCs w:val="32"/>
          <w:highlight w:val="none"/>
        </w:rPr>
      </w:pPr>
      <w:bookmarkStart w:id="75" w:name="_Toc15377223"/>
      <w:r>
        <w:rPr>
          <w:rFonts w:hint="eastAsia" w:ascii="仿宋_GB2312" w:hAnsi="仿宋_GB2312" w:eastAsia="仿宋_GB2312" w:cs="仿宋_GB2312"/>
          <w:b/>
          <w:color w:val="auto"/>
          <w:sz w:val="32"/>
          <w:szCs w:val="32"/>
          <w:highlight w:val="none"/>
        </w:rPr>
        <w:t>（二）政府采购支出情况</w:t>
      </w:r>
      <w:bookmarkEnd w:id="75"/>
    </w:p>
    <w:p w14:paraId="582736E6">
      <w:pPr>
        <w:pageBreakBefore w:val="0"/>
        <w:kinsoku/>
        <w:wordWrap/>
        <w:overflowPunct/>
        <w:topLinePunct w:val="0"/>
        <w:bidi w:val="0"/>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政府采购支出总额</w:t>
      </w:r>
      <w:r>
        <w:rPr>
          <w:rFonts w:hint="eastAsia" w:ascii="仿宋_GB2312" w:hAnsi="仿宋_GB2312" w:eastAsia="仿宋_GB2312" w:cs="仿宋_GB2312"/>
          <w:color w:val="auto"/>
          <w:sz w:val="32"/>
          <w:szCs w:val="32"/>
          <w:highlight w:val="none"/>
          <w:lang w:val="en-US" w:eastAsia="zh-CN"/>
        </w:rPr>
        <w:t>54.24</w:t>
      </w:r>
      <w:r>
        <w:rPr>
          <w:rFonts w:hint="eastAsia" w:ascii="仿宋_GB2312" w:hAnsi="仿宋_GB2312" w:eastAsia="仿宋_GB2312" w:cs="仿宋_GB2312"/>
          <w:color w:val="auto"/>
          <w:sz w:val="32"/>
          <w:szCs w:val="32"/>
          <w:highlight w:val="none"/>
        </w:rPr>
        <w:t>万元，其中：政府采购货物支出</w:t>
      </w:r>
      <w:r>
        <w:rPr>
          <w:rFonts w:hint="eastAsia" w:ascii="仿宋_GB2312" w:hAnsi="仿宋_GB2312" w:eastAsia="仿宋_GB2312" w:cs="仿宋_GB2312"/>
          <w:color w:val="auto"/>
          <w:sz w:val="32"/>
          <w:szCs w:val="32"/>
          <w:highlight w:val="none"/>
          <w:lang w:val="en-US" w:eastAsia="zh-CN"/>
        </w:rPr>
        <w:t>0.54</w:t>
      </w:r>
      <w:r>
        <w:rPr>
          <w:rFonts w:hint="eastAsia" w:ascii="仿宋_GB2312" w:hAnsi="仿宋_GB2312" w:eastAsia="仿宋_GB2312" w:cs="仿宋_GB2312"/>
          <w:color w:val="auto"/>
          <w:sz w:val="32"/>
          <w:szCs w:val="32"/>
          <w:highlight w:val="none"/>
        </w:rPr>
        <w:t>万元、政府采购工程支出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万元、政府采购服务支出</w:t>
      </w:r>
      <w:r>
        <w:rPr>
          <w:rFonts w:hint="eastAsia" w:ascii="仿宋_GB2312" w:hAnsi="仿宋_GB2312" w:eastAsia="仿宋_GB2312" w:cs="仿宋_GB2312"/>
          <w:color w:val="auto"/>
          <w:sz w:val="32"/>
          <w:szCs w:val="32"/>
          <w:highlight w:val="none"/>
          <w:lang w:val="en-US" w:eastAsia="zh-CN"/>
        </w:rPr>
        <w:t>53.7</w:t>
      </w:r>
      <w:r>
        <w:rPr>
          <w:rFonts w:hint="eastAsia" w:ascii="仿宋_GB2312" w:hAnsi="仿宋_GB2312" w:eastAsia="仿宋_GB2312" w:cs="仿宋_GB2312"/>
          <w:color w:val="auto"/>
          <w:sz w:val="32"/>
          <w:szCs w:val="32"/>
          <w:highlight w:val="none"/>
        </w:rPr>
        <w:t>万元。主要用于</w:t>
      </w:r>
      <w:r>
        <w:rPr>
          <w:rFonts w:hint="eastAsia" w:ascii="仿宋_GB2312" w:hAnsi="仿宋_GB2312" w:eastAsia="仿宋_GB2312" w:cs="仿宋_GB2312"/>
          <w:color w:val="auto"/>
          <w:sz w:val="32"/>
          <w:szCs w:val="32"/>
          <w:highlight w:val="none"/>
          <w:lang w:val="en-US" w:eastAsia="zh-CN"/>
        </w:rPr>
        <w:t>购买空调及采购峨边彝族自治县50平方公里以下5条山区河流划界报告编制项目</w:t>
      </w:r>
      <w:r>
        <w:rPr>
          <w:rFonts w:hint="eastAsia" w:ascii="仿宋_GB2312" w:hAnsi="仿宋_GB2312" w:eastAsia="仿宋_GB2312" w:cs="仿宋_GB2312"/>
          <w:color w:val="auto"/>
          <w:sz w:val="32"/>
          <w:szCs w:val="32"/>
          <w:highlight w:val="none"/>
        </w:rPr>
        <w:t>。授予中小企业合同金额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%，其中：授予小微企业合同金额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2C1ECBEF">
      <w:pPr>
        <w:pageBreakBefore w:val="0"/>
        <w:kinsoku/>
        <w:wordWrap/>
        <w:overflowPunct/>
        <w:topLinePunct w:val="0"/>
        <w:autoSpaceDE w:val="0"/>
        <w:autoSpaceDN w:val="0"/>
        <w:bidi w:val="0"/>
        <w:adjustRightInd w:val="0"/>
        <w:spacing w:line="600" w:lineRule="exact"/>
        <w:ind w:firstLine="643" w:firstLineChars="200"/>
        <w:jc w:val="left"/>
        <w:outlineLvl w:val="2"/>
        <w:rPr>
          <w:rFonts w:hint="eastAsia" w:ascii="仿宋_GB2312" w:hAnsi="仿宋_GB2312" w:eastAsia="仿宋_GB2312" w:cs="仿宋_GB2312"/>
          <w:b/>
          <w:color w:val="auto"/>
          <w:sz w:val="32"/>
          <w:szCs w:val="32"/>
          <w:highlight w:val="none"/>
        </w:rPr>
      </w:pPr>
      <w:bookmarkStart w:id="76" w:name="_Toc15377224"/>
      <w:r>
        <w:rPr>
          <w:rFonts w:hint="eastAsia" w:ascii="仿宋_GB2312" w:hAnsi="仿宋_GB2312" w:eastAsia="仿宋_GB2312" w:cs="仿宋_GB2312"/>
          <w:b/>
          <w:color w:val="auto"/>
          <w:sz w:val="32"/>
          <w:szCs w:val="32"/>
          <w:highlight w:val="none"/>
        </w:rPr>
        <w:t>（三）国有资产占有使用情况</w:t>
      </w:r>
      <w:bookmarkEnd w:id="76"/>
    </w:p>
    <w:p w14:paraId="5BD967CD">
      <w:pPr>
        <w:pageBreakBefore w:val="0"/>
        <w:kinsoku/>
        <w:wordWrap/>
        <w:overflowPunct/>
        <w:topLinePunct w:val="0"/>
        <w:autoSpaceDE w:val="0"/>
        <w:autoSpaceDN w:val="0"/>
        <w:bidi w:val="0"/>
        <w:adjustRightInd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截至</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年12月31日，</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共有车辆</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辆，其中：主要领导干部用车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辆、机要通信用车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辆、应急保障用车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辆、其他用车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单价100万元以上专用设备</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台（套）。</w:t>
      </w:r>
    </w:p>
    <w:p w14:paraId="24D65CF8">
      <w:pPr>
        <w:pageBreakBefore w:val="0"/>
        <w:kinsoku/>
        <w:wordWrap/>
        <w:overflowPunct/>
        <w:topLinePunct w:val="0"/>
        <w:autoSpaceDE w:val="0"/>
        <w:autoSpaceDN w:val="0"/>
        <w:bidi w:val="0"/>
        <w:adjustRightInd w:val="0"/>
        <w:spacing w:line="600" w:lineRule="exact"/>
        <w:ind w:firstLine="643" w:firstLineChars="200"/>
        <w:jc w:val="left"/>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（四）预算绩效管理情况</w:t>
      </w:r>
    </w:p>
    <w:p w14:paraId="5CE2C4B0">
      <w:pPr>
        <w:pageBreakBefore w:val="0"/>
        <w:widowControl/>
        <w:kinsoku/>
        <w:wordWrap/>
        <w:overflowPunct/>
        <w:topLinePunct w:val="0"/>
        <w:bidi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根据预算绩效管理要求，在</w:t>
      </w:r>
      <w:r>
        <w:rPr>
          <w:rFonts w:hint="eastAsia" w:ascii="仿宋_GB2312" w:hAnsi="仿宋_GB2312" w:eastAsia="仿宋_GB2312" w:cs="仿宋_GB2312"/>
          <w:color w:val="auto"/>
          <w:sz w:val="32"/>
          <w:szCs w:val="32"/>
          <w:highlight w:val="none"/>
          <w:lang w:eastAsia="zh-CN"/>
        </w:rPr>
        <w:t>2024年度</w:t>
      </w:r>
      <w:r>
        <w:rPr>
          <w:rFonts w:hint="eastAsia" w:ascii="仿宋_GB2312" w:hAnsi="仿宋_GB2312" w:eastAsia="仿宋_GB2312" w:cs="仿宋_GB2312"/>
          <w:color w:val="auto"/>
          <w:sz w:val="32"/>
          <w:szCs w:val="32"/>
          <w:highlight w:val="none"/>
        </w:rPr>
        <w:t>预算编制阶段，组织</w:t>
      </w:r>
      <w:r>
        <w:rPr>
          <w:rFonts w:hint="eastAsia" w:ascii="仿宋_GB2312" w:hAnsi="仿宋_GB2312" w:eastAsia="仿宋_GB2312" w:cs="仿宋_GB2312"/>
          <w:color w:val="auto"/>
          <w:sz w:val="32"/>
          <w:szCs w:val="32"/>
          <w:highlight w:val="none"/>
          <w:lang w:val="en-US" w:eastAsia="zh-CN"/>
        </w:rPr>
        <w:t>对川财农〔2023〕144号关于提前下达2024年中央水利发展资金预算的通知（山洪灾害防治非工程措施467万元）；川财农〔2023〕144号关于提前下达2024年中央水利发展资金预算的通知（山洪灾害防治设施维修养护28万元）；川财农〔2023〕144号关于提前下达2024年中央水利发展资金预算的通知（农村饮水工程维修养护153万元）；川财农〔2023〕144号关于提前下达2024年中央水利发展资金预算的通知（小型水库工程设施维修养护4万元）；川财农〔2023〕145号关于提前下达2024年中央大中型水库移民后期扶持资金预算的通知（移民直补677万元）；川财农〔2023〕145号关于提前下达2024年中央大中型水库移民后期扶持资金预算的通知（基础设施建设719万元）；河长制及水务工作经费7个</w:t>
      </w:r>
      <w:r>
        <w:rPr>
          <w:rFonts w:hint="eastAsia" w:ascii="仿宋_GB2312" w:hAnsi="仿宋_GB2312" w:eastAsia="仿宋_GB2312" w:cs="仿宋_GB2312"/>
          <w:color w:val="auto"/>
          <w:sz w:val="32"/>
          <w:szCs w:val="32"/>
          <w:highlight w:val="none"/>
        </w:rPr>
        <w:t>项目开展了预算事前绩效评估，对</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个项目开展绩效监控。</w:t>
      </w:r>
    </w:p>
    <w:p w14:paraId="43F554EE">
      <w:pPr>
        <w:pageBreakBefore w:val="0"/>
        <w:widowControl/>
        <w:kinsoku/>
        <w:wordWrap/>
        <w:overflowPunct/>
        <w:topLinePunct w:val="0"/>
        <w:bidi w:val="0"/>
        <w:spacing w:line="600" w:lineRule="exact"/>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组织对</w:t>
      </w:r>
      <w:r>
        <w:rPr>
          <w:rFonts w:hint="eastAsia" w:ascii="仿宋_GB2312" w:hAnsi="仿宋_GB2312" w:eastAsia="仿宋_GB2312" w:cs="仿宋_GB2312"/>
          <w:color w:val="auto"/>
          <w:sz w:val="32"/>
          <w:szCs w:val="32"/>
          <w:highlight w:val="none"/>
          <w:lang w:val="en-US" w:eastAsia="zh-CN"/>
        </w:rPr>
        <w:t>53个项目开展绩效自评，绩效自评表详见第四部分附件。</w:t>
      </w:r>
    </w:p>
    <w:p w14:paraId="2FE72D98">
      <w:pPr>
        <w:pageBreakBefore w:val="0"/>
        <w:widowControl/>
        <w:kinsoku/>
        <w:wordWrap/>
        <w:overflowPunct/>
        <w:topLinePunct w:val="0"/>
        <w:bidi w:val="0"/>
        <w:spacing w:line="600" w:lineRule="exact"/>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组织对2024年度一般公共预算、政府性基金预算等全面开展绩效自评，形成峨边彝族自治县水务局部门整体（含部门预算项目）绩效自评报告，其中，峨边彝族自治县水务局部门整体（含部门预算项目）绩效自评得分为95.3分。绩效自评报告详见附件。</w:t>
      </w:r>
    </w:p>
    <w:p w14:paraId="503D69B9">
      <w:pPr>
        <w:pStyle w:val="13"/>
        <w:pageBreakBefore w:val="0"/>
        <w:kinsoku/>
        <w:wordWrap/>
        <w:overflowPunct/>
        <w:topLinePunct w:val="0"/>
        <w:bidi w:val="0"/>
        <w:spacing w:line="600" w:lineRule="exact"/>
        <w:rPr>
          <w:rFonts w:hint="eastAsia" w:ascii="仿宋_GB2312" w:hAnsi="仿宋_GB2312" w:eastAsia="仿宋_GB2312" w:cs="仿宋_GB2312"/>
          <w:color w:val="auto"/>
          <w:kern w:val="2"/>
          <w:sz w:val="32"/>
          <w:szCs w:val="32"/>
          <w:highlight w:val="none"/>
          <w:lang w:val="en-US" w:eastAsia="zh-CN" w:bidi="ar-SA"/>
        </w:rPr>
      </w:pPr>
    </w:p>
    <w:p w14:paraId="7AF66048">
      <w:pPr>
        <w:pStyle w:val="8"/>
        <w:pageBreakBefore w:val="0"/>
        <w:kinsoku/>
        <w:wordWrap/>
        <w:overflowPunct/>
        <w:topLinePunct w:val="0"/>
        <w:bidi w:val="0"/>
        <w:spacing w:after="0" w:line="600" w:lineRule="exact"/>
        <w:rPr>
          <w:rFonts w:hint="eastAsia" w:ascii="仿宋_GB2312" w:hAnsi="仿宋_GB2312" w:eastAsia="仿宋_GB2312" w:cs="仿宋_GB2312"/>
          <w:color w:val="auto"/>
          <w:kern w:val="2"/>
          <w:sz w:val="32"/>
          <w:szCs w:val="32"/>
          <w:highlight w:val="none"/>
          <w:lang w:val="en-US" w:eastAsia="zh-CN" w:bidi="ar-SA"/>
        </w:rPr>
      </w:pPr>
    </w:p>
    <w:p w14:paraId="1A35CA8C">
      <w:pPr>
        <w:pageBreakBefore w:val="0"/>
        <w:kinsoku/>
        <w:wordWrap/>
        <w:overflowPunct/>
        <w:topLinePunct w:val="0"/>
        <w:bidi w:val="0"/>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7524F064">
      <w:pPr>
        <w:pStyle w:val="13"/>
        <w:pageBreakBefore w:val="0"/>
        <w:kinsoku/>
        <w:wordWrap/>
        <w:overflowPunct/>
        <w:topLinePunct w:val="0"/>
        <w:bidi w:val="0"/>
        <w:spacing w:line="600" w:lineRule="exact"/>
        <w:rPr>
          <w:rFonts w:hint="eastAsia" w:ascii="Times New Roman" w:hAnsi="Times New Roman" w:eastAsia="仿宋_GB2312" w:cs="仿宋_GB2312"/>
          <w:color w:val="auto"/>
          <w:kern w:val="2"/>
          <w:sz w:val="32"/>
          <w:szCs w:val="32"/>
          <w:highlight w:val="none"/>
          <w:lang w:val="en-US" w:eastAsia="zh-CN" w:bidi="ar-SA"/>
        </w:rPr>
      </w:pPr>
    </w:p>
    <w:p w14:paraId="20343448">
      <w:pPr>
        <w:pageBreakBefore w:val="0"/>
        <w:kinsoku/>
        <w:wordWrap/>
        <w:overflowPunct/>
        <w:topLinePunct w:val="0"/>
        <w:bidi w:val="0"/>
        <w:spacing w:line="600" w:lineRule="exact"/>
        <w:rPr>
          <w:rFonts w:hint="eastAsia"/>
          <w:lang w:val="en-US" w:eastAsia="zh-CN"/>
        </w:rPr>
      </w:pPr>
    </w:p>
    <w:p w14:paraId="301AE15E">
      <w:pPr>
        <w:pStyle w:val="13"/>
        <w:pageBreakBefore w:val="0"/>
        <w:kinsoku/>
        <w:wordWrap/>
        <w:overflowPunct/>
        <w:topLinePunct w:val="0"/>
        <w:bidi w:val="0"/>
        <w:spacing w:line="600" w:lineRule="exact"/>
        <w:rPr>
          <w:rFonts w:hint="eastAsia" w:ascii="仿宋_GB2312" w:hAnsi="Times New Roman" w:eastAsia="仿宋_GB2312" w:cs="Times New Roman"/>
          <w:color w:val="auto"/>
          <w:sz w:val="32"/>
          <w:szCs w:val="32"/>
          <w:highlight w:val="none"/>
          <w:lang w:val="en-US" w:eastAsia="zh-CN"/>
        </w:rPr>
      </w:pPr>
    </w:p>
    <w:p w14:paraId="597EEE78">
      <w:pPr>
        <w:rPr>
          <w:rFonts w:hint="eastAsia"/>
        </w:rPr>
      </w:pPr>
      <w:r>
        <w:rPr>
          <w:rFonts w:hint="eastAsia"/>
        </w:rPr>
        <w:br w:type="page"/>
      </w:r>
    </w:p>
    <w:p w14:paraId="1BB92ECF">
      <w:pPr>
        <w:pStyle w:val="8"/>
        <w:pageBreakBefore w:val="0"/>
        <w:kinsoku/>
        <w:wordWrap/>
        <w:overflowPunct/>
        <w:topLinePunct w:val="0"/>
        <w:bidi w:val="0"/>
        <w:spacing w:after="0" w:line="600" w:lineRule="exact"/>
        <w:rPr>
          <w:rFonts w:hint="eastAsia"/>
        </w:rPr>
      </w:pPr>
    </w:p>
    <w:p w14:paraId="47531FE8">
      <w:pPr>
        <w:pageBreakBefore w:val="0"/>
        <w:numPr>
          <w:ilvl w:val="0"/>
          <w:numId w:val="6"/>
        </w:numPr>
        <w:kinsoku/>
        <w:wordWrap/>
        <w:overflowPunct/>
        <w:topLinePunct w:val="0"/>
        <w:bidi w:val="0"/>
        <w:spacing w:line="600" w:lineRule="exact"/>
        <w:ind w:firstLine="660" w:firstLineChars="150"/>
        <w:jc w:val="center"/>
        <w:outlineLvl w:val="0"/>
        <w:rPr>
          <w:rStyle w:val="24"/>
          <w:rFonts w:ascii="黑体" w:hAnsi="黑体" w:eastAsia="黑体"/>
          <w:b w:val="0"/>
          <w:color w:val="auto"/>
          <w:highlight w:val="none"/>
        </w:rPr>
      </w:pPr>
      <w:bookmarkStart w:id="77" w:name="_Toc15396613"/>
      <w:bookmarkStart w:id="78" w:name="_Toc31078"/>
      <w:bookmarkStart w:id="79" w:name="_Toc15377225"/>
      <w:bookmarkStart w:id="80" w:name="_Toc17989"/>
      <w:r>
        <w:rPr>
          <w:rFonts w:hint="eastAsia" w:ascii="黑体" w:hAnsi="黑体" w:eastAsia="黑体"/>
          <w:color w:val="auto"/>
          <w:sz w:val="44"/>
          <w:szCs w:val="44"/>
          <w:highlight w:val="none"/>
        </w:rPr>
        <w:t>名</w:t>
      </w:r>
      <w:r>
        <w:rPr>
          <w:rStyle w:val="24"/>
          <w:rFonts w:hint="eastAsia" w:ascii="黑体" w:hAnsi="黑体" w:eastAsia="黑体"/>
          <w:b w:val="0"/>
          <w:color w:val="auto"/>
          <w:highlight w:val="none"/>
        </w:rPr>
        <w:t>词解释</w:t>
      </w:r>
      <w:bookmarkEnd w:id="77"/>
      <w:bookmarkEnd w:id="78"/>
      <w:bookmarkEnd w:id="79"/>
      <w:bookmarkEnd w:id="80"/>
    </w:p>
    <w:p w14:paraId="06DD11CB">
      <w:pPr>
        <w:pageBreakBefore w:val="0"/>
        <w:kinsoku/>
        <w:wordWrap/>
        <w:overflowPunct/>
        <w:topLinePunct w:val="0"/>
        <w:bidi w:val="0"/>
        <w:spacing w:line="600" w:lineRule="exact"/>
        <w:jc w:val="left"/>
        <w:rPr>
          <w:rFonts w:ascii="宋体"/>
          <w:b/>
          <w:color w:val="auto"/>
          <w:sz w:val="44"/>
          <w:szCs w:val="44"/>
          <w:highlight w:val="none"/>
        </w:rPr>
      </w:pPr>
    </w:p>
    <w:p w14:paraId="133DC613">
      <w:pPr>
        <w:pageBreakBefore w:val="0"/>
        <w:numPr>
          <w:ilvl w:val="0"/>
          <w:numId w:val="0"/>
        </w:numPr>
        <w:kinsoku/>
        <w:wordWrap/>
        <w:overflowPunct/>
        <w:topLinePunct w:val="0"/>
        <w:bidi w:val="0"/>
        <w:spacing w:line="600" w:lineRule="exact"/>
        <w:ind w:firstLine="640" w:firstLineChars="20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b/>
          <w:bCs/>
          <w:color w:val="auto"/>
          <w:sz w:val="32"/>
          <w:szCs w:val="32"/>
          <w:highlight w:val="none"/>
        </w:rPr>
        <w:t>财政拨款收入</w:t>
      </w:r>
      <w:r>
        <w:rPr>
          <w:rFonts w:hint="eastAsia" w:ascii="仿宋_GB2312" w:hAnsi="仿宋_GB2312" w:eastAsia="仿宋_GB2312" w:cs="仿宋_GB2312"/>
          <w:color w:val="auto"/>
          <w:sz w:val="32"/>
          <w:szCs w:val="32"/>
          <w:highlight w:val="none"/>
        </w:rPr>
        <w:t xml:space="preserve">：指从同级财政取得的财政预算资金。 </w:t>
      </w:r>
    </w:p>
    <w:p w14:paraId="1CC53C12">
      <w:pPr>
        <w:pageBreakBefore w:val="0"/>
        <w:numPr>
          <w:ilvl w:val="0"/>
          <w:numId w:val="0"/>
        </w:numPr>
        <w:kinsoku/>
        <w:wordWrap/>
        <w:overflowPunct/>
        <w:topLinePunct w:val="0"/>
        <w:bidi w:val="0"/>
        <w:spacing w:line="600" w:lineRule="exact"/>
        <w:ind w:left="0" w:leftChars="0" w:firstLine="640" w:firstLineChars="20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b/>
          <w:bCs/>
          <w:color w:val="auto"/>
          <w:sz w:val="32"/>
          <w:szCs w:val="32"/>
          <w:highlight w:val="none"/>
        </w:rPr>
        <w:t>年初结转和结余</w:t>
      </w:r>
      <w:r>
        <w:rPr>
          <w:rFonts w:hint="eastAsia" w:ascii="仿宋_GB2312" w:hAnsi="仿宋_GB2312" w:eastAsia="仿宋_GB2312" w:cs="仿宋_GB2312"/>
          <w:color w:val="auto"/>
          <w:sz w:val="32"/>
          <w:szCs w:val="32"/>
          <w:highlight w:val="none"/>
        </w:rPr>
        <w:t>：指以前年度尚未完成、结转到本年按有关规定继续使用的资金。</w:t>
      </w:r>
    </w:p>
    <w:p w14:paraId="2F674655">
      <w:pPr>
        <w:pageBreakBefore w:val="0"/>
        <w:numPr>
          <w:ilvl w:val="0"/>
          <w:numId w:val="0"/>
        </w:numPr>
        <w:kinsoku/>
        <w:wordWrap/>
        <w:overflowPunct/>
        <w:topLinePunct w:val="0"/>
        <w:bidi w:val="0"/>
        <w:spacing w:line="600" w:lineRule="exact"/>
        <w:ind w:left="0" w:leftChars="0" w:firstLine="643"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2"/>
          <w:sz w:val="32"/>
          <w:szCs w:val="32"/>
          <w:lang w:val="en-US" w:eastAsia="zh-CN" w:bidi="ar-SA"/>
        </w:rPr>
        <w:t>3.</w:t>
      </w:r>
      <w:r>
        <w:rPr>
          <w:rFonts w:hint="eastAsia" w:ascii="仿宋_GB2312" w:hAnsi="仿宋_GB2312" w:eastAsia="仿宋_GB2312" w:cs="仿宋_GB2312"/>
          <w:b/>
          <w:bCs/>
          <w:color w:val="auto"/>
          <w:sz w:val="32"/>
          <w:szCs w:val="32"/>
          <w:highlight w:val="none"/>
        </w:rPr>
        <w:t>年初结转和结余</w:t>
      </w:r>
      <w:r>
        <w:rPr>
          <w:rFonts w:hint="eastAsia" w:ascii="仿宋_GB2312" w:hAnsi="仿宋_GB2312" w:eastAsia="仿宋_GB2312" w:cs="仿宋_GB2312"/>
          <w:color w:val="auto"/>
          <w:sz w:val="32"/>
          <w:szCs w:val="32"/>
          <w:highlight w:val="none"/>
        </w:rPr>
        <w:t>：指以前年度尚未完成、结转到本年按有关规定继续使用的资金。</w:t>
      </w:r>
    </w:p>
    <w:p w14:paraId="2E552241">
      <w:pPr>
        <w:pageBreakBefore w:val="0"/>
        <w:numPr>
          <w:ilvl w:val="0"/>
          <w:numId w:val="0"/>
        </w:numPr>
        <w:kinsoku/>
        <w:wordWrap/>
        <w:overflowPunct/>
        <w:topLinePunct w:val="0"/>
        <w:bidi w:val="0"/>
        <w:spacing w:line="600" w:lineRule="exact"/>
        <w:ind w:left="0" w:leftChars="0" w:firstLine="643" w:firstLineChars="200"/>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2"/>
          <w:sz w:val="32"/>
          <w:szCs w:val="32"/>
          <w:lang w:val="en-US" w:eastAsia="zh-CN" w:bidi="ar-SA"/>
        </w:rPr>
        <w:t>4.</w:t>
      </w:r>
      <w:r>
        <w:rPr>
          <w:rStyle w:val="20"/>
          <w:rFonts w:hint="eastAsia" w:ascii="仿宋_GB2312" w:hAnsi="仿宋_GB2312" w:eastAsia="仿宋_GB2312" w:cs="仿宋_GB2312"/>
          <w:bCs/>
          <w:color w:val="auto"/>
          <w:sz w:val="32"/>
          <w:szCs w:val="32"/>
          <w:highlight w:val="none"/>
        </w:rPr>
        <w:t>社会保障和就业（类）行政事业养老支出（款）  机关事业基本养老保险缴费支出（项）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i w:val="0"/>
          <w:caps w:val="0"/>
          <w:color w:val="auto"/>
          <w:spacing w:val="0"/>
          <w:sz w:val="32"/>
          <w:szCs w:val="32"/>
          <w:highlight w:val="none"/>
        </w:rPr>
        <w:t>指反映</w:t>
      </w:r>
      <w:r>
        <w:rPr>
          <w:rFonts w:hint="eastAsia" w:ascii="仿宋_GB2312" w:hAnsi="仿宋_GB2312" w:eastAsia="仿宋_GB2312" w:cs="仿宋_GB2312"/>
          <w:b w:val="0"/>
          <w:i w:val="0"/>
          <w:caps w:val="0"/>
          <w:color w:val="auto"/>
          <w:spacing w:val="0"/>
          <w:sz w:val="32"/>
          <w:szCs w:val="32"/>
          <w:highlight w:val="none"/>
          <w:lang w:eastAsia="zh-CN"/>
        </w:rPr>
        <w:t>机关事业实施养老保险制度由缴纳的基本养老保险保险费支出</w:t>
      </w:r>
      <w:r>
        <w:rPr>
          <w:rStyle w:val="20"/>
          <w:rFonts w:hint="eastAsia" w:ascii="仿宋_GB2312" w:hAnsi="仿宋_GB2312" w:eastAsia="仿宋_GB2312" w:cs="仿宋_GB2312"/>
          <w:b w:val="0"/>
          <w:bCs/>
          <w:color w:val="auto"/>
          <w:sz w:val="32"/>
          <w:szCs w:val="32"/>
          <w:highlight w:val="none"/>
        </w:rPr>
        <w:t>。</w:t>
      </w:r>
    </w:p>
    <w:p w14:paraId="0CFFDE4E">
      <w:pPr>
        <w:pageBreakBefore w:val="0"/>
        <w:numPr>
          <w:ilvl w:val="0"/>
          <w:numId w:val="0"/>
        </w:numPr>
        <w:kinsoku/>
        <w:wordWrap/>
        <w:overflowPunct/>
        <w:topLinePunct w:val="0"/>
        <w:bidi w:val="0"/>
        <w:spacing w:line="600" w:lineRule="exact"/>
        <w:ind w:left="-13" w:leftChars="0" w:firstLine="643" w:firstLineChars="0"/>
        <w:outlineLvl w:val="2"/>
        <w:rPr>
          <w:rFonts w:hint="eastAsia" w:ascii="仿宋_GB2312" w:hAnsi="仿宋_GB2312" w:eastAsia="仿宋_GB2312" w:cs="仿宋_GB2312"/>
          <w:b/>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6.</w:t>
      </w:r>
      <w:r>
        <w:rPr>
          <w:rStyle w:val="20"/>
          <w:rFonts w:hint="eastAsia" w:ascii="仿宋_GB2312" w:hAnsi="仿宋_GB2312" w:eastAsia="仿宋_GB2312" w:cs="仿宋_GB2312"/>
          <w:bCs/>
          <w:color w:val="auto"/>
          <w:sz w:val="32"/>
          <w:szCs w:val="32"/>
          <w:highlight w:val="none"/>
        </w:rPr>
        <w:t>社会保障和就业（类）行政事业养老支出（款）    机关事业职业年金缴费支出（项）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指实施养老保险制度由实际缴纳的职业年金支出。</w:t>
      </w:r>
    </w:p>
    <w:p w14:paraId="0C77C841">
      <w:pPr>
        <w:pageBreakBefore w:val="0"/>
        <w:numPr>
          <w:ilvl w:val="0"/>
          <w:numId w:val="0"/>
        </w:numPr>
        <w:kinsoku/>
        <w:wordWrap/>
        <w:overflowPunct/>
        <w:topLinePunct w:val="0"/>
        <w:bidi w:val="0"/>
        <w:spacing w:line="600" w:lineRule="exact"/>
        <w:ind w:left="-13" w:leftChars="0" w:firstLine="638" w:firstLineChars="0"/>
        <w:outlineLvl w:val="2"/>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7.</w:t>
      </w:r>
      <w:r>
        <w:rPr>
          <w:rFonts w:hint="eastAsia" w:ascii="仿宋_GB2312" w:hAnsi="仿宋_GB2312" w:eastAsia="仿宋_GB2312" w:cs="仿宋_GB2312"/>
          <w:color w:val="auto"/>
          <w:highlight w:val="none"/>
          <w:lang w:val="en-US" w:eastAsia="zh-CN"/>
        </w:rPr>
        <w:t xml:space="preserve"> </w:t>
      </w:r>
      <w:r>
        <w:rPr>
          <w:rStyle w:val="20"/>
          <w:rFonts w:hint="eastAsia" w:ascii="仿宋_GB2312" w:hAnsi="仿宋_GB2312" w:eastAsia="仿宋_GB2312" w:cs="仿宋_GB2312"/>
          <w:bCs/>
          <w:color w:val="auto"/>
          <w:sz w:val="32"/>
          <w:szCs w:val="32"/>
          <w:highlight w:val="none"/>
        </w:rPr>
        <w:t>社会保障和就业（类）其他社会保障和就业支出（款）      其他社会保障和就业支出（项）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 xml:space="preserve"> 指用于机关事业工伤保险</w:t>
      </w:r>
      <w:r>
        <w:rPr>
          <w:rStyle w:val="20"/>
          <w:rFonts w:hint="eastAsia" w:ascii="仿宋_GB2312" w:hAnsi="仿宋_GB2312" w:eastAsia="仿宋_GB2312" w:cs="仿宋_GB2312"/>
          <w:b w:val="0"/>
          <w:bCs/>
          <w:color w:val="auto"/>
          <w:sz w:val="32"/>
          <w:szCs w:val="32"/>
          <w:highlight w:val="none"/>
          <w:lang w:val="en-US" w:eastAsia="zh-CN"/>
        </w:rPr>
        <w:t>和失业</w:t>
      </w:r>
      <w:r>
        <w:rPr>
          <w:rStyle w:val="20"/>
          <w:rFonts w:hint="eastAsia" w:ascii="仿宋_GB2312" w:hAnsi="仿宋_GB2312" w:eastAsia="仿宋_GB2312" w:cs="仿宋_GB2312"/>
          <w:b w:val="0"/>
          <w:bCs/>
          <w:color w:val="auto"/>
          <w:sz w:val="32"/>
          <w:szCs w:val="32"/>
          <w:highlight w:val="none"/>
        </w:rPr>
        <w:t>缴费支出。</w:t>
      </w:r>
    </w:p>
    <w:p w14:paraId="3413053A">
      <w:pPr>
        <w:keepNext w:val="0"/>
        <w:keepLines w:val="0"/>
        <w:pageBreakBefore w:val="0"/>
        <w:widowControl/>
        <w:suppressLineNumbers w:val="0"/>
        <w:kinsoku/>
        <w:wordWrap/>
        <w:overflowPunct/>
        <w:topLinePunct w:val="0"/>
        <w:bidi w:val="0"/>
        <w:spacing w:line="600" w:lineRule="exact"/>
        <w:jc w:val="left"/>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（类）行政事业医疗（款）行政医疗（项）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
        </w:rPr>
        <w:t>反映财政集中安排的事业基本医疗保险缴费经费，未参加医疗保险的事业的公费医疗经费，按国家规定享受离休人员待遇人员的医疗经费</w:t>
      </w:r>
      <w:r>
        <w:rPr>
          <w:rStyle w:val="20"/>
          <w:rFonts w:hint="eastAsia" w:ascii="仿宋_GB2312" w:hAnsi="仿宋_GB2312" w:eastAsia="仿宋_GB2312" w:cs="仿宋_GB2312"/>
          <w:b w:val="0"/>
          <w:bCs/>
          <w:color w:val="auto"/>
          <w:sz w:val="32"/>
          <w:szCs w:val="32"/>
          <w:highlight w:val="none"/>
        </w:rPr>
        <w:t>。</w:t>
      </w:r>
    </w:p>
    <w:p w14:paraId="745BF8FD">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Cs/>
          <w:color w:val="auto"/>
          <w:sz w:val="32"/>
          <w:szCs w:val="32"/>
          <w:highlight w:val="none"/>
          <w:lang w:eastAsia="zh-CN"/>
        </w:rPr>
      </w:pPr>
      <w:r>
        <w:rPr>
          <w:rFonts w:hint="default" w:ascii="仿宋_GB2312" w:hAnsi="仿宋_GB2312" w:eastAsia="仿宋_GB2312" w:cs="仿宋_GB2312"/>
          <w:b/>
          <w:bCs/>
          <w:color w:val="auto"/>
          <w:kern w:val="2"/>
          <w:sz w:val="32"/>
          <w:szCs w:val="32"/>
          <w:lang w:val="en-US" w:eastAsia="zh-CN" w:bidi="ar-SA"/>
        </w:rPr>
        <w:t>8.</w:t>
      </w:r>
      <w:r>
        <w:rPr>
          <w:rFonts w:hint="eastAsia" w:ascii="仿宋_GB2312" w:hAnsi="仿宋_GB2312" w:eastAsia="仿宋_GB2312" w:cs="仿宋_GB2312"/>
          <w:b/>
          <w:bCs/>
          <w:color w:val="auto"/>
          <w:sz w:val="32"/>
          <w:szCs w:val="32"/>
          <w:highlight w:val="none"/>
        </w:rPr>
        <w:t>卫生健康</w:t>
      </w:r>
      <w:r>
        <w:rPr>
          <w:rStyle w:val="20"/>
          <w:rFonts w:hint="eastAsia" w:ascii="仿宋_GB2312" w:hAnsi="仿宋_GB2312" w:eastAsia="仿宋_GB2312" w:cs="仿宋_GB2312"/>
          <w:bCs/>
          <w:color w:val="auto"/>
          <w:sz w:val="32"/>
          <w:szCs w:val="32"/>
          <w:highlight w:val="none"/>
        </w:rPr>
        <w:t>（类）行政事业医疗（款）公务员医疗补助（项）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反映财政安排的公务员医疗补助经费</w:t>
      </w:r>
      <w:r>
        <w:rPr>
          <w:rStyle w:val="20"/>
          <w:rFonts w:hint="eastAsia" w:ascii="仿宋_GB2312" w:hAnsi="仿宋_GB2312" w:eastAsia="仿宋_GB2312" w:cs="仿宋_GB2312"/>
          <w:bCs/>
          <w:color w:val="auto"/>
          <w:sz w:val="32"/>
          <w:szCs w:val="32"/>
          <w:highlight w:val="none"/>
          <w:lang w:eastAsia="zh-CN"/>
        </w:rPr>
        <w:t>。</w:t>
      </w:r>
    </w:p>
    <w:p w14:paraId="771B9F29">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9.</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（类）林业和草原（款）林业草原防灾减灾（项）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lang w:val="en-US" w:eastAsia="zh-CN"/>
        </w:rPr>
        <w:t>反映</w:t>
      </w:r>
      <w:r>
        <w:rPr>
          <w:rStyle w:val="20"/>
          <w:rFonts w:hint="eastAsia" w:ascii="仿宋_GB2312" w:hAnsi="仿宋_GB2312" w:eastAsia="仿宋_GB2312" w:cs="仿宋_GB2312"/>
          <w:b w:val="0"/>
          <w:bCs w:val="0"/>
          <w:color w:val="auto"/>
          <w:sz w:val="32"/>
          <w:szCs w:val="32"/>
          <w:highlight w:val="none"/>
        </w:rPr>
        <w:t>病虫害等有害生物灾害、野生动物疫病灾害等方面支出</w:t>
      </w:r>
      <w:r>
        <w:rPr>
          <w:rStyle w:val="20"/>
          <w:rFonts w:hint="eastAsia" w:ascii="仿宋_GB2312" w:hAnsi="仿宋_GB2312" w:eastAsia="仿宋_GB2312" w:cs="仿宋_GB2312"/>
          <w:b w:val="0"/>
          <w:bCs w:val="0"/>
          <w:color w:val="auto"/>
          <w:sz w:val="32"/>
          <w:szCs w:val="32"/>
          <w:highlight w:val="none"/>
          <w:lang w:eastAsia="zh-CN"/>
        </w:rPr>
        <w:t>。</w:t>
      </w:r>
    </w:p>
    <w:p w14:paraId="4BFAE245">
      <w:pPr>
        <w:keepNext w:val="0"/>
        <w:keepLines w:val="0"/>
        <w:pageBreakBefore w:val="0"/>
        <w:widowControl/>
        <w:numPr>
          <w:ilvl w:val="0"/>
          <w:numId w:val="0"/>
        </w:numPr>
        <w:suppressLineNumbers w:val="0"/>
        <w:kinsoku/>
        <w:wordWrap/>
        <w:overflowPunct/>
        <w:topLinePunct w:val="0"/>
        <w:bidi w:val="0"/>
        <w:spacing w:line="600" w:lineRule="exact"/>
        <w:ind w:left="-13" w:leftChars="0" w:firstLine="638" w:firstLineChars="0"/>
        <w:jc w:val="left"/>
        <w:rPr>
          <w:rStyle w:val="20"/>
          <w:rFonts w:hint="eastAsia" w:ascii="仿宋_GB2312" w:hAnsi="仿宋_GB2312" w:eastAsia="仿宋_GB2312" w:cs="仿宋_GB2312"/>
          <w:b w:val="0"/>
          <w:bCs/>
          <w:color w:val="auto"/>
          <w:sz w:val="32"/>
          <w:szCs w:val="32"/>
          <w:highlight w:val="none"/>
        </w:rPr>
      </w:pPr>
      <w:r>
        <w:rPr>
          <w:rFonts w:hint="default" w:ascii="仿宋_GB2312" w:hAnsi="仿宋_GB2312" w:eastAsia="仿宋_GB2312" w:cs="仿宋_GB2312"/>
          <w:b/>
          <w:bCs/>
          <w:color w:val="auto"/>
          <w:kern w:val="2"/>
          <w:sz w:val="32"/>
          <w:szCs w:val="32"/>
          <w:lang w:val="en-US" w:eastAsia="zh-CN" w:bidi="ar-SA"/>
        </w:rPr>
        <w:t>10.</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（类）水利（款）行政运行（项）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反映行政（包括实行公务员管理的事业）的基本支出</w:t>
      </w:r>
      <w:r>
        <w:rPr>
          <w:rStyle w:val="20"/>
          <w:rFonts w:hint="eastAsia" w:ascii="仿宋_GB2312" w:hAnsi="仿宋_GB2312" w:eastAsia="仿宋_GB2312" w:cs="仿宋_GB2312"/>
          <w:b w:val="0"/>
          <w:bCs/>
          <w:color w:val="auto"/>
          <w:sz w:val="32"/>
          <w:szCs w:val="32"/>
          <w:highlight w:val="none"/>
          <w:lang w:eastAsia="zh-CN"/>
        </w:rPr>
        <w:t>。</w:t>
      </w:r>
    </w:p>
    <w:p w14:paraId="1BA05E8C">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10.</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（类）水利（款）水利行业业务管理（项）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Cs/>
          <w:color w:val="auto"/>
          <w:sz w:val="32"/>
          <w:szCs w:val="32"/>
          <w:highlight w:val="none"/>
          <w:lang w:val="en-US" w:eastAsia="zh-CN"/>
        </w:rPr>
        <w:t xml:space="preserve">     </w:t>
      </w:r>
    </w:p>
    <w:p w14:paraId="45C3447C">
      <w:pPr>
        <w:pStyle w:val="6"/>
        <w:pageBreakBefore w:val="0"/>
        <w:numPr>
          <w:ilvl w:val="0"/>
          <w:numId w:val="0"/>
        </w:numPr>
        <w:kinsoku/>
        <w:wordWrap/>
        <w:overflowPunct/>
        <w:topLinePunct w:val="0"/>
        <w:bidi w:val="0"/>
        <w:spacing w:beforeLines="0" w:line="600" w:lineRule="exact"/>
        <w:ind w:firstLine="640" w:firstLineChars="200"/>
        <w:rPr>
          <w:rFonts w:hint="eastAsia" w:ascii="仿宋_GB2312" w:hAnsi="仿宋_GB2312" w:eastAsia="仿宋_GB2312" w:cs="仿宋_GB2312"/>
          <w:b w:val="0"/>
          <w:i w:val="0"/>
          <w:caps w:val="0"/>
          <w:color w:val="auto"/>
          <w:spacing w:val="0"/>
          <w:sz w:val="32"/>
          <w:szCs w:val="32"/>
          <w:highlight w:val="none"/>
        </w:rPr>
      </w:pPr>
      <w:r>
        <w:rPr>
          <w:rFonts w:hint="eastAsia" w:ascii="仿宋_GB2312" w:hAnsi="仿宋_GB2312" w:eastAsia="仿宋_GB2312" w:cs="仿宋_GB2312"/>
          <w:b w:val="0"/>
          <w:i w:val="0"/>
          <w:caps w:val="0"/>
          <w:color w:val="auto"/>
          <w:spacing w:val="0"/>
          <w:sz w:val="32"/>
          <w:szCs w:val="32"/>
          <w:highlight w:val="none"/>
        </w:rPr>
        <w:t>反映用于水利行业业务管理方面的支出。有关业务包括制定政策、法规及行业标准、规程规范、进行水利宣传、审计监督检查、精神文明建设以及农田水利管理、水利重大活动、水利工程质量监督、水利资金监督管理、水利国有资产监管、行政许可及监督管理等。</w:t>
      </w:r>
    </w:p>
    <w:p w14:paraId="3FB965D3">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11.</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（类）水利（款）水利执法监督（项）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反映水利系统纳入预算管理的事业开展水利执法监督活动的支出。</w:t>
      </w:r>
    </w:p>
    <w:p w14:paraId="4DB87AEE">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12.</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（类）水利（款）水土保持（项）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反映水利系统纳入预算管理的水土保持事业的支出，包括规划制定和实施，治理、生态修复、预防监测、调查协调、综合治理、开发技术的示范、监督执法等支出以及水土保持生态工程措施和各项管理保护的支出</w:t>
      </w:r>
      <w:r>
        <w:rPr>
          <w:rFonts w:hint="eastAsia" w:ascii="仿宋_GB2312" w:hAnsi="仿宋_GB2312" w:eastAsia="仿宋_GB2312" w:cs="仿宋_GB2312"/>
          <w:b w:val="0"/>
          <w:i w:val="0"/>
          <w:caps w:val="0"/>
          <w:color w:val="auto"/>
          <w:spacing w:val="0"/>
          <w:sz w:val="32"/>
          <w:szCs w:val="32"/>
          <w:highlight w:val="none"/>
          <w:lang w:eastAsia="zh-CN"/>
        </w:rPr>
        <w:t>。</w:t>
      </w:r>
    </w:p>
    <w:p w14:paraId="4ADCC72F">
      <w:pPr>
        <w:pStyle w:val="6"/>
        <w:pageBreakBefore w:val="0"/>
        <w:numPr>
          <w:ilvl w:val="0"/>
          <w:numId w:val="0"/>
        </w:numPr>
        <w:kinsoku/>
        <w:wordWrap/>
        <w:overflowPunct/>
        <w:topLinePunct w:val="0"/>
        <w:bidi w:val="0"/>
        <w:spacing w:beforeLines="0" w:line="600" w:lineRule="exact"/>
        <w:ind w:firstLine="643" w:firstLineChars="200"/>
        <w:rPr>
          <w:rStyle w:val="20"/>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13.</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（类）水利（款）水质监测（项）</w:t>
      </w:r>
      <w:r>
        <w:rPr>
          <w:rStyle w:val="20"/>
          <w:rFonts w:hint="eastAsia" w:hAnsi="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反映水利系统纳入预算管理的水质监测事业的支出</w:t>
      </w:r>
      <w:r>
        <w:rPr>
          <w:rStyle w:val="20"/>
          <w:rFonts w:hint="eastAsia" w:ascii="仿宋_GB2312" w:hAnsi="仿宋_GB2312" w:eastAsia="仿宋_GB2312" w:cs="仿宋_GB2312"/>
          <w:b w:val="0"/>
          <w:bCs/>
          <w:color w:val="auto"/>
          <w:sz w:val="32"/>
          <w:szCs w:val="32"/>
          <w:highlight w:val="none"/>
          <w:lang w:eastAsia="zh-CN"/>
        </w:rPr>
        <w:t>。</w:t>
      </w:r>
    </w:p>
    <w:p w14:paraId="1C367A20">
      <w:pPr>
        <w:pageBreakBefore w:val="0"/>
        <w:kinsoku/>
        <w:wordWrap/>
        <w:overflowPunct/>
        <w:topLinePunct w:val="0"/>
        <w:bidi w:val="0"/>
        <w:spacing w:line="600" w:lineRule="exact"/>
        <w:ind w:firstLine="643" w:firstLineChars="200"/>
        <w:rPr>
          <w:rFonts w:hint="eastAsia" w:ascii="仿宋_GB2312" w:hAnsi="仿宋_GB2312" w:eastAsia="仿宋_GB2312" w:cs="仿宋_GB2312"/>
          <w:b w:val="0"/>
          <w:bCs w:val="0"/>
          <w:i w:val="0"/>
          <w:caps w:val="0"/>
          <w:color w:val="auto"/>
          <w:spacing w:val="0"/>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14.</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（类）水利（款）防汛（项）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防汛业务支出。有关事项包括防汛物资购置管护，防汛通信设施设备、网络系统、车船设备运行维护，防汛值班、水情报汛、防汛指挥系统运行维护、水毁修复以及防汛组织（如防汛预案编制、检查、演习、宣传、会议等），防汛调用民工及劳动保护，水利设施灾后重建，退田还湖，蓄滞洪区补偿、水情、雨情、决策支持，防汛视频会商，山洪灾害防治等</w:t>
      </w:r>
      <w:r>
        <w:rPr>
          <w:rStyle w:val="20"/>
          <w:rFonts w:hint="eastAsia" w:ascii="仿宋_GB2312" w:hAnsi="仿宋_GB2312" w:eastAsia="仿宋_GB2312" w:cs="仿宋_GB2312"/>
          <w:b w:val="0"/>
          <w:bCs w:val="0"/>
          <w:color w:val="auto"/>
          <w:sz w:val="32"/>
          <w:szCs w:val="32"/>
          <w:highlight w:val="none"/>
          <w:lang w:eastAsia="zh-CN"/>
        </w:rPr>
        <w:t>。</w:t>
      </w:r>
    </w:p>
    <w:p w14:paraId="4FD4907C">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15.</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（类）水利（款）抗旱（项）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color w:val="auto"/>
          <w:sz w:val="32"/>
          <w:szCs w:val="32"/>
          <w:highlight w:val="none"/>
        </w:rPr>
        <w:t>支反映抗旱业务支出，有关事项包括旱情监测及报旱，抗旱预案编制修订，抗旱物资购置管护，抗旱设施设备运行维护，抗旱应急水源建设以及对各级抗旱服务组织的补助等</w:t>
      </w:r>
      <w:r>
        <w:rPr>
          <w:rStyle w:val="20"/>
          <w:rFonts w:hint="eastAsia" w:ascii="仿宋_GB2312" w:hAnsi="仿宋_GB2312" w:eastAsia="仿宋_GB2312" w:cs="仿宋_GB2312"/>
          <w:b w:val="0"/>
          <w:bCs/>
          <w:color w:val="auto"/>
          <w:sz w:val="32"/>
          <w:szCs w:val="32"/>
          <w:highlight w:val="none"/>
          <w:lang w:eastAsia="zh-CN"/>
        </w:rPr>
        <w:t>。</w:t>
      </w:r>
    </w:p>
    <w:p w14:paraId="081A36B3">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16.</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（类）水利（款）大中型水库移民后期扶持专项支出（项）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反映中央财政划拨大中型水库移民后期扶持基金的支出，包括对销售电量加价部分征收的增值税返还以及用于解决水库移民遗留问题的定额补助。</w:t>
      </w:r>
    </w:p>
    <w:p w14:paraId="57D89422">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17.</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（类）水利（款）水利安全监督（项）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shd w:val="clear" w:fill="FFFFFF"/>
        </w:rPr>
        <w:t>反映水利系统纳入预算管理的事业开展水利安全生产监督和水利建设项目稽查业务支出</w:t>
      </w:r>
      <w:r>
        <w:rPr>
          <w:rStyle w:val="20"/>
          <w:rFonts w:hint="eastAsia" w:ascii="仿宋_GB2312" w:hAnsi="仿宋_GB2312" w:eastAsia="仿宋_GB2312" w:cs="仿宋_GB2312"/>
          <w:b w:val="0"/>
          <w:bCs/>
          <w:color w:val="auto"/>
          <w:sz w:val="32"/>
          <w:szCs w:val="32"/>
          <w:highlight w:val="none"/>
          <w:lang w:eastAsia="zh-CN"/>
        </w:rPr>
        <w:t>。</w:t>
      </w:r>
    </w:p>
    <w:p w14:paraId="7BF61B66">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18.</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（类）水利（款）其他水利支出（项）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shd w:val="clear" w:fill="FFFFFF"/>
        </w:rPr>
        <w:t>反映除上述项目以外其他用于水利方面的支出</w:t>
      </w:r>
      <w:r>
        <w:rPr>
          <w:rStyle w:val="20"/>
          <w:rFonts w:hint="eastAsia" w:ascii="仿宋_GB2312" w:hAnsi="仿宋_GB2312" w:eastAsia="仿宋_GB2312" w:cs="仿宋_GB2312"/>
          <w:b w:val="0"/>
          <w:bCs/>
          <w:color w:val="auto"/>
          <w:sz w:val="32"/>
          <w:szCs w:val="32"/>
          <w:highlight w:val="none"/>
          <w:lang w:eastAsia="zh-CN"/>
        </w:rPr>
        <w:t>。</w:t>
      </w:r>
    </w:p>
    <w:p w14:paraId="2F32F1F7">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19.</w:t>
      </w:r>
      <w:r>
        <w:rPr>
          <w:rFonts w:hint="eastAsia" w:ascii="仿宋_GB2312" w:hAnsi="仿宋_GB2312" w:eastAsia="仿宋_GB2312" w:cs="仿宋_GB2312"/>
          <w:b/>
          <w:bCs/>
          <w:color w:val="auto"/>
          <w:sz w:val="32"/>
          <w:szCs w:val="32"/>
          <w:highlight w:val="none"/>
        </w:rPr>
        <w:t>农林水支出</w:t>
      </w:r>
      <w:r>
        <w:rPr>
          <w:rStyle w:val="20"/>
          <w:rFonts w:hint="eastAsia" w:ascii="仿宋_GB2312" w:hAnsi="仿宋_GB2312" w:eastAsia="仿宋_GB2312" w:cs="仿宋_GB2312"/>
          <w:bCs/>
          <w:color w:val="auto"/>
          <w:sz w:val="32"/>
          <w:szCs w:val="32"/>
          <w:highlight w:val="none"/>
        </w:rPr>
        <w:t>（类）巩固脱贫衔接乡村振兴（款）其他巩固脱贫衔接乡村振兴支出（项）</w:t>
      </w:r>
      <w:r>
        <w:rPr>
          <w:rStyle w:val="20"/>
          <w:rFonts w:hint="eastAsia" w:ascii="仿宋_GB2312" w:hAnsi="仿宋_GB2312" w:eastAsia="仿宋_GB2312" w:cs="仿宋_GB2312"/>
          <w:bCs/>
          <w:color w:val="auto"/>
          <w:sz w:val="32"/>
          <w:szCs w:val="32"/>
          <w:highlight w:val="none"/>
          <w:lang w:eastAsia="zh-CN"/>
        </w:rPr>
        <w:t>：</w:t>
      </w:r>
      <w:r>
        <w:rPr>
          <w:rStyle w:val="20"/>
          <w:rFonts w:hint="eastAsia" w:ascii="仿宋_GB2312" w:hAnsi="仿宋_GB2312" w:eastAsia="仿宋_GB2312" w:cs="仿宋_GB2312"/>
          <w:b w:val="0"/>
          <w:bCs w:val="0"/>
          <w:color w:val="auto"/>
          <w:sz w:val="32"/>
          <w:szCs w:val="32"/>
          <w:highlight w:val="none"/>
        </w:rPr>
        <w:t>反映其他用于</w:t>
      </w:r>
      <w:r>
        <w:rPr>
          <w:rStyle w:val="20"/>
          <w:rFonts w:hint="eastAsia" w:ascii="仿宋_GB2312" w:hAnsi="仿宋_GB2312" w:eastAsia="仿宋_GB2312" w:cs="仿宋_GB2312"/>
          <w:b w:val="0"/>
          <w:bCs w:val="0"/>
          <w:color w:val="auto"/>
          <w:sz w:val="32"/>
          <w:szCs w:val="32"/>
          <w:highlight w:val="none"/>
          <w:lang w:eastAsia="zh-CN"/>
        </w:rPr>
        <w:t>巩固拓展脱贫攻坚成果同乡村振兴有效衔接</w:t>
      </w:r>
      <w:r>
        <w:rPr>
          <w:rStyle w:val="20"/>
          <w:rFonts w:hint="eastAsia" w:ascii="仿宋_GB2312" w:hAnsi="仿宋_GB2312" w:eastAsia="仿宋_GB2312" w:cs="仿宋_GB2312"/>
          <w:b w:val="0"/>
          <w:bCs w:val="0"/>
          <w:color w:val="auto"/>
          <w:sz w:val="32"/>
          <w:szCs w:val="32"/>
          <w:highlight w:val="none"/>
        </w:rPr>
        <w:t>的支出</w:t>
      </w:r>
      <w:r>
        <w:rPr>
          <w:rStyle w:val="20"/>
          <w:rFonts w:hint="eastAsia" w:ascii="仿宋_GB2312" w:hAnsi="仿宋_GB2312" w:eastAsia="仿宋_GB2312" w:cs="仿宋_GB2312"/>
          <w:b w:val="0"/>
          <w:bCs w:val="0"/>
          <w:color w:val="auto"/>
          <w:sz w:val="32"/>
          <w:szCs w:val="32"/>
          <w:highlight w:val="none"/>
          <w:lang w:eastAsia="zh-CN"/>
        </w:rPr>
        <w:t>。</w:t>
      </w:r>
    </w:p>
    <w:p w14:paraId="28C82CA7">
      <w:pPr>
        <w:pageBreakBefore w:val="0"/>
        <w:kinsoku/>
        <w:wordWrap/>
        <w:overflowPunct/>
        <w:topLinePunct w:val="0"/>
        <w:bidi w:val="0"/>
        <w:spacing w:line="600" w:lineRule="exact"/>
        <w:ind w:firstLine="643" w:firstLineChars="200"/>
        <w:rPr>
          <w:rStyle w:val="20"/>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20.</w:t>
      </w:r>
      <w:r>
        <w:rPr>
          <w:rFonts w:hint="eastAsia" w:ascii="仿宋_GB2312" w:hAnsi="仿宋_GB2312" w:eastAsia="仿宋_GB2312" w:cs="仿宋_GB2312"/>
          <w:b/>
          <w:bCs/>
          <w:color w:val="auto"/>
          <w:sz w:val="32"/>
          <w:szCs w:val="32"/>
          <w:highlight w:val="none"/>
        </w:rPr>
        <w:t>住房保障支出</w:t>
      </w:r>
      <w:r>
        <w:rPr>
          <w:rStyle w:val="20"/>
          <w:rFonts w:hint="eastAsia" w:ascii="仿宋_GB2312" w:hAnsi="仿宋_GB2312" w:eastAsia="仿宋_GB2312" w:cs="仿宋_GB2312"/>
          <w:bCs/>
          <w:color w:val="auto"/>
          <w:sz w:val="32"/>
          <w:szCs w:val="32"/>
          <w:highlight w:val="none"/>
        </w:rPr>
        <w:t>（类）住房改革支出（款）住房公积金（项）</w:t>
      </w:r>
      <w:r>
        <w:rPr>
          <w:rStyle w:val="20"/>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i w:val="0"/>
          <w:caps w:val="0"/>
          <w:color w:val="auto"/>
          <w:spacing w:val="0"/>
          <w:sz w:val="32"/>
          <w:szCs w:val="32"/>
          <w:highlight w:val="none"/>
        </w:rPr>
        <w:t>反映行政事业按人力资源和社会保障部、财政部规定的基本工资和津贴补贴以及规定比例为职工缴纳的住房公积金</w:t>
      </w:r>
      <w:r>
        <w:rPr>
          <w:rStyle w:val="20"/>
          <w:rFonts w:hint="eastAsia" w:ascii="仿宋_GB2312" w:hAnsi="仿宋_GB2312" w:eastAsia="仿宋_GB2312" w:cs="仿宋_GB2312"/>
          <w:b w:val="0"/>
          <w:bCs/>
          <w:color w:val="auto"/>
          <w:sz w:val="32"/>
          <w:szCs w:val="32"/>
          <w:highlight w:val="none"/>
          <w:lang w:eastAsia="zh-CN"/>
        </w:rPr>
        <w:t>。</w:t>
      </w:r>
    </w:p>
    <w:p w14:paraId="4EE65CF8">
      <w:pPr>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b/>
          <w:bCs/>
          <w:color w:val="auto"/>
          <w:sz w:val="32"/>
          <w:szCs w:val="32"/>
          <w:highlight w:val="none"/>
        </w:rPr>
        <w:t>基本支出</w:t>
      </w:r>
      <w:r>
        <w:rPr>
          <w:rFonts w:hint="eastAsia" w:ascii="仿宋_GB2312" w:hAnsi="仿宋_GB2312" w:eastAsia="仿宋_GB2312" w:cs="仿宋_GB2312"/>
          <w:color w:val="auto"/>
          <w:sz w:val="32"/>
          <w:szCs w:val="32"/>
          <w:highlight w:val="none"/>
        </w:rPr>
        <w:t>：指为保障机构正常运转、完成日常工作任务而发生的人员支出和公用支出。</w:t>
      </w:r>
    </w:p>
    <w:p w14:paraId="10CBE881">
      <w:pPr>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.项目支出</w:t>
      </w:r>
      <w:r>
        <w:rPr>
          <w:rFonts w:hint="eastAsia" w:ascii="仿宋_GB2312" w:hAnsi="仿宋_GB2312" w:eastAsia="仿宋_GB2312" w:cs="仿宋_GB2312"/>
          <w:color w:val="auto"/>
          <w:sz w:val="32"/>
          <w:szCs w:val="32"/>
          <w:highlight w:val="none"/>
        </w:rPr>
        <w:t xml:space="preserve">：指在基本支出之外为完成特定行政任务和事业发展目标所发生的支出。 </w:t>
      </w:r>
    </w:p>
    <w:p w14:paraId="2EB8EF90">
      <w:pPr>
        <w:pStyle w:val="27"/>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23</w:t>
      </w:r>
      <w:r>
        <w:rPr>
          <w:rFonts w:hint="eastAsia" w:ascii="仿宋_GB2312" w:hAnsi="仿宋_GB2312" w:eastAsia="仿宋_GB2312" w:cs="仿宋_GB2312"/>
          <w:b/>
          <w:bCs/>
          <w:color w:val="auto"/>
          <w:sz w:val="32"/>
          <w:szCs w:val="32"/>
          <w:highlight w:val="none"/>
        </w:rPr>
        <w:t>.“三公”经费</w:t>
      </w:r>
      <w:r>
        <w:rPr>
          <w:rFonts w:hint="eastAsia" w:ascii="仿宋_GB2312" w:hAnsi="仿宋_GB2312" w:eastAsia="仿宋_GB2312" w:cs="仿宋_GB2312"/>
          <w:color w:val="auto"/>
          <w:sz w:val="32"/>
          <w:szCs w:val="32"/>
          <w:highlight w:val="none"/>
        </w:rPr>
        <w:t>：指用财政拨款安排的因公出国（境）费、公务用车购置及运行费和公务接待费。其中，因公出国（境）费反映公务出国（境）的国际旅费、国外城市间交通费、住宿费、伙食费、培训费、公杂费等支出；公务用车购置及运行费反映公务用车车辆购置支出（含车辆购置税）及租用费、燃料费、维修费、过路过桥费、保险费等支出；公务接待费反映按规定开支的各类公务接待（含外宾接待）支出。</w:t>
      </w:r>
    </w:p>
    <w:p w14:paraId="30A1C6B5">
      <w:pPr>
        <w:pStyle w:val="27"/>
        <w:pageBreakBefore w:val="0"/>
        <w:kinsoku/>
        <w:wordWrap/>
        <w:overflowPunct/>
        <w:topLinePunct w:val="0"/>
        <w:bidi w:val="0"/>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24</w:t>
      </w:r>
      <w:r>
        <w:rPr>
          <w:rFonts w:hint="eastAsia" w:ascii="仿宋_GB2312" w:hAnsi="仿宋_GB2312" w:eastAsia="仿宋_GB2312" w:cs="仿宋_GB2312"/>
          <w:b/>
          <w:bCs/>
          <w:color w:val="auto"/>
          <w:sz w:val="32"/>
          <w:szCs w:val="32"/>
          <w:highlight w:val="none"/>
        </w:rPr>
        <w:t>.机关运行经费</w:t>
      </w:r>
      <w:r>
        <w:rPr>
          <w:rFonts w:hint="eastAsia" w:ascii="仿宋_GB2312" w:hAnsi="仿宋_GB2312" w:eastAsia="仿宋_GB2312" w:cs="仿宋_GB2312"/>
          <w:color w:val="auto"/>
          <w:sz w:val="32"/>
          <w:szCs w:val="32"/>
          <w:highlight w:val="none"/>
        </w:rPr>
        <w:t>：为保障行政（含参照公务员法管理的事业）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81" w:name="_Toc15396614"/>
      <w:bookmarkStart w:id="82" w:name="_Toc15377226"/>
    </w:p>
    <w:p w14:paraId="23A19541">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78171629">
      <w:pPr>
        <w:pStyle w:val="27"/>
        <w:pageBreakBefore w:val="0"/>
        <w:kinsoku/>
        <w:wordWrap/>
        <w:overflowPunct/>
        <w:topLinePunct w:val="0"/>
        <w:bidi w:val="0"/>
        <w:spacing w:line="600" w:lineRule="exact"/>
        <w:ind w:firstLine="640" w:firstLineChars="200"/>
        <w:rPr>
          <w:rFonts w:hint="eastAsia" w:ascii="仿宋_GB2312" w:hAnsi="仿宋_GB2312" w:eastAsia="仿宋_GB2312" w:cs="仿宋_GB2312"/>
          <w:color w:val="auto"/>
          <w:sz w:val="32"/>
          <w:szCs w:val="32"/>
          <w:highlight w:val="none"/>
        </w:rPr>
      </w:pPr>
    </w:p>
    <w:p w14:paraId="1C1EED21">
      <w:pPr>
        <w:pageBreakBefore w:val="0"/>
        <w:numPr>
          <w:ilvl w:val="0"/>
          <w:numId w:val="6"/>
        </w:numPr>
        <w:kinsoku/>
        <w:wordWrap/>
        <w:overflowPunct/>
        <w:topLinePunct w:val="0"/>
        <w:bidi w:val="0"/>
        <w:spacing w:line="600" w:lineRule="exact"/>
        <w:ind w:left="0" w:leftChars="0" w:firstLine="660" w:firstLineChars="150"/>
        <w:jc w:val="center"/>
        <w:outlineLvl w:val="0"/>
        <w:rPr>
          <w:rStyle w:val="24"/>
          <w:rFonts w:hint="eastAsia" w:ascii="黑体" w:hAnsi="黑体" w:eastAsia="黑体"/>
          <w:b w:val="0"/>
          <w:color w:val="auto"/>
          <w:highlight w:val="none"/>
        </w:rPr>
      </w:pPr>
      <w:bookmarkStart w:id="83" w:name="_Toc21570"/>
      <w:bookmarkStart w:id="84" w:name="_Toc24481"/>
      <w:r>
        <w:rPr>
          <w:rStyle w:val="24"/>
          <w:rFonts w:hint="eastAsia" w:ascii="黑体" w:hAnsi="黑体" w:eastAsia="黑体"/>
          <w:b w:val="0"/>
          <w:color w:val="auto"/>
          <w:highlight w:val="none"/>
        </w:rPr>
        <w:t>附件</w:t>
      </w:r>
      <w:bookmarkEnd w:id="81"/>
      <w:bookmarkEnd w:id="83"/>
      <w:bookmarkEnd w:id="84"/>
    </w:p>
    <w:p w14:paraId="5B86482A">
      <w:pPr>
        <w:pStyle w:val="13"/>
        <w:pageBreakBefore w:val="0"/>
        <w:kinsoku/>
        <w:wordWrap/>
        <w:overflowPunct/>
        <w:topLinePunct w:val="0"/>
        <w:bidi w:val="0"/>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14:paraId="2B2B071F">
      <w:pPr>
        <w:keepNext w:val="0"/>
        <w:pageBreakBefore w:val="0"/>
        <w:widowControl/>
        <w:kinsoku/>
        <w:wordWrap/>
        <w:overflowPunct/>
        <w:topLinePunct w:val="0"/>
        <w:autoSpaceDE/>
        <w:autoSpaceDN/>
        <w:bidi w:val="0"/>
        <w:adjustRightInd w:val="0"/>
        <w:snapToGrid w:val="0"/>
        <w:spacing w:line="600" w:lineRule="exact"/>
        <w:ind w:firstLine="880" w:firstLineChars="200"/>
        <w:contextualSpacing/>
        <w:jc w:val="center"/>
        <w:rPr>
          <w:rFonts w:hint="default" w:ascii="方正仿宋_GBK" w:hAnsi="宋体" w:eastAsia="方正仿宋_GBK" w:cs="宋体"/>
          <w:color w:val="000000"/>
          <w:kern w:val="0"/>
          <w:sz w:val="33"/>
          <w:szCs w:val="33"/>
          <w:shd w:val="clear" w:color="auto" w:fill="FFFFFF"/>
          <w:lang w:val="en-US"/>
        </w:rPr>
      </w:pPr>
      <w:r>
        <w:rPr>
          <w:rFonts w:hint="eastAsia" w:ascii="方正小标宋简体" w:hAnsi="方正小标宋简体" w:eastAsia="方正小标宋简体" w:cs="方正小标宋简体"/>
          <w:color w:val="000000"/>
          <w:kern w:val="0"/>
          <w:sz w:val="44"/>
          <w:szCs w:val="44"/>
          <w:shd w:val="clear" w:color="auto" w:fill="FFFFFF"/>
          <w:lang w:val="en-US" w:eastAsia="zh-CN"/>
        </w:rPr>
        <w:t>峨边彝族自治县水务局2024年度整体绩效自评报告</w:t>
      </w:r>
    </w:p>
    <w:p w14:paraId="1F8A0B4B">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黑体" w:hAnsi="黑体" w:eastAsia="黑体" w:cs="黑体"/>
          <w:b w:val="0"/>
          <w:bCs w:val="0"/>
          <w:color w:val="000000"/>
          <w:kern w:val="0"/>
          <w:sz w:val="32"/>
          <w:szCs w:val="32"/>
          <w:shd w:val="clear" w:color="auto" w:fill="FFFFFF"/>
          <w:lang w:val="zh-CN"/>
        </w:rPr>
      </w:pPr>
      <w:r>
        <w:rPr>
          <w:rFonts w:hint="eastAsia" w:ascii="黑体" w:hAnsi="黑体" w:eastAsia="黑体" w:cs="黑体"/>
          <w:b w:val="0"/>
          <w:bCs w:val="0"/>
          <w:color w:val="000000"/>
          <w:kern w:val="0"/>
          <w:sz w:val="32"/>
          <w:szCs w:val="32"/>
          <w:shd w:val="clear" w:color="auto" w:fill="FFFFFF"/>
        </w:rPr>
        <w:t>一、</w:t>
      </w:r>
      <w:r>
        <w:rPr>
          <w:rFonts w:hint="eastAsia" w:ascii="黑体" w:hAnsi="黑体" w:eastAsia="黑体" w:cs="黑体"/>
          <w:b w:val="0"/>
          <w:bCs w:val="0"/>
          <w:color w:val="000000"/>
          <w:kern w:val="0"/>
          <w:sz w:val="32"/>
          <w:szCs w:val="32"/>
          <w:shd w:val="clear" w:color="auto" w:fill="FFFFFF"/>
          <w:lang w:val="zh-CN"/>
        </w:rPr>
        <w:t>部门基本情况</w:t>
      </w:r>
    </w:p>
    <w:p w14:paraId="42CAD645">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（一）机构组成。</w:t>
      </w:r>
    </w:p>
    <w:p w14:paraId="32EFE95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color w:val="auto"/>
          <w:kern w:val="0"/>
          <w:sz w:val="32"/>
          <w:szCs w:val="32"/>
          <w:shd w:val="clear" w:color="auto" w:fill="FFFFFF"/>
          <w:lang w:val="zh-CN"/>
        </w:rPr>
        <w:t>峨边彝族自治县水务局内设综合股和业务股，</w:t>
      </w:r>
      <w:r>
        <w:rPr>
          <w:rFonts w:hint="eastAsia" w:ascii="仿宋_GB2312" w:hAnsi="仿宋_GB2312" w:eastAsia="仿宋_GB2312" w:cs="仿宋_GB2312"/>
          <w:color w:val="auto"/>
          <w:kern w:val="0"/>
          <w:sz w:val="32"/>
          <w:szCs w:val="32"/>
          <w:shd w:val="clear" w:color="auto" w:fill="FFFFFF"/>
          <w:lang w:val="en-US" w:eastAsia="zh-CN"/>
        </w:rPr>
        <w:t>下设峨边彝族自治县水利工程建设服务中心</w:t>
      </w:r>
      <w:r>
        <w:rPr>
          <w:rFonts w:hint="eastAsia" w:ascii="仿宋_GB2312" w:hAnsi="仿宋_GB2312" w:eastAsia="仿宋_GB2312" w:cs="仿宋_GB2312"/>
          <w:color w:val="auto"/>
          <w:kern w:val="0"/>
          <w:sz w:val="32"/>
          <w:szCs w:val="32"/>
          <w:shd w:val="clear" w:color="auto" w:fill="FFFFFF"/>
          <w:lang w:val="zh-CN"/>
        </w:rPr>
        <w:t>。</w:t>
      </w:r>
    </w:p>
    <w:p w14:paraId="47B609AA">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eastAsia="zh-CN"/>
        </w:rPr>
        <w:t>（二）</w:t>
      </w:r>
      <w:r>
        <w:rPr>
          <w:rFonts w:hint="eastAsia" w:ascii="楷体_GB2312" w:hAnsi="楷体_GB2312" w:eastAsia="楷体_GB2312" w:cs="楷体_GB2312"/>
          <w:color w:val="000000"/>
          <w:kern w:val="0"/>
          <w:sz w:val="32"/>
          <w:szCs w:val="32"/>
          <w:shd w:val="clear" w:color="auto" w:fill="FFFFFF"/>
          <w:lang w:val="zh-CN"/>
        </w:rPr>
        <w:t>机构职能和人员概况。</w:t>
      </w:r>
    </w:p>
    <w:p w14:paraId="08AE6916">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机构职能：</w:t>
      </w:r>
    </w:p>
    <w:p w14:paraId="68A244D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宣传贯彻执行有关水务工作的</w:t>
      </w:r>
      <w:r>
        <w:rPr>
          <w:rFonts w:hint="eastAsia" w:ascii="仿宋_GB2312" w:hAnsi="仿宋_GB2312" w:eastAsia="仿宋_GB2312" w:cs="仿宋_GB2312"/>
          <w:color w:val="auto"/>
          <w:sz w:val="32"/>
          <w:szCs w:val="32"/>
          <w:lang w:eastAsia="zh-CN"/>
        </w:rPr>
        <w:t>法律法规</w:t>
      </w:r>
      <w:r>
        <w:rPr>
          <w:rFonts w:hint="eastAsia" w:ascii="仿宋_GB2312" w:hAnsi="仿宋_GB2312" w:eastAsia="仿宋_GB2312" w:cs="仿宋_GB2312"/>
          <w:color w:val="auto"/>
          <w:sz w:val="32"/>
          <w:szCs w:val="32"/>
        </w:rPr>
        <w:t>和方针政策；负责拟定全县水务管理规范性文件并组织实施。</w:t>
      </w:r>
    </w:p>
    <w:p w14:paraId="0C4FAC20">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负责编制全县城乡水务发展规划；拟定全县中长期供水计划和年度供水计划、水量分配方案和旱情紧急情况下水量调度预案，并组织实施。</w:t>
      </w:r>
    </w:p>
    <w:p w14:paraId="6E64BF11">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组织有关全县国民经济发展总体规划、城市规划及重大建设项目的水资源利用和防洪论证工作。</w:t>
      </w:r>
    </w:p>
    <w:p w14:paraId="0C278823">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28C123DA">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负责组织指导全县水务行政执法工作；负责水务行政复议的受理和行政诉讼的应诉工作；调解处理重大水事纠纷；依法查处水事违法案件。</w:t>
      </w:r>
    </w:p>
    <w:p w14:paraId="76E9CE80">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1249FA24">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负责拟定水务行业经济调节措施，研究提出水务行业有关价格、税收、信贷、财务等经济调节意见；负责编制全县水务行业建设项目资金计划，对水务资金的使用进行宏观管理、监督和审查。</w:t>
      </w:r>
    </w:p>
    <w:p w14:paraId="01DF4E2F">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15FA127E">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编制全县水土保持规划并组织实施；负责水土保持预防监督、水土流失监测和综合防治工作；组织实施工程建设项目水土保持方案和设施自主验收的备案，征收水土保持补偿费；指导水利绿化工作。</w:t>
      </w:r>
    </w:p>
    <w:p w14:paraId="1F55ED76">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对县境内主要江河和重要水利工程实施山洪灾害监测；掌握全县境内的雨情、水情信息，及时传达各有关单位。</w:t>
      </w:r>
    </w:p>
    <w:p w14:paraId="2ACC3D4E">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指导全县江河、湖库、滩涂的综合治理与开发；组织实施河道采砂许可制度和征收河道砂石资源费制度。</w:t>
      </w:r>
    </w:p>
    <w:p w14:paraId="149CB7E4">
      <w:pPr>
        <w:keepNext w:val="0"/>
        <w:keepLines w:val="0"/>
        <w:pageBreakBefore w:val="0"/>
        <w:kinsoku/>
        <w:wordWrap/>
        <w:overflowPunct/>
        <w:topLinePunct w:val="0"/>
        <w:autoSpaceDE/>
        <w:autoSpaceDN/>
        <w:bidi w:val="0"/>
        <w:spacing w:line="600" w:lineRule="exact"/>
        <w:ind w:firstLine="629"/>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指导全县有关水务等项目的科学研究和技术推广，组织指导全县重大水务项目对外合作和交流。</w:t>
      </w:r>
    </w:p>
    <w:p w14:paraId="11C7EB86">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指导全县水务行业干部职工队伍建设和服务体系建设；指导水务行业劳动保护和安全生产工作。</w:t>
      </w:r>
    </w:p>
    <w:p w14:paraId="0C6EAD34">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rPr>
        <w:t>负责职责范围内的安全生产和职业健康、生态环境保护、服务便民化工作。</w:t>
      </w:r>
    </w:p>
    <w:p w14:paraId="0F7D9ABC">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rPr>
        <w:t>负责县总河长办公室的日常工作，贯彻执行上级和</w:t>
      </w:r>
      <w:r>
        <w:rPr>
          <w:rFonts w:hint="eastAsia" w:ascii="仿宋_GB2312" w:hAnsi="仿宋_GB2312" w:eastAsia="仿宋_GB2312" w:cs="仿宋_GB2312"/>
          <w:color w:val="auto"/>
          <w:sz w:val="32"/>
          <w:szCs w:val="32"/>
          <w:lang w:eastAsia="zh-CN"/>
        </w:rPr>
        <w:t>县委、县政府</w:t>
      </w:r>
      <w:r>
        <w:rPr>
          <w:rFonts w:hint="eastAsia" w:ascii="仿宋_GB2312" w:hAnsi="仿宋_GB2312" w:eastAsia="仿宋_GB2312" w:cs="仿宋_GB2312"/>
          <w:color w:val="auto"/>
          <w:sz w:val="32"/>
          <w:szCs w:val="32"/>
        </w:rPr>
        <w:t>河长制工作决策部署，充分发挥参谋助手、综合协调、督办等职能作用，认真履行办文、办会、办事等工作职责，统筹协调督促推进全县河长制工作</w:t>
      </w:r>
    </w:p>
    <w:p w14:paraId="45B1401A">
      <w:pPr>
        <w:keepNext w:val="0"/>
        <w:keepLines w:val="0"/>
        <w:pageBreakBefore w:val="0"/>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16.</w:t>
      </w:r>
      <w:r>
        <w:rPr>
          <w:rFonts w:hint="eastAsia" w:ascii="仿宋_GB2312" w:hAnsi="仿宋_GB2312" w:eastAsia="仿宋_GB2312" w:cs="仿宋_GB2312"/>
          <w:color w:val="auto"/>
          <w:sz w:val="32"/>
          <w:szCs w:val="32"/>
        </w:rPr>
        <w:t>在自然灾害防救方面的职责分工。</w:t>
      </w:r>
    </w:p>
    <w:p w14:paraId="768BC6C3">
      <w:pPr>
        <w:keepNext w:val="0"/>
        <w:keepLines w:val="0"/>
        <w:pageBreakBefore w:val="0"/>
        <w:widowControl/>
        <w:shd w:val="clear" w:color="000000" w:fill="FFFFFF"/>
        <w:kinsoku/>
        <w:wordWrap/>
        <w:overflowPunct/>
        <w:topLinePunct w:val="0"/>
        <w:autoSpaceDE/>
        <w:autoSpaceDN/>
        <w:bidi w:val="0"/>
        <w:spacing w:line="600" w:lineRule="exact"/>
        <w:ind w:firstLine="64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应急局与县自然资源局、县水务局、县林业局等部门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5745ACAF">
      <w:pPr>
        <w:keepNext w:val="0"/>
        <w:keepLines w:val="0"/>
        <w:pageBreakBefore w:val="0"/>
        <w:numPr>
          <w:ilvl w:val="0"/>
          <w:numId w:val="0"/>
        </w:numPr>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t>17.</w:t>
      </w:r>
      <w:r>
        <w:rPr>
          <w:rFonts w:hint="eastAsia" w:ascii="仿宋_GB2312" w:hAnsi="仿宋_GB2312" w:eastAsia="仿宋_GB2312" w:cs="仿宋_GB2312"/>
          <w:color w:val="auto"/>
          <w:sz w:val="32"/>
          <w:szCs w:val="32"/>
        </w:rPr>
        <w:t>完成县委、县政府交办的</w:t>
      </w:r>
      <w:r>
        <w:rPr>
          <w:rFonts w:hint="eastAsia" w:ascii="仿宋_GB2312" w:hAnsi="仿宋_GB2312" w:eastAsia="仿宋_GB2312" w:cs="仿宋_GB2312"/>
          <w:color w:val="auto"/>
          <w:sz w:val="32"/>
          <w:szCs w:val="32"/>
          <w:lang w:eastAsia="zh-CN"/>
        </w:rPr>
        <w:t>其他</w:t>
      </w:r>
      <w:r>
        <w:rPr>
          <w:rFonts w:hint="eastAsia" w:ascii="仿宋_GB2312" w:hAnsi="仿宋_GB2312" w:eastAsia="仿宋_GB2312" w:cs="仿宋_GB2312"/>
          <w:color w:val="auto"/>
          <w:sz w:val="32"/>
          <w:szCs w:val="32"/>
        </w:rPr>
        <w:t>任务。</w:t>
      </w:r>
    </w:p>
    <w:p w14:paraId="0D8A1DFF">
      <w:pPr>
        <w:keepNext w:val="0"/>
        <w:keepLines w:val="0"/>
        <w:pageBreakBefore w:val="0"/>
        <w:numPr>
          <w:ilvl w:val="0"/>
          <w:numId w:val="0"/>
        </w:numPr>
        <w:kinsoku/>
        <w:wordWrap/>
        <w:overflowPunct/>
        <w:topLinePunct w:val="0"/>
        <w:autoSpaceDE/>
        <w:autoSpaceDN/>
        <w:bidi w:val="0"/>
        <w:spacing w:line="600" w:lineRule="exact"/>
        <w:ind w:firstLine="720" w:firstLineChars="225"/>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kern w:val="2"/>
          <w:sz w:val="32"/>
          <w:szCs w:val="32"/>
          <w:lang w:val="en-US" w:eastAsia="zh-CN" w:bidi="ar-SA"/>
        </w:rPr>
        <w:t>18.</w:t>
      </w:r>
      <w:r>
        <w:rPr>
          <w:rFonts w:hint="eastAsia" w:ascii="仿宋_GB2312" w:hAnsi="仿宋_GB2312" w:eastAsia="仿宋_GB2312" w:cs="仿宋_GB2312"/>
          <w:color w:val="auto"/>
          <w:sz w:val="32"/>
          <w:szCs w:val="32"/>
          <w:lang w:val="en-US" w:eastAsia="zh-CN"/>
        </w:rPr>
        <w:t>完成电站库区移民后期扶持工作</w:t>
      </w:r>
    </w:p>
    <w:p w14:paraId="51A300CE">
      <w:pPr>
        <w:keepNext w:val="0"/>
        <w:keepLines w:val="0"/>
        <w:pageBreakBefore w:val="0"/>
        <w:numPr>
          <w:ilvl w:val="0"/>
          <w:numId w:val="0"/>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color w:val="auto"/>
          <w:kern w:val="0"/>
          <w:sz w:val="32"/>
          <w:szCs w:val="32"/>
          <w:shd w:val="clear" w:color="auto" w:fill="FFFFFF"/>
          <w:lang w:val="zh-CN"/>
        </w:rPr>
      </w:pPr>
      <w:r>
        <w:rPr>
          <w:rFonts w:hint="eastAsia" w:ascii="仿宋_GB2312" w:hAnsi="仿宋_GB2312" w:eastAsia="仿宋_GB2312" w:cs="仿宋_GB2312"/>
          <w:b w:val="0"/>
          <w:bCs w:val="0"/>
          <w:color w:val="auto"/>
          <w:kern w:val="0"/>
          <w:sz w:val="32"/>
          <w:szCs w:val="32"/>
          <w:shd w:val="clear" w:color="auto" w:fill="FFFFFF"/>
          <w:lang w:val="en-US" w:eastAsia="zh-CN"/>
        </w:rPr>
        <w:t>人</w:t>
      </w:r>
      <w:r>
        <w:rPr>
          <w:rFonts w:hint="eastAsia" w:ascii="仿宋_GB2312" w:hAnsi="仿宋_GB2312" w:eastAsia="仿宋_GB2312" w:cs="仿宋_GB2312"/>
          <w:b w:val="0"/>
          <w:bCs w:val="0"/>
          <w:color w:val="auto"/>
          <w:kern w:val="0"/>
          <w:sz w:val="32"/>
          <w:szCs w:val="32"/>
          <w:shd w:val="clear" w:color="auto" w:fill="FFFFFF"/>
          <w:lang w:val="zh-CN"/>
        </w:rPr>
        <w:t>员概况：</w:t>
      </w:r>
    </w:p>
    <w:p w14:paraId="6331E1CA">
      <w:pPr>
        <w:keepNext w:val="0"/>
        <w:keepLines w:val="0"/>
        <w:pageBreakBefore w:val="0"/>
        <w:numPr>
          <w:ilvl w:val="0"/>
          <w:numId w:val="7"/>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县水务局行政编制</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名。</w:t>
      </w:r>
    </w:p>
    <w:p w14:paraId="5130E16E">
      <w:pPr>
        <w:keepNext w:val="0"/>
        <w:keepLines w:val="0"/>
        <w:pageBreakBefore w:val="0"/>
        <w:numPr>
          <w:ilvl w:val="0"/>
          <w:numId w:val="7"/>
        </w:numPr>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t>县水务局所属事业单位</w:t>
      </w:r>
      <w:r>
        <w:rPr>
          <w:rFonts w:hint="eastAsia" w:ascii="仿宋_GB2312" w:hAnsi="仿宋_GB2312" w:eastAsia="仿宋_GB2312" w:cs="仿宋_GB2312"/>
          <w:color w:val="auto"/>
          <w:sz w:val="32"/>
          <w:szCs w:val="32"/>
          <w:lang w:val="en-US" w:eastAsia="zh-CN"/>
        </w:rPr>
        <w:t>峨边彝族自治县水利工程建设服务中心20人。</w:t>
      </w:r>
    </w:p>
    <w:p w14:paraId="5B70A410">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eastAsia="zh-CN"/>
        </w:rPr>
      </w:pPr>
      <w:r>
        <w:rPr>
          <w:rFonts w:hint="eastAsia" w:ascii="楷体_GB2312" w:hAnsi="楷体_GB2312" w:eastAsia="楷体_GB2312" w:cs="楷体_GB2312"/>
          <w:color w:val="000000"/>
          <w:kern w:val="0"/>
          <w:sz w:val="32"/>
          <w:szCs w:val="32"/>
          <w:shd w:val="clear" w:color="auto" w:fill="FFFFFF"/>
          <w:lang w:val="zh-CN" w:eastAsia="zh-CN"/>
        </w:rPr>
        <w:t>（三）年度主要工作任务。</w:t>
      </w:r>
    </w:p>
    <w:p w14:paraId="31BAFE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1.水资源管理目标完成情况</w:t>
      </w:r>
    </w:p>
    <w:p w14:paraId="189232E3">
      <w:pPr>
        <w:keepNext w:val="0"/>
        <w:keepLines/>
        <w:pageBreakBefore w:val="0"/>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baseline"/>
        <w:rPr>
          <w:rFonts w:hint="eastAsia" w:ascii="仿宋_GB2312" w:hAnsi="仿宋_GB2312" w:eastAsia="仿宋_GB2312" w:cs="仿宋_GB2312"/>
          <w:kern w:val="2"/>
          <w:sz w:val="32"/>
          <w:szCs w:val="32"/>
          <w:lang w:val="en-US" w:eastAsia="zh-CN" w:bidi="zh-TW"/>
        </w:rPr>
      </w:pPr>
      <w:r>
        <w:rPr>
          <w:rFonts w:hint="eastAsia" w:ascii="仿宋_GB2312" w:hAnsi="仿宋_GB2312" w:eastAsia="仿宋_GB2312" w:cs="仿宋_GB2312"/>
          <w:b w:val="0"/>
          <w:kern w:val="2"/>
          <w:sz w:val="32"/>
          <w:szCs w:val="32"/>
          <w:lang w:val="en-US" w:eastAsia="zh-CN" w:bidi="ar-SA"/>
        </w:rPr>
        <w:t>强化水土保持监管与水资源管理。完成2024年水土流失治理任务41平方公里。对生产建设项目水土保持进行常态化监督管理，审批水土保持方案18个。发出水土保持整改通知书9份，已整改8个，开展水土保持现场检查30余次，发现问题25个，20个已经整改完成。完成10个项目验收报备，依法收缴水土保持费91.14万元。</w:t>
      </w:r>
      <w:r>
        <w:rPr>
          <w:rFonts w:hint="eastAsia" w:ascii="仿宋_GB2312" w:hAnsi="仿宋_GB2312" w:eastAsia="仿宋_GB2312" w:cs="仿宋_GB2312"/>
          <w:kern w:val="2"/>
          <w:sz w:val="32"/>
          <w:szCs w:val="32"/>
          <w:lang w:val="en-US" w:eastAsia="zh-CN" w:bidi="zh-TW"/>
        </w:rPr>
        <w:t>组织开展水电站生态流量现场检查10次，检查水电站200余次，立案调查下泄生态流量运行不正常问题一件。</w:t>
      </w:r>
    </w:p>
    <w:p w14:paraId="14FF13F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2.移民后期扶持政策目标完成情况</w:t>
      </w:r>
    </w:p>
    <w:p w14:paraId="787342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持续推进扶持项目。2024年大中型水库移民后期扶持项目计划5个，计划投资2660万元。截至目前开工建设4个，完工4个，前期1个，完成投资98.46%。其次争取解决大中型水库库区和移民安置区突出问题项目1个，争取资金5800万元，解决大中型水库库区和移民安置区突出问题项目涉及2个子项目，目前峨边彝族自治县二水厂新建配水管网工程已开工建设，并完成工程量20%，预计本月底全面完成建设任务；沙坪镇郭凡村至毛坪镇等分村道路加宽硬化已挂网招标，预计2025年3月底全面完成建设任务。</w:t>
      </w:r>
    </w:p>
    <w:p w14:paraId="41B8B40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（2）避险解困顺利验收</w:t>
      </w:r>
    </w:p>
    <w:p w14:paraId="755FAD0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2024年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20日</w:t>
      </w:r>
      <w:r>
        <w:rPr>
          <w:rFonts w:hint="eastAsia" w:ascii="仿宋_GB2312" w:hAnsi="仿宋_GB2312" w:eastAsia="仿宋_GB2312" w:cs="仿宋_GB2312"/>
          <w:sz w:val="32"/>
          <w:szCs w:val="32"/>
        </w:rPr>
        <w:t>完成了大中型水库移民避险解困试点项目县级验收</w:t>
      </w:r>
      <w:r>
        <w:rPr>
          <w:rFonts w:hint="eastAsia" w:ascii="仿宋_GB2312" w:hAnsi="仿宋_GB2312" w:eastAsia="仿宋_GB2312" w:cs="仿宋_GB2312"/>
          <w:sz w:val="32"/>
          <w:szCs w:val="32"/>
          <w:lang w:val="en-US" w:eastAsia="zh-CN"/>
        </w:rPr>
        <w:t>，并报市局复验。今年8月，顺利通过乐山市</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我县</w:t>
      </w:r>
      <w:r>
        <w:rPr>
          <w:rFonts w:hint="eastAsia" w:ascii="仿宋_GB2312" w:hAnsi="仿宋_GB2312" w:eastAsia="仿宋_GB2312" w:cs="仿宋_GB2312"/>
          <w:sz w:val="32"/>
          <w:szCs w:val="32"/>
        </w:rPr>
        <w:t>大中型水库移民避险解困试点项目</w:t>
      </w:r>
      <w:r>
        <w:rPr>
          <w:rFonts w:hint="eastAsia" w:ascii="仿宋_GB2312" w:hAnsi="仿宋_GB2312" w:eastAsia="仿宋_GB2312" w:cs="仿宋_GB2312"/>
          <w:sz w:val="32"/>
          <w:szCs w:val="32"/>
          <w:lang w:val="en-US" w:eastAsia="zh-CN"/>
        </w:rPr>
        <w:t>复核</w:t>
      </w:r>
      <w:r>
        <w:rPr>
          <w:rFonts w:hint="eastAsia" w:ascii="仿宋_GB2312" w:hAnsi="仿宋_GB2312" w:eastAsia="仿宋_GB2312" w:cs="仿宋_GB2312"/>
          <w:sz w:val="32"/>
          <w:szCs w:val="32"/>
        </w:rPr>
        <w:t>验收</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lang w:eastAsia="zh-CN"/>
        </w:rPr>
        <w:t>。</w:t>
      </w:r>
    </w:p>
    <w:p w14:paraId="63FC5870">
      <w:pPr>
        <w:keepNext w:val="0"/>
        <w:pageBreakBefore w:val="0"/>
        <w:widowControl/>
        <w:numPr>
          <w:ilvl w:val="0"/>
          <w:numId w:val="0"/>
        </w:numPr>
        <w:kinsoku/>
        <w:wordWrap/>
        <w:overflowPunct/>
        <w:topLinePunct w:val="0"/>
        <w:autoSpaceDE/>
        <w:autoSpaceDN/>
        <w:bidi w:val="0"/>
        <w:adjustRightInd/>
        <w:snapToGrid/>
        <w:spacing w:line="600" w:lineRule="exact"/>
        <w:ind w:left="0" w:leftChars="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2"/>
          <w:sz w:val="32"/>
          <w:szCs w:val="32"/>
          <w:lang w:val="en-US" w:eastAsia="zh-CN" w:bidi="ar-SA"/>
        </w:rPr>
        <w:t>3.防汛减灾完成情况。</w:t>
      </w:r>
      <w:r>
        <w:rPr>
          <w:rFonts w:hint="eastAsia" w:ascii="仿宋_GB2312" w:hAnsi="仿宋_GB2312" w:eastAsia="仿宋_GB2312" w:cs="仿宋_GB2312"/>
          <w:b w:val="0"/>
          <w:bCs w:val="0"/>
          <w:color w:val="auto"/>
          <w:sz w:val="32"/>
          <w:szCs w:val="32"/>
          <w:lang w:val="en-US" w:eastAsia="zh-CN"/>
        </w:rPr>
        <w:t>按照“责任落实、防汛抗旱准备、防范应对、减灾成效”清单要求完成预案编制、危险区责任落实、防御预演等任务，合力组建抢险队伍，充实备汛物资，全面排查隐患，以清单制销号，压实防汛责任，强化值班值守，以此保障全面落实防汛措施并在汛期内成功避险1次，确保了人民生命财产安全，全年成功实现</w:t>
      </w:r>
      <w:r>
        <w:rPr>
          <w:rFonts w:hint="eastAsia" w:ascii="仿宋_GB2312" w:hAnsi="仿宋_GB2312" w:eastAsia="仿宋_GB2312" w:cs="仿宋_GB2312"/>
          <w:sz w:val="32"/>
          <w:szCs w:val="32"/>
          <w:lang w:val="en-US" w:eastAsia="zh-CN"/>
        </w:rPr>
        <w:t>“三零目标”。</w:t>
      </w:r>
    </w:p>
    <w:p w14:paraId="17E1CE91">
      <w:pPr>
        <w:keepNext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rPr>
          <w:rFonts w:hint="eastAsia" w:ascii="仿宋_GB2312" w:hAnsi="仿宋_GB2312" w:eastAsia="仿宋_GB2312" w:cs="仿宋_GB2312"/>
          <w:b w:val="0"/>
          <w:bCs/>
          <w:color w:val="FF0000"/>
          <w:kern w:val="2"/>
          <w:sz w:val="32"/>
          <w:szCs w:val="32"/>
          <w:highlight w:val="none"/>
          <w:u w:val="none"/>
          <w:lang w:val="en-US" w:eastAsia="zh-CN" w:bidi="ar-SA"/>
        </w:rPr>
      </w:pPr>
      <w:r>
        <w:rPr>
          <w:rFonts w:hint="eastAsia" w:ascii="仿宋_GB2312" w:hAnsi="仿宋_GB2312" w:eastAsia="仿宋_GB2312" w:cs="仿宋_GB2312"/>
          <w:bCs/>
          <w:color w:val="000000"/>
          <w:kern w:val="2"/>
          <w:sz w:val="32"/>
          <w:szCs w:val="32"/>
          <w:lang w:val="en-US" w:eastAsia="zh-CN" w:bidi="ar-SA"/>
        </w:rPr>
        <w:t>4.提升专项行动，严格涉河建设和涉河有关活动监督管理，</w:t>
      </w:r>
      <w:r>
        <w:rPr>
          <w:rFonts w:hint="eastAsia" w:ascii="仿宋_GB2312" w:hAnsi="仿宋_GB2312" w:eastAsia="仿宋_GB2312" w:cs="仿宋_GB2312"/>
          <w:color w:val="000000"/>
          <w:kern w:val="2"/>
          <w:sz w:val="32"/>
          <w:szCs w:val="32"/>
          <w:lang w:val="en-US" w:eastAsia="zh-CN" w:bidi="ar-SA"/>
        </w:rPr>
        <w:t>持续推进农村生活污水治理“千村示范工程”，农村生活污水得到有效处理的村占比将达到72.52%。全面完成入河排污口排查、监测，全县已审批设置入河排污口28个，完成整治28个。</w:t>
      </w:r>
    </w:p>
    <w:p w14:paraId="4A737207">
      <w:pPr>
        <w:keepNext w:val="0"/>
        <w:pageBreakBefore w:val="0"/>
        <w:widowControl w:val="0"/>
        <w:kinsoku/>
        <w:wordWrap/>
        <w:overflowPunct/>
        <w:topLinePunct w:val="0"/>
        <w:autoSpaceDE/>
        <w:autoSpaceDN/>
        <w:bidi w:val="0"/>
        <w:adjustRightInd/>
        <w:snapToGrid/>
        <w:spacing w:line="600" w:lineRule="exact"/>
        <w:ind w:left="0" w:leftChars="0" w:firstLine="640" w:firstLineChars="200"/>
        <w:jc w:val="both"/>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b w:val="0"/>
          <w:bCs w:val="0"/>
          <w:kern w:val="2"/>
          <w:sz w:val="32"/>
          <w:szCs w:val="32"/>
          <w:lang w:val="en-US" w:eastAsia="zh-CN" w:bidi="ar-SA"/>
        </w:rPr>
        <w:t>5.规划供水完成情况。</w:t>
      </w:r>
      <w:r>
        <w:rPr>
          <w:rFonts w:hint="eastAsia" w:ascii="仿宋_GB2312" w:hAnsi="仿宋_GB2312" w:eastAsia="仿宋_GB2312" w:cs="仿宋_GB2312"/>
          <w:bCs/>
          <w:kern w:val="2"/>
          <w:sz w:val="32"/>
          <w:szCs w:val="32"/>
          <w:lang w:val="en-US" w:eastAsia="zh-CN" w:bidi="ar-SA"/>
        </w:rPr>
        <w:t>一是深入开展农村供水保障情况监督检查30余次，组织开展农村供水规范化管理工作，完成38处集中供水工程规范化管理考核评价工作，二是修订完善城乡供水安全饮水应急预案，建立健全农村饮水工程建管方案。三是组织开展安全饮水业务培训91人次，进一步提升乡镇水利服务水平。</w:t>
      </w:r>
    </w:p>
    <w:p w14:paraId="189FDE16">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eastAsia="zh-CN"/>
        </w:rPr>
      </w:pPr>
      <w:r>
        <w:rPr>
          <w:rFonts w:hint="eastAsia" w:ascii="楷体_GB2312" w:hAnsi="楷体_GB2312" w:eastAsia="楷体_GB2312" w:cs="楷体_GB2312"/>
          <w:color w:val="000000"/>
          <w:kern w:val="0"/>
          <w:sz w:val="32"/>
          <w:szCs w:val="32"/>
          <w:shd w:val="clear" w:color="auto" w:fill="FFFFFF"/>
          <w:lang w:val="zh-CN" w:eastAsia="zh-CN"/>
        </w:rPr>
        <w:t>（四）部门整体支出绩效目标。</w:t>
      </w:r>
    </w:p>
    <w:p w14:paraId="7A8A2D2D">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kern w:val="0"/>
          <w:sz w:val="32"/>
          <w:szCs w:val="32"/>
          <w:shd w:val="clear" w:color="auto" w:fill="FFFFFF"/>
        </w:rPr>
        <w:t>二、部门财政资金收支情况</w:t>
      </w:r>
    </w:p>
    <w:p w14:paraId="1A1B9407">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（一）部门财政资金收入情况。</w:t>
      </w:r>
    </w:p>
    <w:p w14:paraId="69E857FA">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2024年度全年决算收入8940.52万元，其中：一般公共预算财政拨款收入4562.86万元，政府性基金预算财政拨款收入4377.66万元。</w:t>
      </w:r>
    </w:p>
    <w:p w14:paraId="06419922">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（二）部门财政资金支出情况。</w:t>
      </w:r>
    </w:p>
    <w:p w14:paraId="16CC47EB">
      <w:pPr>
        <w:keepNext w:val="0"/>
        <w:pageBreakBefore w:val="0"/>
        <w:widowControl w:val="0"/>
        <w:numPr>
          <w:ilvl w:val="0"/>
          <w:numId w:val="0"/>
        </w:numPr>
        <w:kinsoku/>
        <w:wordWrap/>
        <w:overflowPunct/>
        <w:topLinePunct w:val="0"/>
        <w:autoSpaceDE/>
        <w:autoSpaceDN/>
        <w:bidi w:val="0"/>
        <w:spacing w:afterAutospacing="0" w:line="600" w:lineRule="exact"/>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2024年度全年决算支出8940.52万元，其中：基本支出946.43万元，项目支出7994.09万元。</w:t>
      </w:r>
    </w:p>
    <w:p w14:paraId="465E5431">
      <w:pPr>
        <w:keepNext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（三）</w:t>
      </w:r>
      <w:r>
        <w:rPr>
          <w:rFonts w:hint="eastAsia" w:ascii="楷体_GB2312" w:hAnsi="楷体_GB2312" w:eastAsia="楷体_GB2312" w:cs="楷体_GB2312"/>
          <w:color w:val="000000"/>
          <w:kern w:val="0"/>
          <w:sz w:val="32"/>
          <w:szCs w:val="32"/>
          <w:shd w:val="clear" w:color="auto" w:fill="FFFFFF"/>
          <w:lang w:val="zh-CN"/>
        </w:rPr>
        <w:t>部门财政资金结转结余情况。</w:t>
      </w:r>
    </w:p>
    <w:p w14:paraId="5CE9F099">
      <w:pPr>
        <w:keepNext w:val="0"/>
        <w:pageBreakBefore w:val="0"/>
        <w:widowControl w:val="0"/>
        <w:numPr>
          <w:ilvl w:val="0"/>
          <w:numId w:val="0"/>
        </w:numPr>
        <w:kinsoku/>
        <w:wordWrap/>
        <w:overflowPunct/>
        <w:topLinePunct w:val="0"/>
        <w:autoSpaceDE/>
        <w:autoSpaceDN/>
        <w:bidi w:val="0"/>
        <w:spacing w:afterAutospacing="0" w:line="600" w:lineRule="exact"/>
        <w:ind w:leftChars="200" w:firstLine="320" w:firstLineChars="1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2024年度上年结转结余0万元，年末结转结余0万元</w:t>
      </w:r>
    </w:p>
    <w:p w14:paraId="197D2D96">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kern w:val="0"/>
          <w:sz w:val="32"/>
          <w:szCs w:val="32"/>
          <w:shd w:val="clear" w:color="auto" w:fill="FFFFFF"/>
        </w:rPr>
        <w:t>三、部门整体绩效管理情况</w:t>
      </w:r>
    </w:p>
    <w:p w14:paraId="38F55699">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（一）部门整体履职绩效分析。</w:t>
      </w:r>
    </w:p>
    <w:p w14:paraId="62CFDF7D">
      <w:pPr>
        <w:keepNext w:val="0"/>
        <w:keepLines w:val="0"/>
        <w:pageBreakBefore w:val="0"/>
        <w:widowControl w:val="0"/>
        <w:kinsoku/>
        <w:wordWrap/>
        <w:overflowPunct/>
        <w:topLinePunct w:val="0"/>
        <w:autoSpaceDE/>
        <w:autoSpaceDN/>
        <w:bidi w:val="0"/>
        <w:adjustRightInd/>
        <w:snapToGrid/>
        <w:spacing w:afterAutospacing="0" w:line="6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在部门预算编制过程中，认真核实单位实际财政供养人员与实有人数情况，正确编制人员经费和公用经费，认真核实预算项目数量指标、质量指标、成本指标、效益指标和满意度指标，对超过60万元的项目认真编制事前评估报告，编制完成后，按照县财政局要求及时在门户网站进行公开，接受社会监督。</w:t>
      </w:r>
    </w:p>
    <w:p w14:paraId="5BE687B1">
      <w:pPr>
        <w:keepNext w:val="0"/>
        <w:keepLines w:val="0"/>
        <w:pageBreakBefore w:val="0"/>
        <w:widowControl w:val="0"/>
        <w:kinsoku/>
        <w:wordWrap/>
        <w:overflowPunct/>
        <w:topLinePunct w:val="0"/>
        <w:autoSpaceDE/>
        <w:autoSpaceDN/>
        <w:bidi w:val="0"/>
        <w:adjustRightInd/>
        <w:snapToGrid/>
        <w:spacing w:afterAutospacing="0" w:line="60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2024年在预算执行过程中，及时对预算项目进行中期评估，严格按照有关财经制度，强化项目资金监管和使用，年终认真编制部门决算。</w:t>
      </w:r>
    </w:p>
    <w:p w14:paraId="6E7EDA99">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（二）</w:t>
      </w:r>
      <w:r>
        <w:rPr>
          <w:rFonts w:hint="eastAsia" w:ascii="楷体_GB2312" w:hAnsi="楷体_GB2312" w:eastAsia="楷体_GB2312" w:cs="楷体_GB2312"/>
          <w:color w:val="000000"/>
          <w:kern w:val="0"/>
          <w:sz w:val="32"/>
          <w:szCs w:val="32"/>
          <w:shd w:val="clear" w:color="auto" w:fill="FFFFFF"/>
          <w:lang w:val="zh-CN"/>
        </w:rPr>
        <w:t>特定目标类项目绩效分析。</w:t>
      </w:r>
    </w:p>
    <w:p w14:paraId="62A1EE62">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2024年水务局项目资金10万元，制定了1个年初绩效目标，其中：河长制及水务治理工作经费10万元，主要用于夏家沟水库劳务派遣费和山洪灾害预警通讯费。</w:t>
      </w:r>
    </w:p>
    <w:p w14:paraId="3805B7F7">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en-US" w:eastAsia="zh-CN" w:bidi="ar-SA"/>
        </w:rPr>
      </w:pPr>
      <w:r>
        <w:rPr>
          <w:rFonts w:hint="eastAsia" w:ascii="楷体_GB2312" w:hAnsi="楷体_GB2312" w:eastAsia="楷体_GB2312" w:cs="楷体_GB2312"/>
          <w:color w:val="000000"/>
          <w:kern w:val="0"/>
          <w:sz w:val="32"/>
          <w:szCs w:val="32"/>
          <w:shd w:val="clear" w:fill="FFFFFF"/>
          <w:lang w:val="en-US" w:eastAsia="zh-CN" w:bidi="ar-SA"/>
        </w:rPr>
        <w:t>（三）</w:t>
      </w:r>
      <w:r>
        <w:rPr>
          <w:rFonts w:hint="eastAsia" w:ascii="楷体_GB2312" w:hAnsi="楷体_GB2312" w:eastAsia="楷体_GB2312" w:cs="楷体_GB2312"/>
          <w:color w:val="000000"/>
          <w:kern w:val="0"/>
          <w:sz w:val="32"/>
          <w:szCs w:val="32"/>
          <w:shd w:val="clear" w:fill="FFFFFF"/>
          <w:lang w:val="zh-CN" w:eastAsia="zh-CN" w:bidi="ar-SA"/>
        </w:rPr>
        <w:t>部门预算项目支出情况分析。</w:t>
      </w:r>
    </w:p>
    <w:p w14:paraId="5B2D9442">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kern w:val="0"/>
          <w:sz w:val="32"/>
          <w:szCs w:val="32"/>
          <w:shd w:val="clear" w:color="auto" w:fill="FFFFFF"/>
          <w:lang w:val="en-US" w:eastAsia="zh-CN"/>
        </w:rPr>
        <w:t>2024年水务局项目支出53个，其中自评得分90—100分的40个，80—90分的2个，60—80分2个，未开展评价的9个（其中川财农〔2024〕71号）关于下达2024年省级水利发展资金预算的通知中水资源节约利用（山区和西部民族地区小型水源工程）和水资源保护与修复治理（水土流失治理）2个项目资金已整合）。</w:t>
      </w:r>
    </w:p>
    <w:p w14:paraId="4C5E0644">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（四）结果应用情况。</w:t>
      </w:r>
    </w:p>
    <w:p w14:paraId="72C8AF49">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en-US" w:eastAsia="zh-CN"/>
        </w:rPr>
        <w:t>水务局</w:t>
      </w:r>
      <w:r>
        <w:rPr>
          <w:rFonts w:hint="eastAsia" w:ascii="仿宋_GB2312" w:hAnsi="仿宋_GB2312" w:eastAsia="仿宋_GB2312" w:cs="仿宋_GB2312"/>
          <w:color w:val="000000"/>
          <w:kern w:val="0"/>
          <w:sz w:val="32"/>
          <w:szCs w:val="32"/>
          <w:shd w:val="clear" w:color="auto" w:fill="FFFFFF"/>
          <w:lang w:val="zh-CN"/>
        </w:rPr>
        <w:t>按照财政局下达的预算指标，严格执行预算内开支，保障了单位正常运转。认真贯彻执行《四川省省级财政专项资金绩效分配管理暂行办法》实施绩效分配。资金分配科学合理，分配过程符合相关规定。建立健全专项资金绩效分配机制，实现了财政资金资源有效配置。本部门的预决算编制均按照县财政局下达的相关文件指标进行了编制，按时完成经、编制工作，决算报表和说明均在峨边彝族自治县县政府门户网站公开。绩效目标也按照有关文件如实进行了填报。专项预算也提前进行了规划和筹划。</w:t>
      </w:r>
    </w:p>
    <w:p w14:paraId="7CBB89E8">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kern w:val="0"/>
          <w:sz w:val="32"/>
          <w:szCs w:val="32"/>
          <w:shd w:val="clear" w:color="auto" w:fill="FFFFFF"/>
          <w:lang w:val="en-US" w:eastAsia="zh-CN"/>
        </w:rPr>
        <w:t>四</w:t>
      </w:r>
      <w:r>
        <w:rPr>
          <w:rFonts w:hint="eastAsia" w:ascii="黑体" w:hAnsi="黑体" w:eastAsia="黑体" w:cs="黑体"/>
          <w:b w:val="0"/>
          <w:bCs w:val="0"/>
          <w:color w:val="000000"/>
          <w:kern w:val="0"/>
          <w:sz w:val="32"/>
          <w:szCs w:val="32"/>
          <w:shd w:val="clear" w:color="auto" w:fill="FFFFFF"/>
        </w:rPr>
        <w:t>、评价结论及建议</w:t>
      </w:r>
    </w:p>
    <w:p w14:paraId="0EDFCDAF">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（一）评价结论。</w:t>
      </w:r>
    </w:p>
    <w:p w14:paraId="79055B13">
      <w:pPr>
        <w:keepNext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zh-CN"/>
        </w:rPr>
        <w:t>我局2024绩效评价考核自查情况总体良好，部门认真履职，项目认真落实，效果明显，群众满意度高，评价好。财务管理健全规范，没有发生违法违规现象，我局2024年的部门整体支出做到了使用规范、程序透明、达到预期绩效目标确保了机关的正常运行和各部室职能的正常履行，保证了目标任务的圆满完成。</w:t>
      </w:r>
      <w:r>
        <w:rPr>
          <w:rFonts w:hint="eastAsia" w:ascii="仿宋_GB2312" w:hAnsi="仿宋_GB2312" w:eastAsia="仿宋_GB2312" w:cs="仿宋_GB2312"/>
          <w:color w:val="000000"/>
          <w:kern w:val="0"/>
          <w:sz w:val="32"/>
          <w:szCs w:val="32"/>
          <w:shd w:val="clear" w:color="auto" w:fill="FFFFFF"/>
          <w:lang w:val="en-US" w:eastAsia="zh-CN"/>
        </w:rPr>
        <w:t>自评得分95.3分</w:t>
      </w:r>
    </w:p>
    <w:p w14:paraId="5E98E80D">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fill="FFFFFF"/>
          <w:lang w:val="zh-CN" w:eastAsia="zh-CN" w:bidi="ar-SA"/>
        </w:rPr>
        <w:t>（二）</w:t>
      </w:r>
      <w:r>
        <w:rPr>
          <w:rFonts w:hint="eastAsia" w:ascii="楷体_GB2312" w:hAnsi="楷体_GB2312" w:eastAsia="楷体_GB2312" w:cs="楷体_GB2312"/>
          <w:color w:val="000000"/>
          <w:kern w:val="0"/>
          <w:sz w:val="32"/>
          <w:szCs w:val="32"/>
          <w:shd w:val="clear" w:color="auto" w:fill="FFFFFF"/>
          <w:lang w:val="zh-CN"/>
        </w:rPr>
        <w:t>存在问题。</w:t>
      </w:r>
    </w:p>
    <w:p w14:paraId="3F9EA005">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在整体推进水务业务工作上，基本完成年初制定的目标任务，</w:t>
      </w:r>
    </w:p>
    <w:p w14:paraId="6EC80DAB">
      <w:pPr>
        <w:keepNext w:val="0"/>
        <w:pageBreakBefore w:val="0"/>
        <w:widowControl/>
        <w:kinsoku/>
        <w:wordWrap/>
        <w:overflowPunct/>
        <w:topLinePunct w:val="0"/>
        <w:autoSpaceDE/>
        <w:autoSpaceDN/>
        <w:bidi w:val="0"/>
        <w:adjustRightInd w:val="0"/>
        <w:snapToGrid w:val="0"/>
        <w:spacing w:line="600" w:lineRule="exact"/>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但是因财政资金紧张导致部分资金下达时间晚导致支付时间较迟。</w:t>
      </w:r>
    </w:p>
    <w:p w14:paraId="6917C378">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（三）改进建议。</w:t>
      </w:r>
    </w:p>
    <w:p w14:paraId="3B78BB2C">
      <w:pPr>
        <w:keepNext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今后项目的执行上，为达到预期绩效目标，全力配合财政部门确保资金能及时下达，加强对项目资金的管理，严格按照资金的使用范围专款专用，支付有依据，严格开支标准。</w:t>
      </w:r>
    </w:p>
    <w:p w14:paraId="68C1DB70">
      <w:pPr>
        <w:pStyle w:val="6"/>
        <w:pageBreakBefore w:val="0"/>
        <w:kinsoku/>
        <w:wordWrap/>
        <w:overflowPunct/>
        <w:topLinePunct w:val="0"/>
        <w:bidi w:val="0"/>
        <w:spacing w:beforeLines="0" w:line="600" w:lineRule="exact"/>
        <w:ind w:firstLine="320" w:firstLineChars="100"/>
        <w:rPr>
          <w:rFonts w:hint="eastAsia" w:ascii="仿宋_GB2312" w:hAnsi="仿宋_GB2312" w:eastAsia="仿宋_GB2312" w:cs="仿宋_GB2312"/>
          <w:lang w:val="en-US" w:eastAsia="zh-CN"/>
        </w:rPr>
      </w:pPr>
      <w:r>
        <w:rPr>
          <w:rFonts w:hint="eastAsia" w:ascii="仿宋_GB2312" w:hAnsi="仿宋_GB2312" w:eastAsia="仿宋_GB2312" w:cs="仿宋_GB2312"/>
          <w:color w:val="000000"/>
          <w:kern w:val="0"/>
          <w:sz w:val="32"/>
          <w:szCs w:val="32"/>
          <w:shd w:val="clear" w:color="auto" w:fill="FFFFFF"/>
          <w:lang w:val="en-US" w:eastAsia="zh-CN"/>
        </w:rPr>
        <w:t>附表：</w:t>
      </w:r>
      <w:r>
        <w:rPr>
          <w:rFonts w:hint="eastAsia" w:ascii="仿宋_GB2312" w:hAnsi="仿宋_GB2312" w:eastAsia="仿宋_GB2312" w:cs="仿宋_GB2312"/>
          <w:kern w:val="2"/>
          <w:sz w:val="32"/>
          <w:szCs w:val="32"/>
          <w:u w:val="none"/>
          <w:lang w:val="en-US" w:eastAsia="zh-CN" w:bidi="ar"/>
        </w:rPr>
        <w:t>部门预算项目支出绩效自评表（2024年度）</w:t>
      </w:r>
    </w:p>
    <w:p w14:paraId="289FF1DE">
      <w:pPr>
        <w:pStyle w:val="8"/>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object>
          <v:shape id="_x0000_i1025" o:spt="75" type="#_x0000_t75" style="height:456.7pt;width:414pt;" o:ole="t" filled="f" o:preferrelative="t" stroked="f" coordsize="21600,21600">
            <v:path/>
            <v:fill on="f" focussize="0,0"/>
            <v:stroke on="f"/>
            <v:imagedata r:id="rId15" o:title=""/>
            <o:lock v:ext="edit" aspectratio="f"/>
            <w10:wrap type="none"/>
            <w10:anchorlock/>
          </v:shape>
          <o:OLEObject Type="Embed" ProgID="Excel.Sheet.12" ShapeID="_x0000_i1025" DrawAspect="Content" ObjectID="_1468075725" r:id="rId14">
            <o:LockedField>false</o:LockedField>
          </o:OLEObject>
        </w:object>
      </w:r>
    </w:p>
    <w:p w14:paraId="6C8E494B">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4D2B6F41">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59849745">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p>
    <w:p w14:paraId="30DAE852">
      <w:pPr>
        <w:rPr>
          <w:rFonts w:hint="eastAsia" w:hAnsi="Times New Roman" w:cs="Times New Roman"/>
          <w:sz w:val="32"/>
          <w:szCs w:val="32"/>
          <w:highlight w:val="none"/>
          <w:lang w:val="en-US" w:eastAsia="zh-CN"/>
        </w:rPr>
      </w:pPr>
      <w:r>
        <w:rPr>
          <w:rFonts w:hint="eastAsia" w:hAnsi="Times New Roman" w:cs="Times New Roman"/>
          <w:sz w:val="32"/>
          <w:szCs w:val="32"/>
          <w:highlight w:val="none"/>
          <w:lang w:val="en-US" w:eastAsia="zh-CN"/>
        </w:rPr>
        <w:br w:type="page"/>
      </w:r>
    </w:p>
    <w:p w14:paraId="59B8D4CC">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cs="Times New Roman"/>
          <w:sz w:val="32"/>
          <w:szCs w:val="32"/>
          <w:highlight w:val="none"/>
          <w:lang w:val="en-US" w:eastAsia="zh-CN"/>
        </w:rPr>
      </w:pPr>
      <w:r>
        <w:rPr>
          <w:rFonts w:hint="eastAsia" w:cs="Times New Roman"/>
          <w:sz w:val="32"/>
          <w:szCs w:val="32"/>
          <w:highlight w:val="none"/>
          <w:lang w:val="en-US" w:eastAsia="zh-CN"/>
        </w:rPr>
        <w:t>附件2</w:t>
      </w:r>
    </w:p>
    <w:p w14:paraId="4725F077">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w:t>
      </w:r>
    </w:p>
    <w:p w14:paraId="2732AE48">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方正小标宋简体" w:eastAsia="方正小标宋简体" w:cs="方正小标宋简体"/>
          <w:color w:val="000000"/>
          <w:kern w:val="0"/>
          <w:sz w:val="44"/>
          <w:szCs w:val="44"/>
          <w:lang w:val="zh-CN" w:eastAsia="zh-CN" w:bidi="ar-SA"/>
        </w:rPr>
        <w:t>川财农〔2023〕145号－四川省财政厅 四川省水利厅关于提前下达2024年大中型水库移民后期扶持资金预算的通知（1396万元）</w:t>
      </w:r>
      <w:r>
        <w:rPr>
          <w:rFonts w:hint="eastAsia" w:ascii="方正小标宋简体" w:hAnsi="宋体" w:eastAsia="方正小标宋简体" w:cs="Times New Roman"/>
          <w:color w:val="000000"/>
          <w:kern w:val="0"/>
          <w:sz w:val="44"/>
          <w:szCs w:val="44"/>
          <w:lang w:val="zh-CN" w:eastAsia="zh-CN" w:bidi="ar-SA"/>
        </w:rPr>
        <w:t>支出绩效自评报告</w:t>
      </w:r>
    </w:p>
    <w:p w14:paraId="67FEF937">
      <w:pPr>
        <w:keepNext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rPr>
          <w:rFonts w:ascii="宋体" w:hAnsi="宋体" w:eastAsia="宋体" w:cs="Times New Roman"/>
          <w:color w:val="auto"/>
          <w:kern w:val="2"/>
          <w:sz w:val="32"/>
          <w:szCs w:val="32"/>
          <w:lang w:val="zh-CN" w:eastAsia="zh-CN" w:bidi="ar-SA"/>
        </w:rPr>
      </w:pPr>
    </w:p>
    <w:p w14:paraId="2A5FC435">
      <w:pPr>
        <w:adjustRightInd w:val="0"/>
        <w:snapToGrid w:val="0"/>
        <w:spacing w:line="560" w:lineRule="exact"/>
        <w:ind w:firstLine="720"/>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7C79965F">
      <w:pPr>
        <w:keepNext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（一）项目资金申报及批复情况。</w:t>
      </w:r>
    </w:p>
    <w:p w14:paraId="16CEE0E1">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Times New Roman" w:hAnsi="Times New Roman" w:eastAsia="仿宋_GB2312" w:cs="仿宋"/>
          <w:sz w:val="32"/>
          <w:szCs w:val="32"/>
          <w:highlight w:val="none"/>
          <w:lang w:val="en-US" w:eastAsia="zh-CN"/>
        </w:rPr>
        <w:t>川财农</w:t>
      </w:r>
      <w:r>
        <w:rPr>
          <w:rFonts w:hint="eastAsia" w:eastAsia="仿宋_GB2312" w:cs="仿宋"/>
          <w:sz w:val="32"/>
          <w:szCs w:val="32"/>
          <w:highlight w:val="none"/>
          <w:lang w:val="en-US" w:eastAsia="zh-CN"/>
        </w:rPr>
        <w:t>〔2023〕145号－</w:t>
      </w:r>
      <w:r>
        <w:rPr>
          <w:rFonts w:hint="eastAsia" w:ascii="Times New Roman" w:hAnsi="Times New Roman" w:eastAsia="仿宋_GB2312" w:cs="仿宋"/>
          <w:sz w:val="32"/>
          <w:szCs w:val="32"/>
          <w:highlight w:val="none"/>
          <w:lang w:val="en-US" w:eastAsia="zh-CN"/>
        </w:rPr>
        <w:t>四川省财政厅 四川省水利厅关于提前下达2024年大中型水库移民后期扶持资金预算的通知下达直发直补677万元</w:t>
      </w:r>
      <w:r>
        <w:rPr>
          <w:rFonts w:hint="eastAsia" w:ascii="仿宋_GB2312" w:hAnsi="宋体" w:eastAsia="仿宋_GB2312" w:cs="Times New Roman"/>
          <w:sz w:val="32"/>
          <w:szCs w:val="32"/>
          <w:lang w:val="zh-CN"/>
        </w:rPr>
        <w:t>。</w:t>
      </w:r>
    </w:p>
    <w:p w14:paraId="0880AFE5">
      <w:pPr>
        <w:keepNext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（二）项目绩效目标。</w:t>
      </w:r>
    </w:p>
    <w:p w14:paraId="4D757975">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完成</w:t>
      </w:r>
      <w:r>
        <w:rPr>
          <w:rFonts w:hint="eastAsia" w:ascii="Times New Roman" w:hAnsi="Times New Roman" w:eastAsia="仿宋_GB2312" w:cs="仿宋"/>
          <w:sz w:val="32"/>
          <w:szCs w:val="32"/>
          <w:highlight w:val="none"/>
          <w:lang w:val="en-US" w:eastAsia="zh-CN"/>
        </w:rPr>
        <w:t>全县库区移民11456人直补发放</w:t>
      </w:r>
      <w:r>
        <w:rPr>
          <w:rFonts w:hint="eastAsia" w:ascii="仿宋_GB2312" w:hAnsi="宋体" w:eastAsia="仿宋_GB2312" w:cs="Times New Roman"/>
          <w:sz w:val="32"/>
          <w:szCs w:val="32"/>
          <w:lang w:val="zh-CN"/>
        </w:rPr>
        <w:t>。</w:t>
      </w:r>
    </w:p>
    <w:p w14:paraId="06353D93">
      <w:pPr>
        <w:keepNext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（三）项目资金申报相符性。</w:t>
      </w:r>
    </w:p>
    <w:p w14:paraId="0E638FE2">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Times New Roman" w:hAnsi="Times New Roman" w:eastAsia="仿宋_GB2312" w:cs="仿宋"/>
          <w:sz w:val="32"/>
          <w:szCs w:val="32"/>
          <w:highlight w:val="none"/>
          <w:lang w:val="en-US" w:eastAsia="zh-CN"/>
        </w:rPr>
        <w:t>川财农</w:t>
      </w:r>
      <w:r>
        <w:rPr>
          <w:rFonts w:hint="eastAsia" w:eastAsia="仿宋_GB2312" w:cs="仿宋"/>
          <w:sz w:val="32"/>
          <w:szCs w:val="32"/>
          <w:highlight w:val="none"/>
          <w:lang w:val="en-US" w:eastAsia="zh-CN"/>
        </w:rPr>
        <w:t>〔2023〕145号－</w:t>
      </w:r>
      <w:r>
        <w:rPr>
          <w:rFonts w:hint="eastAsia" w:ascii="Times New Roman" w:hAnsi="Times New Roman" w:eastAsia="仿宋_GB2312" w:cs="仿宋"/>
          <w:sz w:val="32"/>
          <w:szCs w:val="32"/>
          <w:highlight w:val="none"/>
          <w:lang w:val="en-US" w:eastAsia="zh-CN"/>
        </w:rPr>
        <w:t>四川省财政厅 四川省水利厅关于提前下达2024年大中型水库移民后期扶持资金预算的通知下达直发直补677万元</w:t>
      </w:r>
      <w:r>
        <w:rPr>
          <w:rFonts w:hint="eastAsia" w:ascii="仿宋_GB2312" w:hAnsi="宋体" w:eastAsia="仿宋_GB2312" w:cs="Times New Roman"/>
          <w:sz w:val="32"/>
          <w:szCs w:val="32"/>
          <w:lang w:val="zh-CN"/>
        </w:rPr>
        <w:t>。项目申报内容与具体实施内容相符。</w:t>
      </w:r>
    </w:p>
    <w:p w14:paraId="40E8EEC4">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3E04CB74">
      <w:pPr>
        <w:keepNext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rPr>
          <w:rFonts w:hint="eastAsia" w:ascii="楷体_GB2312" w:hAnsi="楷体_GB2312" w:eastAsia="楷体_GB2312" w:cs="楷体_GB2312"/>
          <w:color w:val="000000"/>
          <w:kern w:val="0"/>
          <w:sz w:val="32"/>
          <w:szCs w:val="32"/>
          <w:shd w:val="clear" w:fill="FFFFFF"/>
          <w:lang w:val="zh-CN" w:eastAsia="zh-CN" w:bidi="ar-SA"/>
        </w:rPr>
      </w:pPr>
      <w:r>
        <w:rPr>
          <w:rFonts w:hint="eastAsia" w:ascii="楷体_GB2312" w:hAnsi="楷体_GB2312" w:eastAsia="楷体_GB2312" w:cs="楷体_GB2312"/>
          <w:color w:val="000000"/>
          <w:kern w:val="0"/>
          <w:sz w:val="32"/>
          <w:szCs w:val="32"/>
          <w:shd w:val="clear" w:fill="FFFFFF"/>
          <w:lang w:val="zh-CN" w:eastAsia="zh-CN" w:bidi="ar-SA"/>
        </w:rPr>
        <w:t>（一）资金计划、到位及使用情况。</w:t>
      </w:r>
    </w:p>
    <w:p w14:paraId="2862A808">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1.资金计划及到位。截至</w:t>
      </w:r>
      <w:r>
        <w:rPr>
          <w:rFonts w:hint="eastAsia" w:ascii="楷体_GB2312" w:hAnsi="宋体" w:eastAsia="楷体_GB2312" w:cs="Times New Roman"/>
          <w:color w:val="auto"/>
          <w:sz w:val="32"/>
          <w:szCs w:val="32"/>
          <w:lang w:val="en-US" w:eastAsia="zh-CN"/>
        </w:rPr>
        <w:t>2024</w:t>
      </w:r>
      <w:r>
        <w:rPr>
          <w:rFonts w:hint="eastAsia" w:ascii="楷体_GB2312" w:hAnsi="宋体" w:eastAsia="楷体_GB2312" w:cs="Times New Roman"/>
          <w:color w:val="auto"/>
          <w:sz w:val="32"/>
          <w:szCs w:val="32"/>
          <w:lang w:val="zh-CN"/>
        </w:rPr>
        <w:t>年</w:t>
      </w:r>
      <w:r>
        <w:rPr>
          <w:rFonts w:hint="eastAsia" w:ascii="楷体_GB2312" w:hAnsi="宋体" w:eastAsia="楷体_GB2312" w:cs="Times New Roman"/>
          <w:color w:val="auto"/>
          <w:sz w:val="32"/>
          <w:szCs w:val="32"/>
          <w:lang w:val="en-US" w:eastAsia="zh-CN"/>
        </w:rPr>
        <w:t>12</w:t>
      </w:r>
      <w:r>
        <w:rPr>
          <w:rFonts w:hint="eastAsia" w:ascii="楷体_GB2312" w:hAnsi="宋体" w:eastAsia="楷体_GB2312" w:cs="Times New Roman"/>
          <w:color w:val="auto"/>
          <w:sz w:val="32"/>
          <w:szCs w:val="32"/>
          <w:lang w:val="zh-CN"/>
        </w:rPr>
        <w:t>月</w:t>
      </w:r>
      <w:r>
        <w:rPr>
          <w:rFonts w:hint="eastAsia" w:ascii="楷体_GB2312" w:hAnsi="宋体" w:eastAsia="楷体_GB2312" w:cs="Times New Roman"/>
          <w:color w:val="auto"/>
          <w:sz w:val="32"/>
          <w:szCs w:val="32"/>
          <w:lang w:val="en-US" w:eastAsia="zh-CN"/>
        </w:rPr>
        <w:t>31</w:t>
      </w:r>
      <w:r>
        <w:rPr>
          <w:rFonts w:hint="eastAsia" w:ascii="楷体_GB2312" w:hAnsi="宋体" w:eastAsia="楷体_GB2312" w:cs="Times New Roman"/>
          <w:color w:val="auto"/>
          <w:sz w:val="32"/>
          <w:szCs w:val="32"/>
          <w:lang w:val="zh-CN"/>
        </w:rPr>
        <w:t>日，该项目资金到位</w:t>
      </w:r>
      <w:r>
        <w:rPr>
          <w:rFonts w:hint="eastAsia" w:ascii="楷体_GB2312" w:hAnsi="宋体" w:eastAsia="楷体_GB2312" w:cs="Times New Roman"/>
          <w:color w:val="auto"/>
          <w:sz w:val="32"/>
          <w:szCs w:val="32"/>
          <w:lang w:val="en-US" w:eastAsia="zh-CN"/>
        </w:rPr>
        <w:t>677</w:t>
      </w:r>
      <w:r>
        <w:rPr>
          <w:rFonts w:hint="eastAsia" w:ascii="楷体_GB2312" w:hAnsi="宋体" w:eastAsia="楷体_GB2312" w:cs="Times New Roman"/>
          <w:color w:val="auto"/>
          <w:sz w:val="32"/>
          <w:szCs w:val="32"/>
          <w:lang w:val="zh-CN"/>
        </w:rPr>
        <w:t>万元，</w:t>
      </w:r>
      <w:r>
        <w:rPr>
          <w:rFonts w:hint="eastAsia" w:ascii="仿宋_GB2312" w:hAnsi="宋体" w:eastAsia="仿宋_GB2312" w:cs="Times New Roman"/>
          <w:color w:val="auto"/>
          <w:sz w:val="32"/>
          <w:szCs w:val="32"/>
          <w:lang w:val="zh-CN"/>
        </w:rPr>
        <w:t>资金到位情况与资金计划进行比对，资金到位率100%、到位及时。</w:t>
      </w:r>
    </w:p>
    <w:p w14:paraId="733B56CD">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2.资金使用。</w:t>
      </w:r>
    </w:p>
    <w:p w14:paraId="11056741">
      <w:pPr>
        <w:adjustRightInd w:val="0"/>
        <w:snapToGrid w:val="0"/>
        <w:spacing w:line="560" w:lineRule="exact"/>
        <w:ind w:firstLine="720"/>
        <w:rPr>
          <w:rFonts w:hint="eastAsia" w:ascii="仿宋_GB2312" w:hAnsi="宋体" w:eastAsia="仿宋_GB2312" w:cs="Times New Roman"/>
          <w:color w:val="FF0000"/>
          <w:sz w:val="32"/>
          <w:szCs w:val="32"/>
          <w:lang w:val="zh-CN"/>
        </w:rPr>
      </w:pPr>
      <w:r>
        <w:rPr>
          <w:rFonts w:hint="eastAsia" w:ascii="仿宋_GB2312" w:hAnsi="宋体" w:eastAsia="仿宋_GB2312" w:cs="Times New Roman"/>
          <w:color w:val="auto"/>
          <w:sz w:val="32"/>
          <w:szCs w:val="32"/>
          <w:lang w:val="en-US" w:eastAsia="zh-CN"/>
        </w:rPr>
        <w:t>截至2023年12月31日支付完成11456人移民直补556.94万元</w:t>
      </w:r>
      <w:r>
        <w:rPr>
          <w:rFonts w:hint="eastAsia" w:ascii="仿宋_GB2312" w:hAnsi="仿宋" w:eastAsia="仿宋_GB2312" w:cs="仿宋_GB2312"/>
          <w:color w:val="auto"/>
          <w:sz w:val="32"/>
          <w:szCs w:val="32"/>
          <w:lang w:eastAsia="zh-CN"/>
        </w:rPr>
        <w:t>，</w:t>
      </w:r>
      <w:r>
        <w:rPr>
          <w:rFonts w:hint="eastAsia" w:ascii="仿宋_GB2312" w:hAnsi="仿宋" w:eastAsia="仿宋_GB2312" w:cs="仿宋_GB2312"/>
          <w:color w:val="auto"/>
          <w:sz w:val="32"/>
          <w:szCs w:val="32"/>
          <w:lang w:val="en-US" w:eastAsia="zh-CN"/>
        </w:rPr>
        <w:t>资金支付82.27%，未支付完成原因是部分移民账户信息、证件过期等不能及时发放</w:t>
      </w:r>
      <w:r>
        <w:rPr>
          <w:rFonts w:hint="eastAsia" w:ascii="仿宋_GB2312" w:hAnsi="宋体" w:eastAsia="仿宋_GB2312" w:cs="Times New Roman"/>
          <w:color w:val="auto"/>
          <w:sz w:val="32"/>
          <w:szCs w:val="32"/>
          <w:lang w:val="zh-CN"/>
        </w:rPr>
        <w:t>。</w:t>
      </w:r>
    </w:p>
    <w:p w14:paraId="3AE8DAA7">
      <w:pPr>
        <w:adjustRightInd w:val="0"/>
        <w:snapToGrid w:val="0"/>
        <w:spacing w:line="560" w:lineRule="exact"/>
        <w:ind w:firstLine="720"/>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（二）项目财务管理情况。</w:t>
      </w:r>
    </w:p>
    <w:p w14:paraId="3486CB4F">
      <w:pPr>
        <w:adjustRightInd w:val="0"/>
        <w:snapToGrid w:val="0"/>
        <w:spacing w:line="600" w:lineRule="exact"/>
        <w:ind w:firstLine="720"/>
        <w:rPr>
          <w:rFonts w:ascii="仿宋_GB2312" w:hAnsi="宋体" w:eastAsia="仿宋_GB2312" w:cs="Times New Roman"/>
          <w:color w:val="000000"/>
          <w:sz w:val="32"/>
          <w:szCs w:val="32"/>
          <w:lang w:val="zh-CN"/>
        </w:rPr>
      </w:pPr>
      <w:r>
        <w:rPr>
          <w:rFonts w:hint="eastAsia" w:ascii="仿宋_GB2312" w:hAnsi="宋体" w:eastAsia="仿宋_GB2312" w:cs="Times New Roman"/>
          <w:color w:val="000000"/>
          <w:sz w:val="32"/>
          <w:szCs w:val="32"/>
          <w:lang w:val="zh-CN"/>
        </w:rPr>
        <w:t>该项目资金严格按照财经管理制度规定使用，财务处理及时、规范，资料齐全、归档及时，无</w:t>
      </w:r>
      <w:r>
        <w:rPr>
          <w:rFonts w:hint="eastAsia" w:ascii="仿宋_GB2312" w:hAnsi="宋体" w:eastAsia="仿宋_GB2312" w:cs="宋体"/>
          <w:color w:val="000000"/>
          <w:kern w:val="0"/>
          <w:sz w:val="32"/>
          <w:szCs w:val="32"/>
          <w:shd w:val="clear" w:color="auto" w:fill="FFFFFF"/>
          <w:lang w:val="zh-CN"/>
        </w:rPr>
        <w:t>截留、挤占、挪用、套取、转移和浪费的现象，无任何违规记录。</w:t>
      </w:r>
    </w:p>
    <w:p w14:paraId="229412F2">
      <w:pPr>
        <w:adjustRightInd w:val="0"/>
        <w:snapToGrid w:val="0"/>
        <w:spacing w:line="560" w:lineRule="exact"/>
        <w:ind w:firstLine="720"/>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（三）项目组织实施情况。</w:t>
      </w:r>
    </w:p>
    <w:p w14:paraId="0BF90223">
      <w:pPr>
        <w:adjustRightInd w:val="0"/>
        <w:snapToGrid w:val="0"/>
        <w:spacing w:line="560" w:lineRule="exact"/>
        <w:ind w:firstLine="720"/>
        <w:rPr>
          <w:rFonts w:hint="eastAsia" w:ascii="仿宋_GB2312" w:hAnsi="仿宋" w:eastAsia="仿宋_GB2312" w:cs="仿宋_GB2312"/>
          <w:color w:val="000000"/>
          <w:sz w:val="32"/>
          <w:szCs w:val="32"/>
        </w:rPr>
      </w:pPr>
      <w:r>
        <w:rPr>
          <w:rFonts w:hint="eastAsia" w:ascii="仿宋_GB2312" w:hAnsi="仿宋" w:eastAsia="仿宋_GB2312" w:cs="仿宋_GB2312"/>
          <w:color w:val="000000"/>
          <w:sz w:val="32"/>
          <w:szCs w:val="32"/>
        </w:rPr>
        <w:t>项目</w:t>
      </w:r>
      <w:r>
        <w:rPr>
          <w:rFonts w:hint="eastAsia" w:ascii="仿宋_GB2312" w:hAnsi="仿宋" w:eastAsia="仿宋_GB2312" w:cs="仿宋_GB2312"/>
          <w:color w:val="000000"/>
          <w:sz w:val="32"/>
          <w:szCs w:val="32"/>
          <w:lang w:val="en-US" w:eastAsia="zh-CN"/>
        </w:rPr>
        <w:t>通过乡镇每月核实移民人口上报至阳光审批平台，通过审核后推送至一卡通发放平台发放，对证件过期、账户错误不能及时发放的，通过乡镇核实后重新补发</w:t>
      </w:r>
      <w:r>
        <w:rPr>
          <w:rFonts w:hint="eastAsia" w:ascii="仿宋_GB2312" w:hAnsi="仿宋" w:eastAsia="仿宋_GB2312" w:cs="仿宋_GB2312"/>
          <w:color w:val="000000"/>
          <w:sz w:val="32"/>
          <w:szCs w:val="32"/>
        </w:rPr>
        <w:t>。</w:t>
      </w:r>
    </w:p>
    <w:p w14:paraId="675A533D">
      <w:pPr>
        <w:adjustRightInd w:val="0"/>
        <w:snapToGrid w:val="0"/>
        <w:spacing w:line="560" w:lineRule="exact"/>
        <w:ind w:firstLine="720"/>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547C60DD">
      <w:pPr>
        <w:adjustRightInd w:val="0"/>
        <w:snapToGrid w:val="0"/>
        <w:spacing w:line="560" w:lineRule="exact"/>
        <w:ind w:firstLine="720"/>
        <w:rPr>
          <w:rFonts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（一）项目完成情况。</w:t>
      </w:r>
    </w:p>
    <w:p w14:paraId="6B35A947">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2024年已通过一卡通发放平台发放移民直补资金556.94万元</w:t>
      </w:r>
      <w:r>
        <w:rPr>
          <w:rFonts w:hint="eastAsia" w:ascii="仿宋_GB2312" w:hAnsi="宋体" w:eastAsia="仿宋_GB2312" w:cs="Times New Roman"/>
          <w:sz w:val="32"/>
          <w:szCs w:val="32"/>
          <w:lang w:val="zh-CN"/>
        </w:rPr>
        <w:t>。</w:t>
      </w:r>
    </w:p>
    <w:p w14:paraId="4129D25B">
      <w:pPr>
        <w:adjustRightInd w:val="0"/>
        <w:snapToGrid w:val="0"/>
        <w:spacing w:line="56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（二）项目效益情况。</w:t>
      </w:r>
    </w:p>
    <w:p w14:paraId="4FC3DBD7">
      <w:pPr>
        <w:adjustRightInd w:val="0"/>
        <w:snapToGrid w:val="0"/>
        <w:spacing w:line="560" w:lineRule="exact"/>
        <w:ind w:firstLine="720"/>
        <w:rPr>
          <w:rFonts w:hint="eastAsia" w:ascii="楷体_GB2312" w:hAnsi="宋体" w:eastAsia="楷体_GB2312" w:cs="Times New Roman"/>
          <w:b/>
          <w:sz w:val="32"/>
          <w:szCs w:val="32"/>
          <w:lang w:val="zh-CN"/>
        </w:rPr>
      </w:pPr>
      <w:r>
        <w:rPr>
          <w:rFonts w:hint="eastAsia" w:ascii="仿宋_GB2312" w:hAnsi="宋体" w:eastAsia="仿宋_GB2312" w:cs="Times New Roman"/>
          <w:sz w:val="32"/>
          <w:szCs w:val="32"/>
          <w:lang w:val="zh-CN"/>
        </w:rPr>
        <w:t>本项目实施后，可进一步</w:t>
      </w:r>
      <w:r>
        <w:rPr>
          <w:rFonts w:hint="eastAsia" w:ascii="仿宋_GB2312" w:hAnsi="宋体" w:eastAsia="仿宋_GB2312" w:cs="Times New Roman"/>
          <w:sz w:val="32"/>
          <w:szCs w:val="32"/>
          <w:lang w:val="en-US" w:eastAsia="zh-CN"/>
        </w:rPr>
        <w:t>增加移民收入。</w:t>
      </w:r>
      <w:r>
        <w:rPr>
          <w:rFonts w:hint="eastAsia" w:ascii="仿宋_GB2312" w:hAnsi="宋体" w:eastAsia="仿宋_GB2312" w:cs="Times New Roman"/>
          <w:color w:val="000000"/>
          <w:sz w:val="32"/>
          <w:szCs w:val="32"/>
          <w:lang w:val="en-US" w:eastAsia="zh-CN"/>
        </w:rPr>
        <w:t>服务对象</w:t>
      </w:r>
      <w:r>
        <w:rPr>
          <w:rFonts w:hint="eastAsia" w:ascii="仿宋_GB2312" w:hAnsi="宋体" w:eastAsia="仿宋_GB2312" w:cs="Times New Roman"/>
          <w:color w:val="000000"/>
          <w:sz w:val="32"/>
          <w:szCs w:val="32"/>
        </w:rPr>
        <w:t>满意度</w:t>
      </w:r>
      <w:r>
        <w:rPr>
          <w:rFonts w:hint="eastAsia" w:ascii="仿宋_GB2312" w:hAnsi="宋体" w:eastAsia="仿宋_GB2312" w:cs="Times New Roman"/>
          <w:color w:val="000000"/>
          <w:sz w:val="32"/>
          <w:szCs w:val="32"/>
          <w:lang w:val="en-US" w:eastAsia="zh-CN"/>
        </w:rPr>
        <w:t>100</w:t>
      </w:r>
      <w:r>
        <w:rPr>
          <w:rFonts w:hint="eastAsia" w:ascii="仿宋_GB2312" w:hAnsi="宋体" w:eastAsia="仿宋_GB2312" w:cs="Times New Roman"/>
          <w:color w:val="000000"/>
          <w:sz w:val="32"/>
          <w:szCs w:val="32"/>
        </w:rPr>
        <w:t>%。</w:t>
      </w:r>
    </w:p>
    <w:p w14:paraId="2853715B">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四、问题及建议</w:t>
      </w:r>
    </w:p>
    <w:p w14:paraId="1CE5E916">
      <w:pPr>
        <w:adjustRightInd w:val="0"/>
        <w:snapToGrid w:val="0"/>
        <w:spacing w:line="560" w:lineRule="exact"/>
        <w:ind w:firstLine="720"/>
        <w:rPr>
          <w:rFonts w:hint="eastAsia" w:ascii="楷体_GB2312" w:hAnsi="宋体" w:eastAsia="楷体_GB2312" w:cs="Times New Roman"/>
          <w:b/>
          <w:sz w:val="32"/>
          <w:szCs w:val="32"/>
          <w:lang w:val="zh-CN"/>
        </w:rPr>
      </w:pPr>
      <w:r>
        <w:rPr>
          <w:rFonts w:hint="eastAsia" w:ascii="楷体_GB2312" w:hAnsi="宋体" w:eastAsia="楷体_GB2312" w:cs="Times New Roman"/>
          <w:b/>
          <w:sz w:val="32"/>
          <w:szCs w:val="32"/>
          <w:lang w:val="zh-CN"/>
        </w:rPr>
        <w:t>（一）存在的问题。</w:t>
      </w:r>
    </w:p>
    <w:p w14:paraId="7A439976">
      <w:pPr>
        <w:adjustRightInd w:val="0"/>
        <w:snapToGrid w:val="0"/>
        <w:spacing w:line="560" w:lineRule="exact"/>
        <w:ind w:firstLine="720"/>
        <w:rPr>
          <w:rFonts w:hint="default" w:ascii="楷体_GB2312" w:hAnsi="宋体" w:eastAsia="楷体_GB2312" w:cs="Times New Roman"/>
          <w:b/>
          <w:sz w:val="32"/>
          <w:szCs w:val="32"/>
          <w:lang w:val="en-US" w:eastAsia="zh-CN"/>
        </w:rPr>
      </w:pPr>
      <w:r>
        <w:rPr>
          <w:rFonts w:hint="eastAsia" w:ascii="仿宋_GB2312" w:hAnsi="宋体" w:eastAsia="仿宋_GB2312" w:cs="Times New Roman"/>
          <w:sz w:val="32"/>
          <w:szCs w:val="32"/>
          <w:lang w:val="en-US" w:eastAsia="zh-CN"/>
        </w:rPr>
        <w:t>部分证件过期和账户有误的移民短时间无法核实，不能及时补发移民资金。</w:t>
      </w:r>
    </w:p>
    <w:p w14:paraId="374BDF9D">
      <w:pPr>
        <w:numPr>
          <w:ilvl w:val="0"/>
          <w:numId w:val="8"/>
        </w:numPr>
        <w:adjustRightInd w:val="0"/>
        <w:snapToGrid w:val="0"/>
        <w:spacing w:line="560" w:lineRule="exact"/>
        <w:ind w:firstLine="720"/>
        <w:rPr>
          <w:rFonts w:hint="eastAsia" w:ascii="楷体_GB2312" w:hAnsi="宋体" w:eastAsia="楷体_GB2312" w:cs="Times New Roman"/>
          <w:b/>
          <w:sz w:val="32"/>
          <w:szCs w:val="32"/>
          <w:lang w:val="en-US" w:eastAsia="zh-CN"/>
        </w:rPr>
      </w:pPr>
      <w:r>
        <w:rPr>
          <w:rFonts w:hint="eastAsia" w:ascii="楷体_GB2312" w:hAnsi="宋体" w:eastAsia="楷体_GB2312" w:cs="Times New Roman"/>
          <w:b/>
          <w:sz w:val="32"/>
          <w:szCs w:val="32"/>
          <w:lang w:val="zh-CN"/>
        </w:rPr>
        <w:t>相关建议。</w:t>
      </w:r>
    </w:p>
    <w:p w14:paraId="69477901">
      <w:pPr>
        <w:rPr>
          <w:rFonts w:hint="eastAsia" w:ascii="楷体_GB2312" w:hAnsi="宋体" w:eastAsia="楷体_GB2312" w:cs="Times New Roman"/>
          <w:b/>
          <w:sz w:val="32"/>
          <w:szCs w:val="32"/>
          <w:lang w:val="en-US" w:eastAsia="zh-CN"/>
        </w:rPr>
      </w:pPr>
      <w:r>
        <w:rPr>
          <w:rFonts w:hint="eastAsia" w:ascii="楷体_GB2312" w:hAnsi="宋体" w:eastAsia="楷体_GB2312" w:cs="Times New Roman"/>
          <w:b/>
          <w:sz w:val="32"/>
          <w:szCs w:val="32"/>
          <w:lang w:val="en-US" w:eastAsia="zh-CN"/>
        </w:rPr>
        <w:br w:type="page"/>
      </w:r>
    </w:p>
    <w:p w14:paraId="1DAEDE09">
      <w:pPr>
        <w:widowControl w:val="0"/>
        <w:spacing w:line="600" w:lineRule="exact"/>
        <w:jc w:val="center"/>
        <w:rPr>
          <w:rFonts w:hint="eastAsia" w:ascii="方正小标宋简体" w:hAnsi="宋体" w:eastAsia="方正小标宋简体" w:cs="Times New Roman"/>
          <w:color w:val="000000"/>
          <w:kern w:val="0"/>
          <w:sz w:val="44"/>
          <w:szCs w:val="44"/>
          <w:lang w:val="zh-CN" w:eastAsia="zh-CN" w:bidi="ar-SA"/>
        </w:rPr>
      </w:pPr>
      <w:r>
        <w:rPr>
          <w:rFonts w:hint="eastAsia" w:ascii="方正小标宋简体" w:hAnsi="方正小标宋简体" w:eastAsia="方正小标宋简体" w:cs="方正小标宋简体"/>
          <w:color w:val="000000"/>
          <w:kern w:val="0"/>
          <w:sz w:val="44"/>
          <w:szCs w:val="44"/>
          <w:lang w:val="en-US" w:eastAsia="zh-CN" w:bidi="ar-SA"/>
        </w:rPr>
        <w:t>河长制及水务工作经费</w:t>
      </w:r>
      <w:r>
        <w:rPr>
          <w:rFonts w:hint="eastAsia" w:ascii="方正小标宋简体" w:hAnsi="宋体" w:eastAsia="方正小标宋简体" w:cs="Times New Roman"/>
          <w:color w:val="000000"/>
          <w:kern w:val="0"/>
          <w:sz w:val="44"/>
          <w:szCs w:val="44"/>
          <w:lang w:val="zh-CN" w:eastAsia="zh-CN" w:bidi="ar-SA"/>
        </w:rPr>
        <w:t>支出绩效</w:t>
      </w:r>
    </w:p>
    <w:p w14:paraId="40EF883D">
      <w:pPr>
        <w:widowControl w:val="0"/>
        <w:spacing w:line="600" w:lineRule="exact"/>
        <w:jc w:val="center"/>
        <w:rPr>
          <w:rFonts w:ascii="方正小标宋简体" w:hAnsi="宋体" w:eastAsia="方正小标宋简体" w:cs="Times New Roman"/>
          <w:color w:val="000000"/>
          <w:kern w:val="0"/>
          <w:sz w:val="44"/>
          <w:szCs w:val="44"/>
          <w:lang w:val="zh-CN" w:eastAsia="zh-CN" w:bidi="ar-SA"/>
        </w:rPr>
      </w:pPr>
      <w:r>
        <w:rPr>
          <w:rFonts w:hint="eastAsia" w:ascii="方正小标宋简体" w:hAnsi="宋体" w:eastAsia="方正小标宋简体" w:cs="Times New Roman"/>
          <w:color w:val="000000"/>
          <w:kern w:val="0"/>
          <w:sz w:val="44"/>
          <w:szCs w:val="44"/>
          <w:lang w:val="zh-CN" w:eastAsia="zh-CN" w:bidi="ar-SA"/>
        </w:rPr>
        <w:t>自评报告</w:t>
      </w:r>
    </w:p>
    <w:p w14:paraId="58190D6C">
      <w:pPr>
        <w:widowControl w:val="0"/>
        <w:spacing w:line="560" w:lineRule="exact"/>
        <w:ind w:firstLine="640"/>
        <w:jc w:val="center"/>
        <w:rPr>
          <w:rFonts w:ascii="宋体" w:hAnsi="宋体" w:eastAsia="宋体" w:cs="Times New Roman"/>
          <w:color w:val="auto"/>
          <w:kern w:val="2"/>
          <w:sz w:val="32"/>
          <w:szCs w:val="32"/>
          <w:lang w:val="zh-CN" w:eastAsia="zh-CN" w:bidi="ar-SA"/>
        </w:rPr>
      </w:pPr>
    </w:p>
    <w:p w14:paraId="533F0105">
      <w:pPr>
        <w:adjustRightInd w:val="0"/>
        <w:snapToGrid w:val="0"/>
        <w:spacing w:line="560" w:lineRule="exact"/>
        <w:ind w:firstLine="720"/>
        <w:rPr>
          <w:rFonts w:ascii="黑体" w:hAnsi="宋体" w:eastAsia="黑体" w:cs="Times New Roman"/>
          <w:sz w:val="32"/>
          <w:szCs w:val="32"/>
          <w:lang w:val="zh-CN"/>
        </w:rPr>
      </w:pPr>
      <w:r>
        <w:rPr>
          <w:rFonts w:hint="eastAsia" w:ascii="黑体" w:hAnsi="宋体" w:eastAsia="黑体" w:cs="Times New Roman"/>
          <w:sz w:val="32"/>
          <w:szCs w:val="32"/>
        </w:rPr>
        <w:t>一、</w:t>
      </w:r>
      <w:r>
        <w:rPr>
          <w:rFonts w:hint="eastAsia" w:ascii="黑体" w:hAnsi="宋体" w:eastAsia="黑体" w:cs="Times New Roman"/>
          <w:sz w:val="32"/>
          <w:szCs w:val="32"/>
          <w:lang w:val="zh-CN"/>
        </w:rPr>
        <w:t>项目概况</w:t>
      </w:r>
    </w:p>
    <w:p w14:paraId="5B283E4B">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（一）项目资金申报及批复情况。</w:t>
      </w:r>
    </w:p>
    <w:p w14:paraId="40CE052C">
      <w:pPr>
        <w:adjustRightInd w:val="0"/>
        <w:snapToGrid w:val="0"/>
        <w:spacing w:line="560" w:lineRule="exact"/>
        <w:ind w:firstLine="72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峨边彝族自治县财政局关于批复2024年部门预算的通知</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zh-CN" w:eastAsia="zh-CN"/>
        </w:rPr>
        <w:t>峨财政〔2024〕14 号</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下达资金60万元。</w:t>
      </w:r>
    </w:p>
    <w:p w14:paraId="4E2C55B3">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（二）项目绩效目标。</w:t>
      </w:r>
    </w:p>
    <w:p w14:paraId="66E8B6CB">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完成</w:t>
      </w:r>
      <w:r>
        <w:rPr>
          <w:rFonts w:hint="eastAsia" w:ascii="仿宋_GB2312" w:hAnsi="宋体" w:eastAsia="仿宋_GB2312" w:cs="Times New Roman"/>
          <w:sz w:val="32"/>
          <w:szCs w:val="32"/>
          <w:lang w:val="en-US" w:eastAsia="zh-CN"/>
        </w:rPr>
        <w:t>山洪沟治理、水库日常管理、水资源公报编制、水行政执法、农村饮水安全水质检测、水利工程建设管理、水价改革及水土保持和生态流量监测管理</w:t>
      </w:r>
      <w:r>
        <w:rPr>
          <w:rFonts w:hint="eastAsia" w:ascii="仿宋_GB2312" w:hAnsi="宋体" w:eastAsia="仿宋_GB2312" w:cs="Times New Roman"/>
          <w:sz w:val="32"/>
          <w:szCs w:val="32"/>
          <w:lang w:val="zh-CN"/>
        </w:rPr>
        <w:t>。</w:t>
      </w:r>
    </w:p>
    <w:p w14:paraId="5908DB1F">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（三）项目资金申报相符性。</w:t>
      </w:r>
    </w:p>
    <w:p w14:paraId="0EBCF88E">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zh-CN"/>
        </w:rPr>
        <w:t>根据</w:t>
      </w:r>
      <w:r>
        <w:rPr>
          <w:rFonts w:hint="eastAsia" w:ascii="仿宋_GB2312" w:hAnsi="宋体" w:eastAsia="仿宋_GB2312" w:cs="Times New Roman"/>
          <w:sz w:val="32"/>
          <w:szCs w:val="32"/>
          <w:lang w:val="en-US" w:eastAsia="zh-CN"/>
        </w:rPr>
        <w:t>河长制工作和创卫工作要求，需完成山洪沟治理、水库日常管理、水资源公报编制、水行政执法、农村饮水安全水质检测、水利工程建设管理、水价改革及水土保持和生态流量监测管理</w:t>
      </w:r>
      <w:r>
        <w:rPr>
          <w:rFonts w:hint="eastAsia" w:ascii="仿宋_GB2312" w:hAnsi="宋体" w:eastAsia="仿宋_GB2312" w:cs="Times New Roman"/>
          <w:sz w:val="32"/>
          <w:szCs w:val="32"/>
          <w:lang w:val="zh-CN"/>
        </w:rPr>
        <w:t>。项目申报内容与具体实施内容相符。</w:t>
      </w:r>
    </w:p>
    <w:p w14:paraId="3D66BB13">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二、项目实施及管理情况</w:t>
      </w:r>
    </w:p>
    <w:p w14:paraId="475E8DDD">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（一）资金计划、到位及使用情况。</w:t>
      </w:r>
    </w:p>
    <w:p w14:paraId="70404496">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1.资金计划及到位。截至</w:t>
      </w:r>
      <w:r>
        <w:rPr>
          <w:rFonts w:hint="eastAsia" w:ascii="楷体_GB2312" w:hAnsi="宋体" w:eastAsia="楷体_GB2312" w:cs="Times New Roman"/>
          <w:color w:val="auto"/>
          <w:sz w:val="32"/>
          <w:szCs w:val="32"/>
          <w:lang w:val="en-US" w:eastAsia="zh-CN"/>
        </w:rPr>
        <w:t>2024</w:t>
      </w:r>
      <w:r>
        <w:rPr>
          <w:rFonts w:hint="eastAsia" w:ascii="楷体_GB2312" w:hAnsi="宋体" w:eastAsia="楷体_GB2312" w:cs="Times New Roman"/>
          <w:color w:val="auto"/>
          <w:sz w:val="32"/>
          <w:szCs w:val="32"/>
          <w:lang w:val="zh-CN"/>
        </w:rPr>
        <w:t>年</w:t>
      </w:r>
      <w:r>
        <w:rPr>
          <w:rFonts w:hint="eastAsia" w:ascii="楷体_GB2312" w:hAnsi="宋体" w:eastAsia="楷体_GB2312" w:cs="Times New Roman"/>
          <w:color w:val="auto"/>
          <w:sz w:val="32"/>
          <w:szCs w:val="32"/>
          <w:lang w:val="en-US" w:eastAsia="zh-CN"/>
        </w:rPr>
        <w:t>12</w:t>
      </w:r>
      <w:r>
        <w:rPr>
          <w:rFonts w:hint="eastAsia" w:ascii="楷体_GB2312" w:hAnsi="宋体" w:eastAsia="楷体_GB2312" w:cs="Times New Roman"/>
          <w:color w:val="auto"/>
          <w:sz w:val="32"/>
          <w:szCs w:val="32"/>
          <w:lang w:val="zh-CN"/>
        </w:rPr>
        <w:t>月</w:t>
      </w:r>
      <w:r>
        <w:rPr>
          <w:rFonts w:hint="eastAsia" w:ascii="楷体_GB2312" w:hAnsi="宋体" w:eastAsia="楷体_GB2312" w:cs="Times New Roman"/>
          <w:color w:val="auto"/>
          <w:sz w:val="32"/>
          <w:szCs w:val="32"/>
          <w:lang w:val="en-US" w:eastAsia="zh-CN"/>
        </w:rPr>
        <w:t>31</w:t>
      </w:r>
      <w:r>
        <w:rPr>
          <w:rFonts w:hint="eastAsia" w:ascii="楷体_GB2312" w:hAnsi="宋体" w:eastAsia="楷体_GB2312" w:cs="Times New Roman"/>
          <w:color w:val="auto"/>
          <w:sz w:val="32"/>
          <w:szCs w:val="32"/>
          <w:lang w:val="zh-CN"/>
        </w:rPr>
        <w:t>日，该项目资金到位</w:t>
      </w:r>
      <w:r>
        <w:rPr>
          <w:rFonts w:hint="eastAsia" w:ascii="楷体_GB2312" w:hAnsi="宋体" w:eastAsia="楷体_GB2312" w:cs="Times New Roman"/>
          <w:color w:val="auto"/>
          <w:sz w:val="32"/>
          <w:szCs w:val="32"/>
          <w:lang w:val="en-US" w:eastAsia="zh-CN"/>
        </w:rPr>
        <w:t>60</w:t>
      </w:r>
      <w:r>
        <w:rPr>
          <w:rFonts w:hint="eastAsia" w:ascii="楷体_GB2312" w:hAnsi="宋体" w:eastAsia="楷体_GB2312" w:cs="Times New Roman"/>
          <w:color w:val="auto"/>
          <w:sz w:val="32"/>
          <w:szCs w:val="32"/>
          <w:lang w:val="zh-CN"/>
        </w:rPr>
        <w:t>万元，</w:t>
      </w:r>
      <w:r>
        <w:rPr>
          <w:rFonts w:hint="eastAsia" w:ascii="仿宋_GB2312" w:hAnsi="宋体" w:eastAsia="仿宋_GB2312" w:cs="Times New Roman"/>
          <w:color w:val="auto"/>
          <w:sz w:val="32"/>
          <w:szCs w:val="32"/>
          <w:lang w:val="zh-CN"/>
        </w:rPr>
        <w:t>资金到位情况与资金计划进行比对，资金到位率100%、到位及时。</w:t>
      </w:r>
    </w:p>
    <w:p w14:paraId="7BD4ABA1">
      <w:pPr>
        <w:adjustRightInd w:val="0"/>
        <w:snapToGrid w:val="0"/>
        <w:spacing w:line="560" w:lineRule="exact"/>
        <w:ind w:firstLine="720"/>
        <w:rPr>
          <w:rFonts w:hint="eastAsia" w:ascii="楷体_GB2312" w:hAnsi="宋体" w:eastAsia="楷体_GB2312" w:cs="Times New Roman"/>
          <w:color w:val="auto"/>
          <w:sz w:val="32"/>
          <w:szCs w:val="32"/>
          <w:lang w:val="zh-CN"/>
        </w:rPr>
      </w:pPr>
      <w:r>
        <w:rPr>
          <w:rFonts w:hint="eastAsia" w:ascii="楷体_GB2312" w:hAnsi="宋体" w:eastAsia="楷体_GB2312" w:cs="Times New Roman"/>
          <w:color w:val="auto"/>
          <w:sz w:val="32"/>
          <w:szCs w:val="32"/>
          <w:lang w:val="zh-CN"/>
        </w:rPr>
        <w:t>2.资金使用。</w:t>
      </w:r>
    </w:p>
    <w:p w14:paraId="46C09542">
      <w:pPr>
        <w:adjustRightInd w:val="0"/>
        <w:snapToGrid w:val="0"/>
        <w:spacing w:line="560" w:lineRule="exact"/>
        <w:ind w:firstLine="720"/>
        <w:rPr>
          <w:rFonts w:hint="eastAsia" w:ascii="仿宋_GB2312" w:hAnsi="宋体" w:eastAsia="仿宋_GB2312" w:cs="Times New Roman"/>
          <w:color w:val="FF0000"/>
          <w:sz w:val="32"/>
          <w:szCs w:val="32"/>
          <w:lang w:val="zh-CN"/>
        </w:rPr>
      </w:pPr>
      <w:r>
        <w:rPr>
          <w:rFonts w:hint="eastAsia" w:ascii="楷体_GB2312" w:hAnsi="宋体" w:eastAsia="楷体_GB2312" w:cs="Times New Roman"/>
          <w:color w:val="auto"/>
          <w:sz w:val="32"/>
          <w:szCs w:val="32"/>
          <w:lang w:val="zh-CN"/>
        </w:rPr>
        <w:t>截至</w:t>
      </w:r>
      <w:r>
        <w:rPr>
          <w:rFonts w:hint="eastAsia" w:ascii="楷体_GB2312" w:hAnsi="宋体" w:eastAsia="楷体_GB2312" w:cs="Times New Roman"/>
          <w:color w:val="auto"/>
          <w:sz w:val="32"/>
          <w:szCs w:val="32"/>
          <w:lang w:val="en-US" w:eastAsia="zh-CN"/>
        </w:rPr>
        <w:t>2024</w:t>
      </w:r>
      <w:r>
        <w:rPr>
          <w:rFonts w:hint="eastAsia" w:ascii="楷体_GB2312" w:hAnsi="宋体" w:eastAsia="楷体_GB2312" w:cs="Times New Roman"/>
          <w:color w:val="auto"/>
          <w:sz w:val="32"/>
          <w:szCs w:val="32"/>
          <w:lang w:val="zh-CN"/>
        </w:rPr>
        <w:t>年</w:t>
      </w:r>
      <w:r>
        <w:rPr>
          <w:rFonts w:hint="eastAsia" w:ascii="楷体_GB2312" w:hAnsi="宋体" w:eastAsia="楷体_GB2312" w:cs="Times New Roman"/>
          <w:color w:val="auto"/>
          <w:sz w:val="32"/>
          <w:szCs w:val="32"/>
          <w:lang w:val="en-US" w:eastAsia="zh-CN"/>
        </w:rPr>
        <w:t>12</w:t>
      </w:r>
      <w:r>
        <w:rPr>
          <w:rFonts w:hint="eastAsia" w:ascii="楷体_GB2312" w:hAnsi="宋体" w:eastAsia="楷体_GB2312" w:cs="Times New Roman"/>
          <w:color w:val="auto"/>
          <w:sz w:val="32"/>
          <w:szCs w:val="32"/>
          <w:lang w:val="zh-CN"/>
        </w:rPr>
        <w:t>月</w:t>
      </w:r>
      <w:r>
        <w:rPr>
          <w:rFonts w:hint="eastAsia" w:ascii="楷体_GB2312" w:hAnsi="宋体" w:eastAsia="楷体_GB2312" w:cs="Times New Roman"/>
          <w:color w:val="auto"/>
          <w:sz w:val="32"/>
          <w:szCs w:val="32"/>
          <w:lang w:val="en-US" w:eastAsia="zh-CN"/>
        </w:rPr>
        <w:t>31</w:t>
      </w:r>
      <w:r>
        <w:rPr>
          <w:rFonts w:hint="eastAsia" w:ascii="楷体_GB2312" w:hAnsi="宋体" w:eastAsia="楷体_GB2312" w:cs="Times New Roman"/>
          <w:color w:val="auto"/>
          <w:sz w:val="32"/>
          <w:szCs w:val="32"/>
          <w:lang w:val="zh-CN"/>
        </w:rPr>
        <w:t>日，该项目资金</w:t>
      </w:r>
      <w:r>
        <w:rPr>
          <w:rFonts w:hint="eastAsia" w:ascii="楷体_GB2312" w:hAnsi="宋体" w:eastAsia="楷体_GB2312" w:cs="Times New Roman"/>
          <w:color w:val="auto"/>
          <w:sz w:val="32"/>
          <w:szCs w:val="32"/>
          <w:lang w:val="en-US" w:eastAsia="zh-CN"/>
        </w:rPr>
        <w:t>支付60</w:t>
      </w:r>
      <w:r>
        <w:rPr>
          <w:rFonts w:hint="eastAsia" w:ascii="楷体_GB2312" w:hAnsi="宋体" w:eastAsia="楷体_GB2312" w:cs="Times New Roman"/>
          <w:color w:val="auto"/>
          <w:sz w:val="32"/>
          <w:szCs w:val="32"/>
          <w:lang w:val="zh-CN"/>
        </w:rPr>
        <w:t>万元，</w:t>
      </w:r>
      <w:r>
        <w:rPr>
          <w:rFonts w:hint="eastAsia" w:ascii="仿宋_GB2312" w:hAnsi="宋体" w:eastAsia="仿宋_GB2312" w:cs="Times New Roman"/>
          <w:color w:val="auto"/>
          <w:sz w:val="32"/>
          <w:szCs w:val="32"/>
          <w:lang w:val="zh-CN"/>
        </w:rPr>
        <w:t>资金到位情况与资金</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进行比对，资金</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率100%、</w:t>
      </w:r>
      <w:r>
        <w:rPr>
          <w:rFonts w:hint="eastAsia" w:ascii="仿宋_GB2312" w:hAnsi="宋体" w:eastAsia="仿宋_GB2312" w:cs="Times New Roman"/>
          <w:color w:val="auto"/>
          <w:sz w:val="32"/>
          <w:szCs w:val="32"/>
          <w:lang w:val="en-US" w:eastAsia="zh-CN"/>
        </w:rPr>
        <w:t>支付</w:t>
      </w:r>
      <w:r>
        <w:rPr>
          <w:rFonts w:hint="eastAsia" w:ascii="仿宋_GB2312" w:hAnsi="宋体" w:eastAsia="仿宋_GB2312" w:cs="Times New Roman"/>
          <w:color w:val="auto"/>
          <w:sz w:val="32"/>
          <w:szCs w:val="32"/>
          <w:lang w:val="zh-CN"/>
        </w:rPr>
        <w:t>及时。</w:t>
      </w:r>
    </w:p>
    <w:p w14:paraId="3091AB4A">
      <w:pPr>
        <w:adjustRightInd w:val="0"/>
        <w:snapToGrid w:val="0"/>
        <w:spacing w:line="560" w:lineRule="exact"/>
        <w:ind w:firstLine="720"/>
        <w:rPr>
          <w:rFonts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（二）项目财务管理情况。</w:t>
      </w:r>
    </w:p>
    <w:p w14:paraId="29320065">
      <w:pPr>
        <w:adjustRightInd w:val="0"/>
        <w:snapToGrid w:val="0"/>
        <w:spacing w:line="600" w:lineRule="exact"/>
        <w:ind w:firstLine="720"/>
        <w:rPr>
          <w:rFonts w:ascii="仿宋_GB2312" w:hAnsi="宋体" w:eastAsia="仿宋_GB2312" w:cs="Times New Roman"/>
          <w:color w:val="000000"/>
          <w:sz w:val="32"/>
          <w:szCs w:val="32"/>
          <w:lang w:val="zh-CN"/>
        </w:rPr>
      </w:pPr>
      <w:r>
        <w:rPr>
          <w:rFonts w:hint="eastAsia" w:ascii="仿宋_GB2312" w:hAnsi="宋体" w:eastAsia="仿宋_GB2312" w:cs="Times New Roman"/>
          <w:color w:val="000000"/>
          <w:sz w:val="32"/>
          <w:szCs w:val="32"/>
          <w:lang w:val="zh-CN"/>
        </w:rPr>
        <w:t>该项目资金严格按照财经管理制度规定使用，财务处理及时、规范，资料齐全、归档及时，无</w:t>
      </w:r>
      <w:r>
        <w:rPr>
          <w:rFonts w:hint="eastAsia" w:ascii="仿宋_GB2312" w:hAnsi="宋体" w:eastAsia="仿宋_GB2312" w:cs="宋体"/>
          <w:color w:val="000000"/>
          <w:kern w:val="0"/>
          <w:sz w:val="32"/>
          <w:szCs w:val="32"/>
          <w:shd w:val="clear" w:color="auto" w:fill="FFFFFF"/>
          <w:lang w:val="zh-CN"/>
        </w:rPr>
        <w:t>截留、挤占、挪用、套取、转移和浪费的现象，无任何违规记录。</w:t>
      </w:r>
    </w:p>
    <w:p w14:paraId="02C470CB">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（三）项目组织实施情况。</w:t>
      </w:r>
    </w:p>
    <w:p w14:paraId="2D99EB36">
      <w:pPr>
        <w:adjustRightInd w:val="0"/>
        <w:snapToGrid w:val="0"/>
        <w:spacing w:line="560" w:lineRule="exact"/>
        <w:ind w:firstLine="720"/>
        <w:rPr>
          <w:rFonts w:hint="eastAsia" w:ascii="仿宋_GB2312" w:hAnsi="仿宋" w:eastAsia="仿宋_GB2312" w:cs="仿宋_GB2312"/>
          <w:color w:val="000000"/>
          <w:sz w:val="32"/>
          <w:szCs w:val="32"/>
        </w:rPr>
      </w:pPr>
      <w:r>
        <w:rPr>
          <w:rFonts w:hint="eastAsia" w:ascii="仿宋_GB2312" w:hAnsi="仿宋" w:eastAsia="仿宋_GB2312" w:cs="仿宋_GB2312"/>
          <w:color w:val="000000"/>
          <w:sz w:val="32"/>
          <w:szCs w:val="32"/>
          <w:lang w:val="en-US" w:eastAsia="zh-CN"/>
        </w:rPr>
        <w:t>河道保洁</w:t>
      </w:r>
      <w:r>
        <w:rPr>
          <w:rFonts w:hint="eastAsia" w:ascii="仿宋_GB2312" w:hAnsi="仿宋" w:eastAsia="仿宋_GB2312" w:cs="仿宋_GB2312"/>
          <w:color w:val="000000"/>
          <w:sz w:val="32"/>
          <w:szCs w:val="32"/>
        </w:rPr>
        <w:t>项目采取</w:t>
      </w:r>
      <w:r>
        <w:rPr>
          <w:rFonts w:hint="eastAsia" w:ascii="仿宋_GB2312" w:hAnsi="仿宋" w:eastAsia="仿宋_GB2312" w:cs="仿宋_GB2312"/>
          <w:color w:val="000000"/>
          <w:sz w:val="32"/>
          <w:szCs w:val="32"/>
          <w:lang w:val="en-US" w:eastAsia="zh-CN"/>
        </w:rPr>
        <w:t>聘请劳务人员每天对大渡河、白沙河城区段白色垃圾进行清理，漂浮物采取租用船只进行打捞。</w:t>
      </w:r>
    </w:p>
    <w:p w14:paraId="134E9AFA">
      <w:pPr>
        <w:adjustRightInd w:val="0"/>
        <w:snapToGrid w:val="0"/>
        <w:spacing w:line="560" w:lineRule="exact"/>
        <w:ind w:firstLine="720"/>
        <w:rPr>
          <w:rFonts w:ascii="仿宋_GB2312" w:hAnsi="宋体" w:eastAsia="仿宋_GB2312" w:cs="Times New Roman"/>
          <w:sz w:val="32"/>
          <w:szCs w:val="32"/>
          <w:lang w:val="zh-CN"/>
        </w:rPr>
      </w:pPr>
      <w:r>
        <w:rPr>
          <w:rFonts w:hint="eastAsia" w:ascii="黑体" w:hAnsi="宋体" w:eastAsia="黑体" w:cs="Times New Roman"/>
          <w:sz w:val="32"/>
          <w:szCs w:val="32"/>
        </w:rPr>
        <w:t>三、项目绩效情况</w:t>
      </w:r>
      <w:r>
        <w:rPr>
          <w:rFonts w:hint="eastAsia" w:ascii="仿宋_GB2312" w:hAnsi="宋体" w:eastAsia="仿宋_GB2312" w:cs="Times New Roman"/>
          <w:sz w:val="32"/>
          <w:szCs w:val="32"/>
          <w:lang w:val="zh-CN"/>
        </w:rPr>
        <w:tab/>
      </w:r>
    </w:p>
    <w:p w14:paraId="698E5583">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（一）项目完成情况。</w:t>
      </w:r>
    </w:p>
    <w:p w14:paraId="5D57DF05">
      <w:pPr>
        <w:adjustRightInd w:val="0"/>
        <w:snapToGrid w:val="0"/>
        <w:spacing w:line="560" w:lineRule="exact"/>
        <w:ind w:firstLine="72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完成了山洪沟治理、水库日常管理、水资源公报编制、水行政执法、农村饮水安全水质检测、水利工程建设管理、水价改革及水土保持和生态流量监测管理等工作</w:t>
      </w:r>
      <w:r>
        <w:rPr>
          <w:rFonts w:hint="eastAsia" w:ascii="仿宋_GB2312" w:hAnsi="宋体" w:eastAsia="仿宋_GB2312" w:cs="Times New Roman"/>
          <w:sz w:val="32"/>
          <w:szCs w:val="32"/>
          <w:lang w:val="zh-CN"/>
        </w:rPr>
        <w:t>。</w:t>
      </w:r>
    </w:p>
    <w:p w14:paraId="5A3BB26F">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（二）项目效益情况。</w:t>
      </w:r>
    </w:p>
    <w:p w14:paraId="56070F99">
      <w:pPr>
        <w:adjustRightInd w:val="0"/>
        <w:snapToGrid w:val="0"/>
        <w:spacing w:line="560" w:lineRule="exact"/>
        <w:ind w:firstLine="720"/>
        <w:rPr>
          <w:rFonts w:hint="eastAsia" w:ascii="楷体_GB2312" w:hAnsi="宋体" w:eastAsia="楷体_GB2312" w:cs="Times New Roman"/>
          <w:b/>
          <w:sz w:val="32"/>
          <w:szCs w:val="32"/>
          <w:lang w:val="zh-CN"/>
        </w:rPr>
      </w:pPr>
      <w:r>
        <w:rPr>
          <w:rFonts w:hint="eastAsia" w:ascii="仿宋_GB2312" w:hAnsi="宋体" w:eastAsia="仿宋_GB2312" w:cs="Times New Roman"/>
          <w:sz w:val="32"/>
          <w:szCs w:val="32"/>
          <w:lang w:val="zh-CN"/>
        </w:rPr>
        <w:t>本项目实施后，可进一步强化我县河湖</w:t>
      </w:r>
      <w:r>
        <w:rPr>
          <w:rFonts w:hint="eastAsia" w:ascii="仿宋_GB2312" w:hAnsi="宋体" w:eastAsia="仿宋_GB2312" w:cs="Times New Roman"/>
          <w:sz w:val="32"/>
          <w:szCs w:val="32"/>
          <w:lang w:val="en-US" w:eastAsia="zh-CN"/>
        </w:rPr>
        <w:t>环境</w:t>
      </w:r>
      <w:r>
        <w:rPr>
          <w:rFonts w:hint="eastAsia" w:ascii="仿宋_GB2312" w:hAnsi="宋体" w:eastAsia="仿宋_GB2312" w:cs="Times New Roman"/>
          <w:sz w:val="32"/>
          <w:szCs w:val="32"/>
          <w:lang w:val="zh-CN"/>
        </w:rPr>
        <w:t>保护，保障水生态安全，减少经济损失。</w:t>
      </w:r>
      <w:r>
        <w:rPr>
          <w:rFonts w:hint="eastAsia" w:ascii="仿宋_GB2312" w:hAnsi="宋体" w:eastAsia="仿宋_GB2312" w:cs="Times New Roman"/>
          <w:color w:val="000000"/>
          <w:sz w:val="32"/>
          <w:szCs w:val="32"/>
        </w:rPr>
        <w:t>社会公众满意度</w:t>
      </w:r>
      <w:r>
        <w:rPr>
          <w:rFonts w:hint="eastAsia" w:ascii="仿宋_GB2312" w:hAnsi="宋体" w:eastAsia="仿宋_GB2312" w:cs="Times New Roman"/>
          <w:color w:val="000000"/>
          <w:sz w:val="32"/>
          <w:szCs w:val="32"/>
          <w:lang w:val="en-US" w:eastAsia="zh-CN"/>
        </w:rPr>
        <w:t>100</w:t>
      </w:r>
      <w:r>
        <w:rPr>
          <w:rFonts w:hint="eastAsia" w:ascii="仿宋_GB2312" w:hAnsi="宋体" w:eastAsia="仿宋_GB2312" w:cs="Times New Roman"/>
          <w:color w:val="000000"/>
          <w:sz w:val="32"/>
          <w:szCs w:val="32"/>
        </w:rPr>
        <w:t>%。</w:t>
      </w:r>
    </w:p>
    <w:p w14:paraId="1FF14380">
      <w:pPr>
        <w:adjustRightInd w:val="0"/>
        <w:snapToGrid w:val="0"/>
        <w:spacing w:line="560" w:lineRule="exact"/>
        <w:ind w:firstLine="720"/>
        <w:rPr>
          <w:rFonts w:ascii="黑体" w:hAnsi="宋体" w:eastAsia="黑体" w:cs="Times New Roman"/>
          <w:sz w:val="32"/>
          <w:szCs w:val="32"/>
        </w:rPr>
      </w:pPr>
      <w:r>
        <w:rPr>
          <w:rFonts w:hint="eastAsia" w:ascii="黑体" w:hAnsi="宋体" w:eastAsia="黑体" w:cs="Times New Roman"/>
          <w:sz w:val="32"/>
          <w:szCs w:val="32"/>
        </w:rPr>
        <w:t>四、问题及建议</w:t>
      </w:r>
    </w:p>
    <w:p w14:paraId="2F6D25C1">
      <w:pPr>
        <w:adjustRightInd w:val="0"/>
        <w:snapToGrid w:val="0"/>
        <w:spacing w:line="560" w:lineRule="exact"/>
        <w:ind w:firstLine="720"/>
        <w:rPr>
          <w:rFonts w:hint="default" w:ascii="楷体_GB2312" w:hAnsi="宋体" w:eastAsia="楷体_GB2312" w:cs="Times New Roman"/>
          <w:b w:val="0"/>
          <w:bCs/>
          <w:sz w:val="32"/>
          <w:szCs w:val="32"/>
          <w:lang w:val="en-US" w:eastAsia="zh-CN"/>
        </w:rPr>
      </w:pPr>
      <w:r>
        <w:rPr>
          <w:rFonts w:hint="eastAsia" w:ascii="楷体_GB2312" w:hAnsi="宋体" w:eastAsia="楷体_GB2312" w:cs="Times New Roman"/>
          <w:b w:val="0"/>
          <w:bCs/>
          <w:sz w:val="32"/>
          <w:szCs w:val="32"/>
          <w:lang w:val="zh-CN"/>
        </w:rPr>
        <w:t>（一）存在的问题。</w:t>
      </w:r>
    </w:p>
    <w:p w14:paraId="54FAA189">
      <w:pPr>
        <w:adjustRightInd w:val="0"/>
        <w:snapToGrid w:val="0"/>
        <w:spacing w:line="560" w:lineRule="exact"/>
        <w:ind w:firstLine="720"/>
        <w:rPr>
          <w:rFonts w:hint="eastAsia" w:ascii="楷体_GB2312" w:hAnsi="宋体" w:eastAsia="楷体_GB2312" w:cs="Times New Roman"/>
          <w:b w:val="0"/>
          <w:bCs/>
          <w:sz w:val="32"/>
          <w:szCs w:val="32"/>
          <w:lang w:val="zh-CN"/>
        </w:rPr>
      </w:pPr>
      <w:r>
        <w:rPr>
          <w:rFonts w:hint="eastAsia" w:ascii="楷体_GB2312" w:hAnsi="宋体" w:eastAsia="楷体_GB2312" w:cs="Times New Roman"/>
          <w:b w:val="0"/>
          <w:bCs/>
          <w:sz w:val="32"/>
          <w:szCs w:val="32"/>
          <w:lang w:val="zh-CN"/>
        </w:rPr>
        <w:t>（二）相关建议。</w:t>
      </w:r>
    </w:p>
    <w:p w14:paraId="03AFAED4">
      <w:pPr>
        <w:numPr>
          <w:ilvl w:val="0"/>
          <w:numId w:val="0"/>
        </w:numPr>
        <w:adjustRightInd w:val="0"/>
        <w:snapToGrid w:val="0"/>
        <w:spacing w:line="560" w:lineRule="exact"/>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需进一步</w:t>
      </w:r>
      <w:bookmarkStart w:id="127" w:name="_GoBack"/>
      <w:r>
        <w:rPr>
          <w:rFonts w:hint="eastAsia" w:ascii="仿宋_GB2312" w:hAnsi="宋体" w:eastAsia="仿宋_GB2312" w:cs="Times New Roman"/>
          <w:sz w:val="32"/>
          <w:szCs w:val="32"/>
          <w:lang w:val="en-US" w:eastAsia="zh-CN"/>
        </w:rPr>
        <w:t>增强</w:t>
      </w:r>
      <w:bookmarkEnd w:id="127"/>
      <w:r>
        <w:rPr>
          <w:rFonts w:hint="eastAsia" w:ascii="仿宋_GB2312" w:hAnsi="宋体" w:eastAsia="仿宋_GB2312" w:cs="Times New Roman"/>
          <w:sz w:val="32"/>
          <w:szCs w:val="32"/>
          <w:lang w:val="en-US" w:eastAsia="zh-CN"/>
        </w:rPr>
        <w:t>群众对河道环境卫生的意识。</w:t>
      </w:r>
    </w:p>
    <w:p w14:paraId="1AE1384E">
      <w:pPr>
        <w:numPr>
          <w:ilvl w:val="0"/>
          <w:numId w:val="0"/>
        </w:numPr>
        <w:adjustRightInd w:val="0"/>
        <w:snapToGrid w:val="0"/>
        <w:spacing w:line="560" w:lineRule="exact"/>
        <w:rPr>
          <w:rFonts w:hint="eastAsia" w:ascii="仿宋_GB2312" w:hAnsi="宋体" w:eastAsia="仿宋_GB2312" w:cs="Times New Roman"/>
          <w:sz w:val="32"/>
          <w:szCs w:val="32"/>
          <w:lang w:val="en-US" w:eastAsia="zh-CN"/>
        </w:rPr>
      </w:pPr>
    </w:p>
    <w:p w14:paraId="5B6EE173">
      <w:pPr>
        <w:numPr>
          <w:ilvl w:val="0"/>
          <w:numId w:val="0"/>
        </w:numPr>
        <w:adjustRightInd w:val="0"/>
        <w:snapToGrid w:val="0"/>
        <w:spacing w:line="560" w:lineRule="exact"/>
        <w:rPr>
          <w:rFonts w:hint="default" w:ascii="仿宋_GB2312" w:hAnsi="宋体" w:eastAsia="仿宋_GB2312" w:cs="Times New Roman"/>
          <w:sz w:val="32"/>
          <w:szCs w:val="32"/>
          <w:lang w:val="en-US" w:eastAsia="zh-CN"/>
        </w:rPr>
      </w:pPr>
    </w:p>
    <w:p w14:paraId="3FE7A9D9">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10BA65FE">
      <w:pPr>
        <w:pStyle w:val="28"/>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4ACF60A7">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hAnsi="Times New Roman" w:cs="Times New Roman"/>
          <w:sz w:val="32"/>
          <w:szCs w:val="32"/>
          <w:highlight w:val="none"/>
          <w:lang w:val="en-US" w:eastAsia="zh-CN"/>
        </w:rPr>
      </w:pPr>
      <w:r>
        <w:rPr>
          <w:rFonts w:hint="eastAsia" w:hAnsi="Times New Roman" w:cs="Times New Roman"/>
          <w:sz w:val="32"/>
          <w:szCs w:val="32"/>
          <w:highlight w:val="none"/>
          <w:lang w:val="en-US" w:eastAsia="zh-CN"/>
        </w:rPr>
        <w:t>预算项目支出绩效自评表（2024年度）</w:t>
      </w:r>
    </w:p>
    <w:p w14:paraId="615D7ADA">
      <w:pPr>
        <w:pStyle w:val="13"/>
        <w:rPr>
          <w:rFonts w:hint="eastAsia"/>
          <w:lang w:val="en-US" w:eastAsia="zh-CN"/>
        </w:rPr>
      </w:pPr>
      <w:r>
        <w:rPr>
          <w:rFonts w:hint="eastAsia"/>
          <w:lang w:val="en-US" w:eastAsia="zh-CN"/>
        </w:rPr>
        <w:object>
          <v:shape id="_x0000_i1026" o:spt="75" type="#_x0000_t75" style="height:324.55pt;width:414.7pt;" o:ole="t" filled="f" o:preferrelative="t" stroked="f" coordsize="21600,21600">
            <v:path/>
            <v:fill on="f" focussize="0,0"/>
            <v:stroke on="f"/>
            <v:imagedata r:id="rId17" o:title=""/>
            <o:lock v:ext="edit" aspectratio="f"/>
            <w10:wrap type="none"/>
            <w10:anchorlock/>
          </v:shape>
          <o:OLEObject Type="Embed" ProgID="Excel.Sheet.12" ShapeID="_x0000_i1026" DrawAspect="Content" ObjectID="_1468075726" r:id="rId16">
            <o:LockedField>false</o:LockedField>
          </o:OLEObject>
        </w:object>
      </w:r>
    </w:p>
    <w:p w14:paraId="12306109">
      <w:pPr>
        <w:pStyle w:val="13"/>
        <w:rPr>
          <w:rFonts w:hint="eastAsia"/>
          <w:lang w:val="zh-CN"/>
        </w:rPr>
      </w:pPr>
    </w:p>
    <w:p w14:paraId="3AB751B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7" o:spt="75" type="#_x0000_t75" style="height:294.15pt;width:414.7pt;" o:ole="t" filled="f" o:preferrelative="t" stroked="f" coordsize="21600,21600">
            <v:path/>
            <v:fill on="f" focussize="0,0"/>
            <v:stroke on="f"/>
            <v:imagedata r:id="rId19" o:title=""/>
            <o:lock v:ext="edit" aspectratio="f"/>
            <w10:wrap type="none"/>
            <w10:anchorlock/>
          </v:shape>
          <o:OLEObject Type="Embed" ProgID="Excel.Sheet.12" ShapeID="_x0000_i1027" DrawAspect="Content" ObjectID="_1468075727" r:id="rId18">
            <o:LockedField>false</o:LockedField>
          </o:OLEObject>
        </w:object>
      </w:r>
    </w:p>
    <w:p w14:paraId="79AA096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8" o:spt="75" type="#_x0000_t75" style="height:326.2pt;width:414.7pt;" o:ole="t" filled="f" o:preferrelative="t" stroked="f" coordsize="21600,21600">
            <v:path/>
            <v:fill on="f" focussize="0,0"/>
            <v:stroke on="f"/>
            <v:imagedata r:id="rId21" o:title=""/>
            <o:lock v:ext="edit" aspectratio="f"/>
            <w10:wrap type="none"/>
            <w10:anchorlock/>
          </v:shape>
          <o:OLEObject Type="Embed" ProgID="Excel.Sheet.12" ShapeID="_x0000_i1028" DrawAspect="Content" ObjectID="_1468075728" r:id="rId20">
            <o:LockedField>false</o:LockedField>
          </o:OLEObject>
        </w:object>
      </w:r>
    </w:p>
    <w:p w14:paraId="5F991C13">
      <w:pPr>
        <w:pStyle w:val="6"/>
        <w:rPr>
          <w:rFonts w:hint="eastAsia" w:hAnsi="宋体" w:cs="宋体"/>
          <w:color w:val="auto"/>
          <w:kern w:val="0"/>
          <w:sz w:val="32"/>
          <w:szCs w:val="32"/>
          <w:highlight w:val="none"/>
          <w:shd w:val="clear" w:color="auto" w:fill="FFFFFF"/>
          <w:lang w:val="zh-CN"/>
        </w:rPr>
      </w:pPr>
    </w:p>
    <w:p w14:paraId="4890A7D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9" o:spt="75" type="#_x0000_t75" style="height:292.75pt;width:414.7pt;" o:ole="t" filled="f" o:preferrelative="t" stroked="f" coordsize="21600,21600">
            <v:path/>
            <v:fill on="f" focussize="0,0"/>
            <v:stroke on="f"/>
            <v:imagedata r:id="rId23" o:title=""/>
            <o:lock v:ext="edit" aspectratio="f"/>
            <w10:wrap type="none"/>
            <w10:anchorlock/>
          </v:shape>
          <o:OLEObject Type="Embed" ProgID="Excel.Sheet.12" ShapeID="_x0000_i1029" DrawAspect="Content" ObjectID="_1468075729" r:id="rId22">
            <o:LockedField>false</o:LockedField>
          </o:OLEObject>
        </w:object>
      </w:r>
    </w:p>
    <w:p w14:paraId="632FA00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0" o:spt="75" type="#_x0000_t75" style="height:343.75pt;width:414.7pt;" o:ole="t" filled="f" o:preferrelative="t" stroked="f" coordsize="21600,21600">
            <v:path/>
            <v:fill on="f" focussize="0,0"/>
            <v:stroke on="f"/>
            <v:imagedata r:id="rId25" o:title=""/>
            <o:lock v:ext="edit" aspectratio="f"/>
            <w10:wrap type="none"/>
            <w10:anchorlock/>
          </v:shape>
          <o:OLEObject Type="Embed" ProgID="Excel.Sheet.12" ShapeID="_x0000_i1030" DrawAspect="Content" ObjectID="_1468075730" r:id="rId24">
            <o:LockedField>false</o:LockedField>
          </o:OLEObject>
        </w:object>
      </w:r>
    </w:p>
    <w:p w14:paraId="671F3F09">
      <w:pPr>
        <w:pStyle w:val="6"/>
        <w:rPr>
          <w:rFonts w:hint="eastAsia" w:hAnsi="宋体" w:cs="宋体"/>
          <w:color w:val="auto"/>
          <w:kern w:val="0"/>
          <w:sz w:val="32"/>
          <w:szCs w:val="32"/>
          <w:highlight w:val="none"/>
          <w:shd w:val="clear" w:color="auto" w:fill="FFFFFF"/>
          <w:lang w:val="zh-CN"/>
        </w:rPr>
      </w:pPr>
    </w:p>
    <w:p w14:paraId="4F65550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1" o:spt="75" type="#_x0000_t75" style="height:288.8pt;width:414.7pt;" o:ole="t" filled="f" o:preferrelative="t" stroked="f" coordsize="21600,21600">
            <v:path/>
            <v:fill on="f" focussize="0,0"/>
            <v:stroke on="f"/>
            <v:imagedata r:id="rId27" o:title=""/>
            <o:lock v:ext="edit" aspectratio="f"/>
            <w10:wrap type="none"/>
            <w10:anchorlock/>
          </v:shape>
          <o:OLEObject Type="Embed" ProgID="Excel.Sheet.12" ShapeID="_x0000_i1031" DrawAspect="Content" ObjectID="_1468075731" r:id="rId26">
            <o:LockedField>false</o:LockedField>
          </o:OLEObject>
        </w:object>
      </w:r>
    </w:p>
    <w:p w14:paraId="786FFFC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2" o:spt="75" type="#_x0000_t75" style="height:298.5pt;width:414.7pt;" o:ole="t" filled="f" o:preferrelative="t" stroked="f" coordsize="21600,21600">
            <v:path/>
            <v:fill on="f" focussize="0,0"/>
            <v:stroke on="f"/>
            <v:imagedata r:id="rId29" o:title=""/>
            <o:lock v:ext="edit" aspectratio="f"/>
            <w10:wrap type="none"/>
            <w10:anchorlock/>
          </v:shape>
          <o:OLEObject Type="Embed" ProgID="Excel.Sheet.12" ShapeID="_x0000_i1032" DrawAspect="Content" ObjectID="_1468075732" r:id="rId28">
            <o:LockedField>false</o:LockedField>
          </o:OLEObject>
        </w:object>
      </w:r>
    </w:p>
    <w:p w14:paraId="0F338B0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3" o:spt="75" type="#_x0000_t75" style="height:353.95pt;width:414.7pt;" o:ole="t" filled="f" o:preferrelative="t" stroked="f" coordsize="21600,21600">
            <v:path/>
            <v:fill on="f" focussize="0,0"/>
            <v:stroke on="f"/>
            <v:imagedata r:id="rId31" o:title=""/>
            <o:lock v:ext="edit" aspectratio="f"/>
            <w10:wrap type="none"/>
            <w10:anchorlock/>
          </v:shape>
          <o:OLEObject Type="Embed" ProgID="Excel.Sheet.12" ShapeID="_x0000_i1033" DrawAspect="Content" ObjectID="_1468075733" r:id="rId30">
            <o:LockedField>false</o:LockedField>
          </o:OLEObject>
        </w:object>
      </w:r>
    </w:p>
    <w:p w14:paraId="1AD67EF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4" o:spt="75" type="#_x0000_t75" style="height:308.2pt;width:414.7pt;" o:ole="t" filled="f" o:preferrelative="t" stroked="f" coordsize="21600,21600">
            <v:path/>
            <v:fill on="f" focussize="0,0"/>
            <v:stroke on="f"/>
            <v:imagedata r:id="rId33" o:title=""/>
            <o:lock v:ext="edit" aspectratio="f"/>
            <w10:wrap type="none"/>
            <w10:anchorlock/>
          </v:shape>
          <o:OLEObject Type="Embed" ProgID="Excel.Sheet.12" ShapeID="_x0000_i1034" DrawAspect="Content" ObjectID="_1468075734" r:id="rId32">
            <o:LockedField>false</o:LockedField>
          </o:OLEObject>
        </w:object>
      </w:r>
    </w:p>
    <w:p w14:paraId="5F6CCA2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5" o:spt="75" type="#_x0000_t75" style="height:308.2pt;width:414.7pt;" o:ole="t" filled="f" o:preferrelative="t" stroked="f" coordsize="21600,21600">
            <v:path/>
            <v:fill on="f" focussize="0,0"/>
            <v:stroke on="f"/>
            <v:imagedata r:id="rId35" o:title=""/>
            <o:lock v:ext="edit" aspectratio="f"/>
            <w10:wrap type="none"/>
            <w10:anchorlock/>
          </v:shape>
          <o:OLEObject Type="Embed" ProgID="Excel.Sheet.12" ShapeID="_x0000_i1035" DrawAspect="Content" ObjectID="_1468075735" r:id="rId34">
            <o:LockedField>false</o:LockedField>
          </o:OLEObject>
        </w:object>
      </w:r>
    </w:p>
    <w:p w14:paraId="3EF6A041">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6" o:spt="75" type="#_x0000_t75" style="height:308.2pt;width:414.7pt;" o:ole="t" filled="f" o:preferrelative="t" stroked="f" coordsize="21600,21600">
            <v:path/>
            <v:fill on="f" focussize="0,0"/>
            <v:stroke on="f"/>
            <v:imagedata r:id="rId37" o:title=""/>
            <o:lock v:ext="edit" aspectratio="f"/>
            <w10:wrap type="none"/>
            <w10:anchorlock/>
          </v:shape>
          <o:OLEObject Type="Embed" ProgID="Excel.Sheet.12" ShapeID="_x0000_i1036" DrawAspect="Content" ObjectID="_1468075736" r:id="rId36">
            <o:LockedField>false</o:LockedField>
          </o:OLEObject>
        </w:object>
      </w:r>
    </w:p>
    <w:p w14:paraId="136FD06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7" o:spt="75" type="#_x0000_t75" style="height:289.45pt;width:414.7pt;" o:ole="t" filled="f" o:preferrelative="t" stroked="f" coordsize="21600,21600">
            <v:path/>
            <v:fill on="f" focussize="0,0"/>
            <v:stroke on="f"/>
            <v:imagedata r:id="rId39" o:title=""/>
            <o:lock v:ext="edit" aspectratio="f"/>
            <w10:wrap type="none"/>
            <w10:anchorlock/>
          </v:shape>
          <o:OLEObject Type="Embed" ProgID="Excel.Sheet.12" ShapeID="_x0000_i1037" DrawAspect="Content" ObjectID="_1468075737" r:id="rId38">
            <o:LockedField>false</o:LockedField>
          </o:OLEObject>
        </w:object>
      </w:r>
    </w:p>
    <w:p w14:paraId="7A31CE5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8" o:spt="75" type="#_x0000_t75" style="height:311.7pt;width:414.7pt;" o:ole="t" filled="f" o:preferrelative="t" stroked="f" coordsize="21600,21600">
            <v:path/>
            <v:fill on="f" focussize="0,0"/>
            <v:stroke on="f"/>
            <v:imagedata r:id="rId41" o:title=""/>
            <o:lock v:ext="edit" aspectratio="f"/>
            <w10:wrap type="none"/>
            <w10:anchorlock/>
          </v:shape>
          <o:OLEObject Type="Embed" ProgID="Excel.Sheet.12" ShapeID="_x0000_i1038" DrawAspect="Content" ObjectID="_1468075738" r:id="rId40">
            <o:LockedField>false</o:LockedField>
          </o:OLEObject>
        </w:object>
      </w:r>
    </w:p>
    <w:p w14:paraId="3FBF493A">
      <w:pPr>
        <w:pStyle w:val="6"/>
        <w:rPr>
          <w:rFonts w:hint="eastAsia" w:hAnsi="宋体" w:cs="宋体"/>
          <w:color w:val="auto"/>
          <w:kern w:val="0"/>
          <w:sz w:val="32"/>
          <w:szCs w:val="32"/>
          <w:highlight w:val="none"/>
          <w:shd w:val="clear" w:color="auto" w:fill="FFFFFF"/>
          <w:lang w:val="zh-CN"/>
        </w:rPr>
      </w:pPr>
    </w:p>
    <w:p w14:paraId="788956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9" o:spt="75" type="#_x0000_t75" style="height:325.35pt;width:414.7pt;" o:ole="t" filled="f" o:preferrelative="t" stroked="f" coordsize="21600,21600">
            <v:path/>
            <v:fill on="f" focussize="0,0"/>
            <v:stroke on="f"/>
            <v:imagedata r:id="rId43" o:title=""/>
            <o:lock v:ext="edit" aspectratio="f"/>
            <w10:wrap type="none"/>
            <w10:anchorlock/>
          </v:shape>
          <o:OLEObject Type="Embed" ProgID="Excel.Sheet.12" ShapeID="_x0000_i1039" DrawAspect="Content" ObjectID="_1468075739" r:id="rId42">
            <o:LockedField>false</o:LockedField>
          </o:OLEObject>
        </w:object>
      </w:r>
    </w:p>
    <w:p w14:paraId="722B4B17">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0" o:spt="75" type="#_x0000_t75" style="height:311.7pt;width:414.7pt;" o:ole="t" filled="f" o:preferrelative="t" stroked="f" coordsize="21600,21600">
            <v:path/>
            <v:fill on="f" focussize="0,0"/>
            <v:stroke on="f"/>
            <v:imagedata r:id="rId45" o:title=""/>
            <o:lock v:ext="edit" aspectratio="f"/>
            <w10:wrap type="none"/>
            <w10:anchorlock/>
          </v:shape>
          <o:OLEObject Type="Embed" ProgID="Excel.Sheet.12" ShapeID="_x0000_i1040" DrawAspect="Content" ObjectID="_1468075740" r:id="rId44">
            <o:LockedField>false</o:LockedField>
          </o:OLEObject>
        </w:object>
      </w:r>
    </w:p>
    <w:p w14:paraId="18BCBCE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1" o:spt="75" type="#_x0000_t75" style="height:370.7pt;width:414.7pt;" o:ole="t" filled="f" o:preferrelative="t" stroked="f" coordsize="21600,21600">
            <v:path/>
            <v:fill on="f" focussize="0,0"/>
            <v:stroke on="f"/>
            <v:imagedata r:id="rId47" o:title=""/>
            <o:lock v:ext="edit" aspectratio="f"/>
            <w10:wrap type="none"/>
            <w10:anchorlock/>
          </v:shape>
          <o:OLEObject Type="Embed" ProgID="Excel.Sheet.12" ShapeID="_x0000_i1041" DrawAspect="Content" ObjectID="_1468075741" r:id="rId46">
            <o:LockedField>false</o:LockedField>
          </o:OLEObject>
        </w:object>
      </w:r>
    </w:p>
    <w:p w14:paraId="7C9081E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2" o:spt="75" type="#_x0000_t75" style="height:318.75pt;width:414.7pt;" o:ole="t" filled="f" o:preferrelative="t" stroked="f" coordsize="21600,21600">
            <v:path/>
            <v:fill on="f" focussize="0,0"/>
            <v:stroke on="f"/>
            <v:imagedata r:id="rId49" o:title=""/>
            <o:lock v:ext="edit" aspectratio="f"/>
            <w10:wrap type="none"/>
            <w10:anchorlock/>
          </v:shape>
          <o:OLEObject Type="Embed" ProgID="Excel.Sheet.12" ShapeID="_x0000_i1042" DrawAspect="Content" ObjectID="_1468075742" r:id="rId48">
            <o:LockedField>false</o:LockedField>
          </o:OLEObject>
        </w:object>
      </w:r>
    </w:p>
    <w:p w14:paraId="3A4347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3" o:spt="75" type="#_x0000_t75" style="height:322.25pt;width:414.7pt;" o:ole="t" filled="f" o:preferrelative="t" stroked="f" coordsize="21600,21600">
            <v:path/>
            <v:fill on="f" focussize="0,0"/>
            <v:stroke on="f"/>
            <v:imagedata r:id="rId51" o:title=""/>
            <o:lock v:ext="edit" aspectratio="f"/>
            <w10:wrap type="none"/>
            <w10:anchorlock/>
          </v:shape>
          <o:OLEObject Type="Embed" ProgID="Excel.Sheet.12" ShapeID="_x0000_i1043" DrawAspect="Content" ObjectID="_1468075743" r:id="rId50">
            <o:LockedField>false</o:LockedField>
          </o:OLEObject>
        </w:object>
      </w:r>
    </w:p>
    <w:p w14:paraId="1DED72ED">
      <w:pPr>
        <w:pStyle w:val="6"/>
        <w:rPr>
          <w:rFonts w:hint="eastAsia" w:hAnsi="宋体" w:cs="宋体"/>
          <w:color w:val="auto"/>
          <w:kern w:val="0"/>
          <w:sz w:val="32"/>
          <w:szCs w:val="32"/>
          <w:highlight w:val="none"/>
          <w:shd w:val="clear" w:color="auto" w:fill="FFFFFF"/>
          <w:lang w:val="zh-CN"/>
        </w:rPr>
      </w:pPr>
    </w:p>
    <w:p w14:paraId="44C24AA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4" o:spt="75" type="#_x0000_t75" style="height:311.7pt;width:414.7pt;" o:ole="t" filled="f" o:preferrelative="t" stroked="f" coordsize="21600,21600">
            <v:path/>
            <v:fill on="f" focussize="0,0"/>
            <v:stroke on="f"/>
            <v:imagedata r:id="rId53" o:title=""/>
            <o:lock v:ext="edit" aspectratio="f"/>
            <w10:wrap type="none"/>
            <w10:anchorlock/>
          </v:shape>
          <o:OLEObject Type="Embed" ProgID="Excel.Sheet.12" ShapeID="_x0000_i1044" DrawAspect="Content" ObjectID="_1468075744" r:id="rId52">
            <o:LockedField>false</o:LockedField>
          </o:OLEObject>
        </w:object>
      </w:r>
    </w:p>
    <w:p w14:paraId="68067CB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5" o:spt="75" type="#_x0000_t75" style="height:315.65pt;width:414.7pt;" o:ole="t" filled="f" o:preferrelative="t" stroked="f" coordsize="21600,21600">
            <v:path/>
            <v:fill on="f" focussize="0,0"/>
            <v:stroke on="f"/>
            <v:imagedata r:id="rId55" o:title=""/>
            <o:lock v:ext="edit" aspectratio="f"/>
            <w10:wrap type="none"/>
            <w10:anchorlock/>
          </v:shape>
          <o:OLEObject Type="Embed" ProgID="Excel.Sheet.12" ShapeID="_x0000_i1045" DrawAspect="Content" ObjectID="_1468075745" r:id="rId54">
            <o:LockedField>false</o:LockedField>
          </o:OLEObject>
        </w:object>
      </w:r>
    </w:p>
    <w:p w14:paraId="38F83596">
      <w:pPr>
        <w:pStyle w:val="6"/>
        <w:rPr>
          <w:rFonts w:hint="eastAsia" w:hAnsi="宋体" w:cs="宋体"/>
          <w:color w:val="auto"/>
          <w:kern w:val="0"/>
          <w:sz w:val="32"/>
          <w:szCs w:val="32"/>
          <w:highlight w:val="none"/>
          <w:shd w:val="clear" w:color="auto" w:fill="FFFFFF"/>
          <w:lang w:val="zh-CN"/>
        </w:rPr>
      </w:pPr>
    </w:p>
    <w:p w14:paraId="6277F40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6" o:spt="75" type="#_x0000_t75" style="height:352.2pt;width:414.7pt;" o:ole="t" filled="f" o:preferrelative="t" stroked="f" coordsize="21600,21600">
            <v:path/>
            <v:fill on="f" focussize="0,0"/>
            <v:stroke on="f"/>
            <v:imagedata r:id="rId57" o:title=""/>
            <o:lock v:ext="edit" aspectratio="f"/>
            <w10:wrap type="none"/>
            <w10:anchorlock/>
          </v:shape>
          <o:OLEObject Type="Embed" ProgID="Excel.Sheet.12" ShapeID="_x0000_i1046" DrawAspect="Content" ObjectID="_1468075746" r:id="rId56">
            <o:LockedField>false</o:LockedField>
          </o:OLEObject>
        </w:object>
      </w:r>
    </w:p>
    <w:p w14:paraId="2D093C8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7" o:spt="75" type="#_x0000_t75" style="height:313pt;width:414.7pt;" o:ole="t" filled="f" o:preferrelative="t" stroked="f" coordsize="21600,21600">
            <v:path/>
            <v:fill on="f" focussize="0,0"/>
            <v:stroke on="f"/>
            <v:imagedata r:id="rId59" o:title=""/>
            <o:lock v:ext="edit" aspectratio="f"/>
            <w10:wrap type="none"/>
            <w10:anchorlock/>
          </v:shape>
          <o:OLEObject Type="Embed" ProgID="Excel.Sheet.12" ShapeID="_x0000_i1047" DrawAspect="Content" ObjectID="_1468075747" r:id="rId58">
            <o:LockedField>false</o:LockedField>
          </o:OLEObject>
        </w:object>
      </w:r>
    </w:p>
    <w:p w14:paraId="4BFF1CC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8" o:spt="75" type="#_x0000_t75" style="height:313pt;width:414.7pt;" o:ole="t" filled="f" o:preferrelative="t" stroked="f" coordsize="21600,21600">
            <v:path/>
            <v:fill on="f" focussize="0,0"/>
            <v:stroke on="f"/>
            <v:imagedata r:id="rId61" o:title=""/>
            <o:lock v:ext="edit" aspectratio="f"/>
            <w10:wrap type="none"/>
            <w10:anchorlock/>
          </v:shape>
          <o:OLEObject Type="Embed" ProgID="Excel.Sheet.12" ShapeID="_x0000_i1048" DrawAspect="Content" ObjectID="_1468075748" r:id="rId60">
            <o:LockedField>false</o:LockedField>
          </o:OLEObject>
        </w:object>
      </w:r>
    </w:p>
    <w:p w14:paraId="42002A2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49" o:spt="75" type="#_x0000_t75" style="height:316.55pt;width:414.7pt;" o:ole="t" filled="f" o:preferrelative="t" stroked="f" coordsize="21600,21600">
            <v:path/>
            <v:fill on="f" focussize="0,0"/>
            <v:stroke on="f"/>
            <v:imagedata r:id="rId63" o:title=""/>
            <o:lock v:ext="edit" aspectratio="f"/>
            <w10:wrap type="none"/>
            <w10:anchorlock/>
          </v:shape>
          <o:OLEObject Type="Embed" ProgID="Excel.Sheet.12" ShapeID="_x0000_i1049" DrawAspect="Content" ObjectID="_1468075749" r:id="rId62">
            <o:LockedField>false</o:LockedField>
          </o:OLEObject>
        </w:object>
      </w:r>
    </w:p>
    <w:p w14:paraId="42748761">
      <w:pPr>
        <w:pStyle w:val="6"/>
        <w:rPr>
          <w:rFonts w:hint="eastAsia" w:hAnsi="宋体" w:cs="宋体"/>
          <w:color w:val="auto"/>
          <w:kern w:val="0"/>
          <w:sz w:val="32"/>
          <w:szCs w:val="32"/>
          <w:highlight w:val="none"/>
          <w:shd w:val="clear" w:color="auto" w:fill="FFFFFF"/>
          <w:lang w:val="zh-CN"/>
        </w:rPr>
      </w:pPr>
    </w:p>
    <w:p w14:paraId="103E42B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0" o:spt="75" type="#_x0000_t75" style="height:310.8pt;width:414.7pt;" o:ole="t" filled="f" o:preferrelative="t" stroked="f" coordsize="21600,21600">
            <v:path/>
            <v:fill on="f" focussize="0,0"/>
            <v:stroke on="f"/>
            <v:imagedata r:id="rId65" o:title=""/>
            <o:lock v:ext="edit" aspectratio="f"/>
            <w10:wrap type="none"/>
            <w10:anchorlock/>
          </v:shape>
          <o:OLEObject Type="Embed" ProgID="Excel.Sheet.12" ShapeID="_x0000_i1050" DrawAspect="Content" ObjectID="_1468075750" r:id="rId64">
            <o:LockedField>false</o:LockedField>
          </o:OLEObject>
        </w:object>
      </w:r>
    </w:p>
    <w:p w14:paraId="3EAA6BB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1" o:spt="75" type="#_x0000_t75" style="height:313pt;width:414.7pt;" o:ole="t" filled="f" o:preferrelative="t" stroked="f" coordsize="21600,21600">
            <v:path/>
            <v:fill on="f" focussize="0,0"/>
            <v:stroke on="f"/>
            <v:imagedata r:id="rId67" o:title=""/>
            <o:lock v:ext="edit" aspectratio="f"/>
            <w10:wrap type="none"/>
            <w10:anchorlock/>
          </v:shape>
          <o:OLEObject Type="Embed" ProgID="Excel.Sheet.12" ShapeID="_x0000_i1051" DrawAspect="Content" ObjectID="_1468075751" r:id="rId66">
            <o:LockedField>false</o:LockedField>
          </o:OLEObject>
        </w:object>
      </w:r>
    </w:p>
    <w:p w14:paraId="4ED5F465">
      <w:pPr>
        <w:pStyle w:val="6"/>
        <w:rPr>
          <w:rFonts w:hint="eastAsia" w:hAnsi="宋体" w:cs="宋体"/>
          <w:color w:val="auto"/>
          <w:kern w:val="0"/>
          <w:sz w:val="32"/>
          <w:szCs w:val="32"/>
          <w:highlight w:val="none"/>
          <w:shd w:val="clear" w:color="auto" w:fill="FFFFFF"/>
          <w:lang w:val="zh-CN"/>
        </w:rPr>
      </w:pPr>
    </w:p>
    <w:p w14:paraId="5445189F">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2" o:spt="75" type="#_x0000_t75" style="height:363.65pt;width:414.7pt;" o:ole="t" filled="f" o:preferrelative="t" stroked="f" coordsize="21600,21600">
            <v:path/>
            <v:fill on="f" focussize="0,0"/>
            <v:stroke on="f"/>
            <v:imagedata r:id="rId69" o:title=""/>
            <o:lock v:ext="edit" aspectratio="f"/>
            <w10:wrap type="none"/>
            <w10:anchorlock/>
          </v:shape>
          <o:OLEObject Type="Embed" ProgID="Excel.Sheet.12" ShapeID="_x0000_i1052" DrawAspect="Content" ObjectID="_1468075752" r:id="rId68">
            <o:LockedField>false</o:LockedField>
          </o:OLEObject>
        </w:object>
      </w:r>
    </w:p>
    <w:p w14:paraId="43C0066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3" o:spt="75" type="#_x0000_t75" style="height:298.5pt;width:414.7pt;" o:ole="t" filled="f" o:preferrelative="t" stroked="f" coordsize="21600,21600">
            <v:path/>
            <v:fill on="f" focussize="0,0"/>
            <v:stroke on="f"/>
            <v:imagedata r:id="rId71" o:title=""/>
            <o:lock v:ext="edit" aspectratio="f"/>
            <w10:wrap type="none"/>
            <w10:anchorlock/>
          </v:shape>
          <o:OLEObject Type="Embed" ProgID="Excel.Sheet.12" ShapeID="_x0000_i1053" DrawAspect="Content" ObjectID="_1468075753" r:id="rId70">
            <o:LockedField>false</o:LockedField>
          </o:OLEObject>
        </w:object>
      </w:r>
    </w:p>
    <w:p w14:paraId="0A6017E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4" o:spt="75" type="#_x0000_t75" style="height:298.5pt;width:414.7pt;" o:ole="t" filled="f" o:preferrelative="t" stroked="f" coordsize="21600,21600">
            <v:path/>
            <v:fill on="f" focussize="0,0"/>
            <v:stroke on="f"/>
            <v:imagedata r:id="rId73" o:title=""/>
            <o:lock v:ext="edit" aspectratio="f"/>
            <w10:wrap type="none"/>
            <w10:anchorlock/>
          </v:shape>
          <o:OLEObject Type="Embed" ProgID="Excel.Sheet.12" ShapeID="_x0000_i1054" DrawAspect="Content" ObjectID="_1468075754" r:id="rId72">
            <o:LockedField>false</o:LockedField>
          </o:OLEObject>
        </w:object>
      </w:r>
    </w:p>
    <w:p w14:paraId="31F037F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5" o:spt="75" type="#_x0000_t75" style="height:298.5pt;width:414.7pt;" o:ole="t" filled="f" o:preferrelative="t" stroked="f" coordsize="21600,21600">
            <v:path/>
            <v:fill on="f" focussize="0,0"/>
            <v:stroke on="f"/>
            <v:imagedata r:id="rId75" o:title=""/>
            <o:lock v:ext="edit" aspectratio="f"/>
            <w10:wrap type="none"/>
            <w10:anchorlock/>
          </v:shape>
          <o:OLEObject Type="Embed" ProgID="Excel.Sheet.12" ShapeID="_x0000_i1055" DrawAspect="Content" ObjectID="_1468075755" r:id="rId74">
            <o:LockedField>false</o:LockedField>
          </o:OLEObject>
        </w:object>
      </w:r>
    </w:p>
    <w:p w14:paraId="6B9C212D">
      <w:pPr>
        <w:pStyle w:val="6"/>
        <w:rPr>
          <w:rFonts w:hint="eastAsia" w:hAnsi="宋体" w:cs="宋体"/>
          <w:color w:val="auto"/>
          <w:kern w:val="0"/>
          <w:sz w:val="32"/>
          <w:szCs w:val="32"/>
          <w:highlight w:val="none"/>
          <w:shd w:val="clear" w:color="auto" w:fill="FFFFFF"/>
          <w:lang w:val="zh-CN"/>
        </w:rPr>
      </w:pPr>
    </w:p>
    <w:p w14:paraId="06D46DA5">
      <w:pPr>
        <w:pStyle w:val="6"/>
        <w:rPr>
          <w:rFonts w:hint="eastAsia" w:hAnsi="宋体" w:cs="宋体"/>
          <w:color w:val="auto"/>
          <w:kern w:val="0"/>
          <w:sz w:val="32"/>
          <w:szCs w:val="32"/>
          <w:highlight w:val="none"/>
          <w:shd w:val="clear" w:color="auto" w:fill="FFFFFF"/>
          <w:lang w:val="zh-CN"/>
        </w:rPr>
      </w:pPr>
    </w:p>
    <w:p w14:paraId="1410B28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6" o:spt="75" type="#_x0000_t75" style="height:308.2pt;width:414.7pt;" o:ole="t" filled="f" o:preferrelative="t" stroked="f" coordsize="21600,21600">
            <v:path/>
            <v:fill on="f" focussize="0,0"/>
            <v:stroke on="f"/>
            <v:imagedata r:id="rId77" o:title=""/>
            <o:lock v:ext="edit" aspectratio="f"/>
            <w10:wrap type="none"/>
            <w10:anchorlock/>
          </v:shape>
          <o:OLEObject Type="Embed" ProgID="Excel.Sheet.12" ShapeID="_x0000_i1056" DrawAspect="Content" ObjectID="_1468075756" r:id="rId76">
            <o:LockedField>false</o:LockedField>
          </o:OLEObject>
        </w:object>
      </w:r>
    </w:p>
    <w:p w14:paraId="5C67519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7" o:spt="75" type="#_x0000_t75" style="height:308.2pt;width:414.7pt;" o:ole="t" filled="f" o:preferrelative="t" stroked="f" coordsize="21600,21600">
            <v:path/>
            <v:fill on="f" focussize="0,0"/>
            <v:stroke on="f"/>
            <v:imagedata r:id="rId79" o:title=""/>
            <o:lock v:ext="edit" aspectratio="f"/>
            <w10:wrap type="none"/>
            <w10:anchorlock/>
          </v:shape>
          <o:OLEObject Type="Embed" ProgID="Excel.Sheet.12" ShapeID="_x0000_i1057" DrawAspect="Content" ObjectID="_1468075757" r:id="rId78">
            <o:LockedField>false</o:LockedField>
          </o:OLEObject>
        </w:object>
      </w:r>
    </w:p>
    <w:p w14:paraId="31A14DBF">
      <w:pPr>
        <w:pStyle w:val="6"/>
        <w:rPr>
          <w:rFonts w:hint="eastAsia" w:hAnsi="宋体" w:cs="宋体"/>
          <w:color w:val="auto"/>
          <w:kern w:val="0"/>
          <w:sz w:val="32"/>
          <w:szCs w:val="32"/>
          <w:highlight w:val="none"/>
          <w:shd w:val="clear" w:color="auto" w:fill="FFFFFF"/>
          <w:lang w:val="zh-CN"/>
        </w:rPr>
      </w:pPr>
    </w:p>
    <w:p w14:paraId="377C966D">
      <w:pPr>
        <w:pStyle w:val="6"/>
        <w:rPr>
          <w:rFonts w:hint="eastAsia" w:hAnsi="宋体" w:cs="宋体"/>
          <w:color w:val="auto"/>
          <w:kern w:val="0"/>
          <w:sz w:val="32"/>
          <w:szCs w:val="32"/>
          <w:highlight w:val="none"/>
          <w:shd w:val="clear" w:color="auto" w:fill="FFFFFF"/>
          <w:lang w:val="zh-CN"/>
        </w:rPr>
      </w:pPr>
    </w:p>
    <w:p w14:paraId="1409076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8" o:spt="75" type="#_x0000_t75" style="height:308.2pt;width:414.7pt;" o:ole="t" filled="f" o:preferrelative="t" stroked="f" coordsize="21600,21600">
            <v:path/>
            <v:fill on="f" focussize="0,0"/>
            <v:stroke on="f"/>
            <v:imagedata r:id="rId81" o:title=""/>
            <o:lock v:ext="edit" aspectratio="f"/>
            <w10:wrap type="none"/>
            <w10:anchorlock/>
          </v:shape>
          <o:OLEObject Type="Embed" ProgID="Excel.Sheet.12" ShapeID="_x0000_i1058" DrawAspect="Content" ObjectID="_1468075758" r:id="rId80">
            <o:LockedField>false</o:LockedField>
          </o:OLEObject>
        </w:object>
      </w:r>
    </w:p>
    <w:p w14:paraId="5140128F">
      <w:pPr>
        <w:pStyle w:val="6"/>
        <w:rPr>
          <w:rFonts w:hint="eastAsia" w:hAnsi="宋体" w:cs="宋体"/>
          <w:color w:val="auto"/>
          <w:kern w:val="0"/>
          <w:sz w:val="32"/>
          <w:szCs w:val="32"/>
          <w:highlight w:val="none"/>
          <w:shd w:val="clear" w:color="auto" w:fill="FFFFFF"/>
          <w:lang w:val="zh-CN"/>
        </w:rPr>
      </w:pPr>
    </w:p>
    <w:p w14:paraId="7AAF079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59" o:spt="75" type="#_x0000_t75" style="height:308.2pt;width:414.7pt;" o:ole="t" filled="f" o:preferrelative="t" stroked="f" coordsize="21600,21600">
            <v:path/>
            <v:fill on="f" focussize="0,0"/>
            <v:stroke on="f"/>
            <v:imagedata r:id="rId83" o:title=""/>
            <o:lock v:ext="edit" aspectratio="f"/>
            <w10:wrap type="none"/>
            <w10:anchorlock/>
          </v:shape>
          <o:OLEObject Type="Embed" ProgID="Excel.Sheet.12" ShapeID="_x0000_i1059" DrawAspect="Content" ObjectID="_1468075759" r:id="rId82">
            <o:LockedField>false</o:LockedField>
          </o:OLEObject>
        </w:object>
      </w:r>
    </w:p>
    <w:p w14:paraId="47D91735">
      <w:pPr>
        <w:pStyle w:val="6"/>
        <w:rPr>
          <w:rFonts w:hint="eastAsia" w:hAnsi="宋体" w:cs="宋体"/>
          <w:color w:val="auto"/>
          <w:kern w:val="0"/>
          <w:sz w:val="32"/>
          <w:szCs w:val="32"/>
          <w:highlight w:val="none"/>
          <w:shd w:val="clear" w:color="auto" w:fill="FFFFFF"/>
          <w:lang w:val="zh-CN"/>
        </w:rPr>
      </w:pPr>
    </w:p>
    <w:p w14:paraId="71E346C4">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0" o:spt="75" type="#_x0000_t75" style="height:328pt;width:414.7pt;" o:ole="t" filled="f" o:preferrelative="t" stroked="f" coordsize="21600,21600">
            <v:path/>
            <v:fill on="f" focussize="0,0"/>
            <v:stroke on="f"/>
            <v:imagedata r:id="rId85" o:title=""/>
            <o:lock v:ext="edit" aspectratio="f"/>
            <w10:wrap type="none"/>
            <w10:anchorlock/>
          </v:shape>
          <o:OLEObject Type="Embed" ProgID="Excel.Sheet.12" ShapeID="_x0000_i1060" DrawAspect="Content" ObjectID="_1468075760" r:id="rId84">
            <o:LockedField>false</o:LockedField>
          </o:OLEObject>
        </w:object>
      </w:r>
    </w:p>
    <w:p w14:paraId="5F10DD9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1" o:spt="75" type="#_x0000_t75" style="height:308.2pt;width:414.7pt;" o:ole="t" filled="f" o:preferrelative="t" stroked="f" coordsize="21600,21600">
            <v:path/>
            <v:fill on="f" focussize="0,0"/>
            <v:stroke on="f"/>
            <v:imagedata r:id="rId87" o:title=""/>
            <o:lock v:ext="edit" aspectratio="f"/>
            <w10:wrap type="none"/>
            <w10:anchorlock/>
          </v:shape>
          <o:OLEObject Type="Embed" ProgID="Excel.Sheet.12" ShapeID="_x0000_i1061" DrawAspect="Content" ObjectID="_1468075761" r:id="rId86">
            <o:LockedField>false</o:LockedField>
          </o:OLEObject>
        </w:object>
      </w:r>
    </w:p>
    <w:p w14:paraId="13DBB945">
      <w:pPr>
        <w:pStyle w:val="6"/>
        <w:rPr>
          <w:rFonts w:hint="eastAsia" w:hAnsi="宋体" w:cs="宋体"/>
          <w:color w:val="auto"/>
          <w:kern w:val="0"/>
          <w:sz w:val="32"/>
          <w:szCs w:val="32"/>
          <w:highlight w:val="none"/>
          <w:shd w:val="clear" w:color="auto" w:fill="FFFFFF"/>
          <w:lang w:val="zh-CN"/>
        </w:rPr>
      </w:pPr>
    </w:p>
    <w:p w14:paraId="5383053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2" o:spt="75" type="#_x0000_t75" style="height:355.1pt;width:414.7pt;" o:ole="t" filled="f" o:preferrelative="t" stroked="f" coordsize="21600,21600">
            <v:path/>
            <v:fill on="f" focussize="0,0"/>
            <v:stroke on="f"/>
            <v:imagedata r:id="rId89" o:title=""/>
            <o:lock v:ext="edit" aspectratio="f"/>
            <w10:wrap type="none"/>
            <w10:anchorlock/>
          </v:shape>
          <o:OLEObject Type="Embed" ProgID="Excel.Sheet.12" ShapeID="_x0000_i1062" DrawAspect="Content" ObjectID="_1468075762" r:id="rId88">
            <o:LockedField>false</o:LockedField>
          </o:OLEObject>
        </w:object>
      </w:r>
    </w:p>
    <w:p w14:paraId="60E304BE">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3" o:spt="75" type="#_x0000_t75" style="height:318.5pt;width:414.7pt;" o:ole="t" filled="f" o:preferrelative="t" stroked="f" coordsize="21600,21600">
            <v:path/>
            <v:fill on="f" focussize="0,0"/>
            <v:stroke on="f"/>
            <v:imagedata r:id="rId91" o:title=""/>
            <o:lock v:ext="edit" aspectratio="f"/>
            <w10:wrap type="none"/>
            <w10:anchorlock/>
          </v:shape>
          <o:OLEObject Type="Embed" ProgID="Excel.Sheet.12" ShapeID="_x0000_i1063" DrawAspect="Content" ObjectID="_1468075763" r:id="rId90">
            <o:LockedField>false</o:LockedField>
          </o:OLEObject>
        </w:object>
      </w:r>
    </w:p>
    <w:p w14:paraId="4A1AC38A">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4" o:spt="75" type="#_x0000_t75" style="height:340.75pt;width:414.7pt;" o:ole="t" filled="f" o:preferrelative="t" stroked="f" coordsize="21600,21600">
            <v:path/>
            <v:fill on="f" focussize="0,0"/>
            <v:stroke on="f"/>
            <v:imagedata r:id="rId93" o:title=""/>
            <o:lock v:ext="edit" aspectratio="f"/>
            <w10:wrap type="none"/>
            <w10:anchorlock/>
          </v:shape>
          <o:OLEObject Type="Embed" ProgID="Excel.Sheet.12" ShapeID="_x0000_i1064" DrawAspect="Content" ObjectID="_1468075764" r:id="rId92">
            <o:LockedField>false</o:LockedField>
          </o:OLEObject>
        </w:object>
      </w:r>
    </w:p>
    <w:p w14:paraId="1B3D33B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5" o:spt="75" type="#_x0000_t75" style="height:325.35pt;width:414.7pt;" o:ole="t" filled="f" o:preferrelative="t" stroked="f" coordsize="21600,21600">
            <v:path/>
            <v:fill on="f" focussize="0,0"/>
            <v:stroke on="f"/>
            <v:imagedata r:id="rId95" o:title=""/>
            <o:lock v:ext="edit" aspectratio="f"/>
            <w10:wrap type="none"/>
            <w10:anchorlock/>
          </v:shape>
          <o:OLEObject Type="Embed" ProgID="Excel.Sheet.12" ShapeID="_x0000_i1065" DrawAspect="Content" ObjectID="_1468075765" r:id="rId94">
            <o:LockedField>false</o:LockedField>
          </o:OLEObject>
        </w:object>
      </w:r>
    </w:p>
    <w:p w14:paraId="0471C163">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6" o:spt="75" type="#_x0000_t75" style="height:256.25pt;width:414.7pt;" o:ole="t" filled="f" o:preferrelative="t" stroked="f" coordsize="21600,21600">
            <v:path/>
            <v:fill on="f" focussize="0,0"/>
            <v:stroke on="f"/>
            <v:imagedata r:id="rId97" o:title=""/>
            <o:lock v:ext="edit" aspectratio="f"/>
            <w10:wrap type="none"/>
            <w10:anchorlock/>
          </v:shape>
          <o:OLEObject Type="Embed" ProgID="Excel.Sheet.12" ShapeID="_x0000_i1066" DrawAspect="Content" ObjectID="_1468075766" r:id="rId96">
            <o:LockedField>false</o:LockedField>
          </o:OLEObject>
        </w:object>
      </w:r>
    </w:p>
    <w:p w14:paraId="644525E1">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7" o:spt="75" type="#_x0000_t75" style="height:334.15pt;width:414.7pt;" o:ole="t" filled="f" o:preferrelative="t" stroked="f" coordsize="21600,21600">
            <v:path/>
            <v:fill on="f" focussize="0,0"/>
            <v:stroke on="f"/>
            <v:imagedata r:id="rId99" o:title=""/>
            <o:lock v:ext="edit" aspectratio="f"/>
            <w10:wrap type="none"/>
            <w10:anchorlock/>
          </v:shape>
          <o:OLEObject Type="Embed" ProgID="Excel.Sheet.12" ShapeID="_x0000_i1067" DrawAspect="Content" ObjectID="_1468075767" r:id="rId98">
            <o:LockedField>false</o:LockedField>
          </o:OLEObject>
        </w:object>
      </w:r>
    </w:p>
    <w:p w14:paraId="33161C7C">
      <w:pPr>
        <w:pStyle w:val="6"/>
        <w:rPr>
          <w:rFonts w:hint="eastAsia" w:hAnsi="宋体" w:cs="宋体"/>
          <w:color w:val="auto"/>
          <w:kern w:val="0"/>
          <w:sz w:val="32"/>
          <w:szCs w:val="32"/>
          <w:highlight w:val="none"/>
          <w:shd w:val="clear" w:color="auto" w:fill="FFFFFF"/>
          <w:lang w:val="zh-CN"/>
        </w:rPr>
      </w:pPr>
    </w:p>
    <w:p w14:paraId="1C524E93">
      <w:pPr>
        <w:pStyle w:val="6"/>
        <w:rPr>
          <w:rFonts w:hint="eastAsia" w:hAnsi="宋体" w:cs="宋体"/>
          <w:color w:val="auto"/>
          <w:kern w:val="0"/>
          <w:sz w:val="32"/>
          <w:szCs w:val="32"/>
          <w:highlight w:val="none"/>
          <w:shd w:val="clear" w:color="auto" w:fill="FFFFFF"/>
          <w:lang w:val="zh-CN"/>
        </w:rPr>
      </w:pPr>
    </w:p>
    <w:p w14:paraId="08FDDF9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8" o:spt="75" type="#_x0000_t75" style="height:328pt;width:414.7pt;" o:ole="t" filled="f" o:preferrelative="t" stroked="f" coordsize="21600,21600">
            <v:path/>
            <v:fill on="f" focussize="0,0"/>
            <v:stroke on="f"/>
            <v:imagedata r:id="rId101" o:title=""/>
            <o:lock v:ext="edit" aspectratio="f"/>
            <w10:wrap type="none"/>
            <w10:anchorlock/>
          </v:shape>
          <o:OLEObject Type="Embed" ProgID="Excel.Sheet.12" ShapeID="_x0000_i1068" DrawAspect="Content" ObjectID="_1468075768" r:id="rId100">
            <o:LockedField>false</o:LockedField>
          </o:OLEObject>
        </w:object>
      </w:r>
    </w:p>
    <w:p w14:paraId="467F566B">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69" o:spt="75" type="#_x0000_t75" style="height:311.55pt;width:414.7pt;" o:ole="t" filled="f" o:preferrelative="t" stroked="f" coordsize="21600,21600">
            <v:path/>
            <v:fill on="f" focussize="0,0"/>
            <v:stroke on="f"/>
            <v:imagedata r:id="rId103" o:title=""/>
            <o:lock v:ext="edit" aspectratio="f"/>
            <w10:wrap type="none"/>
            <w10:anchorlock/>
          </v:shape>
          <o:OLEObject Type="Embed" ProgID="Excel.Sheet.12" ShapeID="_x0000_i1069" DrawAspect="Content" ObjectID="_1468075769" r:id="rId102">
            <o:LockedField>false</o:LockedField>
          </o:OLEObject>
        </w:object>
      </w:r>
    </w:p>
    <w:p w14:paraId="33A87090">
      <w:pPr>
        <w:pStyle w:val="6"/>
        <w:rPr>
          <w:rFonts w:hint="eastAsia" w:hAnsi="宋体" w:cs="宋体"/>
          <w:color w:val="auto"/>
          <w:kern w:val="0"/>
          <w:sz w:val="32"/>
          <w:szCs w:val="32"/>
          <w:highlight w:val="none"/>
          <w:shd w:val="clear" w:color="auto" w:fill="FFFFFF"/>
          <w:lang w:val="zh-CN"/>
        </w:rPr>
      </w:pPr>
    </w:p>
    <w:p w14:paraId="4663C788">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0" o:spt="75" type="#_x0000_t75" style="height:308.2pt;width:414.7pt;" o:ole="t" filled="f" o:preferrelative="t" stroked="f" coordsize="21600,21600">
            <v:path/>
            <v:fill on="f" focussize="0,0"/>
            <v:stroke on="f"/>
            <v:imagedata r:id="rId105" o:title=""/>
            <o:lock v:ext="edit" aspectratio="f"/>
            <w10:wrap type="none"/>
            <w10:anchorlock/>
          </v:shape>
          <o:OLEObject Type="Embed" ProgID="Excel.Sheet.12" ShapeID="_x0000_i1070" DrawAspect="Content" ObjectID="_1468075770" r:id="rId104">
            <o:LockedField>false</o:LockedField>
          </o:OLEObject>
        </w:object>
      </w:r>
    </w:p>
    <w:p w14:paraId="150B624C">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1" o:spt="75" type="#_x0000_t75" style="height:311.7pt;width:414.7pt;" o:ole="t" filled="f" o:preferrelative="t" stroked="f" coordsize="21600,21600">
            <v:path/>
            <v:fill on="f" focussize="0,0"/>
            <v:stroke on="f"/>
            <v:imagedata r:id="rId107" o:title=""/>
            <o:lock v:ext="edit" aspectratio="f"/>
            <w10:wrap type="none"/>
            <w10:anchorlock/>
          </v:shape>
          <o:OLEObject Type="Embed" ProgID="Excel.Sheet.12" ShapeID="_x0000_i1071" DrawAspect="Content" ObjectID="_1468075771" r:id="rId106">
            <o:LockedField>false</o:LockedField>
          </o:OLEObject>
        </w:object>
      </w:r>
    </w:p>
    <w:p w14:paraId="62CC2D6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2" o:spt="75" type="#_x0000_t75" style="height:317.85pt;width:414.7pt;" o:ole="t" filled="f" o:preferrelative="t" stroked="f" coordsize="21600,21600">
            <v:path/>
            <v:fill on="f" focussize="0,0"/>
            <v:stroke on="f"/>
            <v:imagedata r:id="rId109" o:title=""/>
            <o:lock v:ext="edit" aspectratio="f"/>
            <w10:wrap type="none"/>
            <w10:anchorlock/>
          </v:shape>
          <o:OLEObject Type="Embed" ProgID="Excel.Sheet.12" ShapeID="_x0000_i1072" DrawAspect="Content" ObjectID="_1468075772" r:id="rId108">
            <o:LockedField>false</o:LockedField>
          </o:OLEObject>
        </w:object>
      </w:r>
    </w:p>
    <w:p w14:paraId="206EEDD6">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3" o:spt="75" type="#_x0000_t75" style="height:308.2pt;width:414.7pt;" o:ole="t" filled="f" o:preferrelative="t" stroked="f" coordsize="21600,21600">
            <v:path/>
            <v:fill on="f" focussize="0,0"/>
            <v:stroke on="f"/>
            <v:imagedata r:id="rId111" o:title=""/>
            <o:lock v:ext="edit" aspectratio="f"/>
            <w10:wrap type="none"/>
            <w10:anchorlock/>
          </v:shape>
          <o:OLEObject Type="Embed" ProgID="Excel.Sheet.12" ShapeID="_x0000_i1073" DrawAspect="Content" ObjectID="_1468075773" r:id="rId110">
            <o:LockedField>false</o:LockedField>
          </o:OLEObject>
        </w:object>
      </w:r>
    </w:p>
    <w:p w14:paraId="5315D3B2">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4" o:spt="75" type="#_x0000_t75" style="height:311.7pt;width:414.7pt;" o:ole="t" filled="f" o:preferrelative="t" stroked="f" coordsize="21600,21600">
            <v:path/>
            <v:fill on="f" focussize="0,0"/>
            <v:stroke on="f"/>
            <v:imagedata r:id="rId113" o:title=""/>
            <o:lock v:ext="edit" aspectratio="f"/>
            <w10:wrap type="none"/>
            <w10:anchorlock/>
          </v:shape>
          <o:OLEObject Type="Embed" ProgID="Excel.Sheet.12" ShapeID="_x0000_i1074" DrawAspect="Content" ObjectID="_1468075774" r:id="rId112">
            <o:LockedField>false</o:LockedField>
          </o:OLEObject>
        </w:object>
      </w:r>
    </w:p>
    <w:p w14:paraId="04E7F210">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5" o:spt="75" type="#_x0000_t75" style="height:335.9pt;width:414.7pt;" o:ole="t" filled="f" o:preferrelative="t" stroked="f" coordsize="21600,21600">
            <v:path/>
            <v:fill on="f" focussize="0,0"/>
            <v:stroke on="f"/>
            <v:imagedata r:id="rId115" o:title=""/>
            <o:lock v:ext="edit" aspectratio="f"/>
            <w10:wrap type="none"/>
            <w10:anchorlock/>
          </v:shape>
          <o:OLEObject Type="Embed" ProgID="Excel.Sheet.12" ShapeID="_x0000_i1075" DrawAspect="Content" ObjectID="_1468075775" r:id="rId114">
            <o:LockedField>false</o:LockedField>
          </o:OLEObject>
        </w:object>
      </w:r>
    </w:p>
    <w:p w14:paraId="4DEA142D">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6" o:spt="75" type="#_x0000_t75" style="height:335.9pt;width:414.7pt;" o:ole="t" filled="f" o:preferrelative="t" stroked="f" coordsize="21600,21600">
            <v:path/>
            <v:fill on="f" focussize="0,0"/>
            <v:stroke on="f"/>
            <v:imagedata r:id="rId117" o:title=""/>
            <o:lock v:ext="edit" aspectratio="f"/>
            <w10:wrap type="none"/>
            <w10:anchorlock/>
          </v:shape>
          <o:OLEObject Type="Embed" ProgID="Excel.Sheet.12" ShapeID="_x0000_i1076" DrawAspect="Content" ObjectID="_1468075776" r:id="rId116">
            <o:LockedField>false</o:LockedField>
          </o:OLEObject>
        </w:object>
      </w:r>
    </w:p>
    <w:p w14:paraId="73555FC6">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7" o:spt="75" type="#_x0000_t75" style="height:335.9pt;width:414.7pt;" o:ole="t" filled="f" o:preferrelative="t" stroked="f" coordsize="21600,21600">
            <v:path/>
            <v:fill on="f" focussize="0,0"/>
            <v:stroke on="f"/>
            <v:imagedata r:id="rId119" o:title=""/>
            <o:lock v:ext="edit" aspectratio="f"/>
            <w10:wrap type="none"/>
            <w10:anchorlock/>
          </v:shape>
          <o:OLEObject Type="Embed" ProgID="Excel.Sheet.12" ShapeID="_x0000_i1077" DrawAspect="Content" ObjectID="_1468075777" r:id="rId118">
            <o:LockedField>false</o:LockedField>
          </o:OLEObject>
        </w:object>
      </w:r>
    </w:p>
    <w:p w14:paraId="595A5C09">
      <w:pPr>
        <w:pStyle w:val="6"/>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78" o:spt="75" type="#_x0000_t75" style="height:308.2pt;width:414.7pt;" o:ole="t" filled="f" o:preferrelative="t" stroked="f" coordsize="21600,21600">
            <v:path/>
            <v:fill on="f" focussize="0,0"/>
            <v:stroke on="f"/>
            <v:imagedata r:id="rId121" o:title=""/>
            <o:lock v:ext="edit" aspectratio="f"/>
            <w10:wrap type="none"/>
            <w10:anchorlock/>
          </v:shape>
          <o:OLEObject Type="Embed" ProgID="Excel.Sheet.12" ShapeID="_x0000_i1078" DrawAspect="Content" ObjectID="_1468075778" r:id="rId120">
            <o:LockedField>false</o:LockedField>
          </o:OLEObject>
        </w:object>
      </w:r>
    </w:p>
    <w:p w14:paraId="6AEAC4EF">
      <w:pPr>
        <w:pStyle w:val="6"/>
        <w:rPr>
          <w:rFonts w:hint="eastAsia" w:hAnsi="宋体" w:cs="宋体"/>
          <w:color w:val="auto"/>
          <w:kern w:val="0"/>
          <w:sz w:val="32"/>
          <w:szCs w:val="32"/>
          <w:highlight w:val="none"/>
          <w:shd w:val="clear" w:color="auto" w:fill="FFFFFF"/>
          <w:lang w:val="zh-CN"/>
        </w:rPr>
      </w:pPr>
    </w:p>
    <w:p w14:paraId="4D35D426">
      <w:pPr>
        <w:pStyle w:val="6"/>
        <w:rPr>
          <w:rFonts w:hint="eastAsia" w:hAnsi="宋体" w:cs="宋体"/>
          <w:color w:val="auto"/>
          <w:kern w:val="0"/>
          <w:sz w:val="32"/>
          <w:szCs w:val="32"/>
          <w:highlight w:val="none"/>
          <w:shd w:val="clear" w:color="auto" w:fill="FFFFFF"/>
          <w:lang w:val="zh-CN"/>
        </w:rPr>
      </w:pPr>
    </w:p>
    <w:p w14:paraId="341065A1">
      <w:pPr>
        <w:pStyle w:val="6"/>
        <w:rPr>
          <w:rFonts w:hint="eastAsia" w:hAnsi="宋体" w:cs="宋体"/>
          <w:color w:val="auto"/>
          <w:kern w:val="0"/>
          <w:sz w:val="32"/>
          <w:szCs w:val="32"/>
          <w:highlight w:val="none"/>
          <w:shd w:val="clear" w:color="auto" w:fill="FFFFFF"/>
          <w:lang w:val="zh-CN"/>
        </w:rPr>
      </w:pPr>
    </w:p>
    <w:p w14:paraId="3E94FEE1">
      <w:pPr>
        <w:pStyle w:val="6"/>
        <w:rPr>
          <w:rFonts w:hint="eastAsia" w:hAnsi="宋体" w:cs="宋体"/>
          <w:color w:val="auto"/>
          <w:kern w:val="0"/>
          <w:sz w:val="32"/>
          <w:szCs w:val="32"/>
          <w:highlight w:val="none"/>
          <w:shd w:val="clear" w:color="auto" w:fill="FFFFFF"/>
          <w:lang w:val="zh-CN"/>
        </w:rPr>
      </w:pPr>
    </w:p>
    <w:p w14:paraId="76CC7EA1">
      <w:pPr>
        <w:pStyle w:val="6"/>
        <w:rPr>
          <w:rFonts w:hint="eastAsia" w:hAnsi="宋体" w:cs="宋体"/>
          <w:color w:val="auto"/>
          <w:kern w:val="0"/>
          <w:sz w:val="32"/>
          <w:szCs w:val="32"/>
          <w:highlight w:val="none"/>
          <w:shd w:val="clear" w:color="auto" w:fill="FFFFFF"/>
          <w:lang w:val="zh-CN"/>
        </w:rPr>
      </w:pPr>
    </w:p>
    <w:p w14:paraId="697F6DA6">
      <w:pPr>
        <w:pStyle w:val="6"/>
        <w:rPr>
          <w:rFonts w:hint="eastAsia" w:hAnsi="宋体" w:cs="宋体"/>
          <w:color w:val="auto"/>
          <w:kern w:val="0"/>
          <w:sz w:val="32"/>
          <w:szCs w:val="32"/>
          <w:highlight w:val="none"/>
          <w:shd w:val="clear" w:color="auto" w:fill="FFFFFF"/>
          <w:lang w:val="zh-CN"/>
        </w:rPr>
      </w:pPr>
    </w:p>
    <w:p w14:paraId="26B78A6A">
      <w:pPr>
        <w:pStyle w:val="6"/>
        <w:rPr>
          <w:rFonts w:hint="eastAsia" w:hAnsi="宋体" w:cs="宋体"/>
          <w:color w:val="auto"/>
          <w:kern w:val="0"/>
          <w:sz w:val="32"/>
          <w:szCs w:val="32"/>
          <w:highlight w:val="none"/>
          <w:shd w:val="clear" w:color="auto" w:fill="FFFFFF"/>
          <w:lang w:val="zh-CN"/>
        </w:rPr>
      </w:pPr>
    </w:p>
    <w:p w14:paraId="452FF4AC">
      <w:pPr>
        <w:pStyle w:val="6"/>
        <w:rPr>
          <w:rFonts w:hint="eastAsia" w:hAnsi="宋体" w:cs="宋体"/>
          <w:color w:val="auto"/>
          <w:kern w:val="0"/>
          <w:sz w:val="32"/>
          <w:szCs w:val="32"/>
          <w:highlight w:val="none"/>
          <w:shd w:val="clear" w:color="auto" w:fill="FFFFFF"/>
          <w:lang w:val="zh-CN"/>
        </w:rPr>
      </w:pPr>
    </w:p>
    <w:p w14:paraId="3E285FB9">
      <w:pPr>
        <w:pStyle w:val="6"/>
        <w:rPr>
          <w:rFonts w:hint="eastAsia" w:hAnsi="宋体" w:cs="宋体"/>
          <w:color w:val="auto"/>
          <w:kern w:val="0"/>
          <w:sz w:val="32"/>
          <w:szCs w:val="32"/>
          <w:highlight w:val="none"/>
          <w:shd w:val="clear" w:color="auto" w:fill="FFFFFF"/>
          <w:lang w:val="zh-CN"/>
        </w:rPr>
      </w:pPr>
    </w:p>
    <w:p w14:paraId="70B0590F">
      <w:pPr>
        <w:pStyle w:val="6"/>
        <w:rPr>
          <w:rFonts w:hint="eastAsia" w:hAnsi="宋体" w:cs="宋体"/>
          <w:color w:val="auto"/>
          <w:kern w:val="0"/>
          <w:sz w:val="32"/>
          <w:szCs w:val="32"/>
          <w:highlight w:val="none"/>
          <w:shd w:val="clear" w:color="auto" w:fill="FFFFFF"/>
          <w:lang w:val="zh-CN"/>
        </w:rPr>
      </w:pPr>
    </w:p>
    <w:p w14:paraId="7AD64EE4">
      <w:pPr>
        <w:spacing w:line="600" w:lineRule="exact"/>
        <w:jc w:val="center"/>
        <w:outlineLvl w:val="0"/>
        <w:rPr>
          <w:rFonts w:hint="eastAsia" w:ascii="仿宋" w:hAnsi="仿宋" w:eastAsia="仿宋"/>
          <w:b w:val="0"/>
          <w:color w:val="auto"/>
          <w:highlight w:val="none"/>
        </w:rPr>
      </w:pPr>
      <w:bookmarkStart w:id="85" w:name="_Toc15396618"/>
      <w:bookmarkStart w:id="86" w:name="_Toc14303"/>
      <w:bookmarkStart w:id="87" w:name="_Toc9117"/>
      <w:r>
        <w:rPr>
          <w:rFonts w:hint="eastAsia" w:ascii="黑体" w:hAnsi="黑体" w:eastAsia="黑体"/>
          <w:color w:val="auto"/>
          <w:sz w:val="44"/>
          <w:szCs w:val="44"/>
          <w:highlight w:val="none"/>
        </w:rPr>
        <w:t>第</w:t>
      </w:r>
      <w:r>
        <w:rPr>
          <w:rStyle w:val="24"/>
          <w:rFonts w:hint="eastAsia" w:ascii="黑体" w:hAnsi="黑体" w:eastAsia="黑体"/>
          <w:b w:val="0"/>
          <w:color w:val="auto"/>
          <w:highlight w:val="none"/>
        </w:rPr>
        <w:t>五部分 附表</w:t>
      </w:r>
      <w:bookmarkEnd w:id="82"/>
      <w:bookmarkEnd w:id="85"/>
      <w:bookmarkEnd w:id="86"/>
      <w:bookmarkEnd w:id="87"/>
      <w:bookmarkStart w:id="88" w:name="_Toc15396619"/>
    </w:p>
    <w:p w14:paraId="640CB0F0">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89" w:name="_Toc19394"/>
      <w:bookmarkStart w:id="90" w:name="_Toc6530"/>
      <w:r>
        <w:rPr>
          <w:rFonts w:hint="eastAsia" w:ascii="黑体" w:hAnsi="黑体" w:eastAsia="黑体" w:cs="黑体"/>
          <w:b w:val="0"/>
          <w:bCs w:val="0"/>
        </w:rPr>
        <w:t>一、收入支出决算总表</w:t>
      </w:r>
      <w:bookmarkEnd w:id="88"/>
      <w:bookmarkEnd w:id="89"/>
      <w:bookmarkEnd w:id="90"/>
    </w:p>
    <w:p w14:paraId="1C982F25">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1" w:name="_Toc15396620"/>
      <w:bookmarkStart w:id="92" w:name="_Toc16879"/>
      <w:bookmarkStart w:id="93" w:name="_Toc23584"/>
      <w:r>
        <w:rPr>
          <w:rFonts w:hint="eastAsia" w:ascii="黑体" w:hAnsi="黑体" w:eastAsia="黑体" w:cs="黑体"/>
          <w:b w:val="0"/>
          <w:bCs w:val="0"/>
        </w:rPr>
        <w:t>二、收入决算表</w:t>
      </w:r>
      <w:bookmarkEnd w:id="91"/>
      <w:bookmarkEnd w:id="92"/>
      <w:bookmarkEnd w:id="93"/>
    </w:p>
    <w:p w14:paraId="55587C4F">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4" w:name="_Toc15396621"/>
      <w:bookmarkStart w:id="95" w:name="_Toc29402"/>
      <w:bookmarkStart w:id="96" w:name="_Toc30415"/>
      <w:r>
        <w:rPr>
          <w:rFonts w:hint="eastAsia" w:ascii="黑体" w:hAnsi="黑体" w:eastAsia="黑体" w:cs="黑体"/>
          <w:b w:val="0"/>
          <w:bCs w:val="0"/>
        </w:rPr>
        <w:t>三、支出决算表</w:t>
      </w:r>
      <w:bookmarkEnd w:id="94"/>
      <w:bookmarkEnd w:id="95"/>
      <w:bookmarkEnd w:id="96"/>
    </w:p>
    <w:p w14:paraId="039A14A4">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97" w:name="_Toc20696"/>
      <w:bookmarkStart w:id="98" w:name="_Toc27386"/>
      <w:bookmarkStart w:id="99" w:name="_Toc15396622"/>
      <w:r>
        <w:rPr>
          <w:rFonts w:hint="eastAsia" w:ascii="黑体" w:hAnsi="黑体" w:eastAsia="黑体" w:cs="黑体"/>
          <w:b w:val="0"/>
          <w:bCs w:val="0"/>
        </w:rPr>
        <w:t>四、财政拨款收入支出决算总表</w:t>
      </w:r>
      <w:bookmarkEnd w:id="97"/>
      <w:bookmarkEnd w:id="98"/>
      <w:bookmarkEnd w:id="99"/>
    </w:p>
    <w:p w14:paraId="7059C9C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0" w:name="_Toc21094"/>
      <w:bookmarkStart w:id="101" w:name="_Toc15396623"/>
      <w:bookmarkStart w:id="102" w:name="_Toc3949"/>
      <w:r>
        <w:rPr>
          <w:rFonts w:hint="eastAsia" w:ascii="黑体" w:hAnsi="黑体" w:eastAsia="黑体" w:cs="黑体"/>
          <w:b w:val="0"/>
          <w:bCs w:val="0"/>
        </w:rPr>
        <w:t>五、财政拨款支出决算明细表</w:t>
      </w:r>
      <w:bookmarkEnd w:id="100"/>
      <w:bookmarkEnd w:id="101"/>
      <w:bookmarkEnd w:id="102"/>
      <w:bookmarkStart w:id="103" w:name="_Toc15396624"/>
    </w:p>
    <w:p w14:paraId="7C7C2598">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4" w:name="_Toc7021"/>
      <w:bookmarkStart w:id="105" w:name="_Toc19668"/>
      <w:r>
        <w:rPr>
          <w:rFonts w:hint="eastAsia" w:ascii="黑体" w:hAnsi="黑体" w:eastAsia="黑体" w:cs="黑体"/>
          <w:b w:val="0"/>
          <w:bCs w:val="0"/>
        </w:rPr>
        <w:t>六、一般公共预算财政拨款支出决算表</w:t>
      </w:r>
      <w:bookmarkEnd w:id="103"/>
      <w:bookmarkEnd w:id="104"/>
      <w:bookmarkEnd w:id="105"/>
    </w:p>
    <w:p w14:paraId="169263D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6" w:name="_Toc15396625"/>
      <w:bookmarkStart w:id="107" w:name="_Toc13924"/>
      <w:bookmarkStart w:id="108" w:name="_Toc19357"/>
      <w:r>
        <w:rPr>
          <w:rFonts w:hint="eastAsia" w:ascii="黑体" w:hAnsi="黑体" w:eastAsia="黑体" w:cs="黑体"/>
          <w:b w:val="0"/>
          <w:bCs w:val="0"/>
        </w:rPr>
        <w:t>七、一般公共预算财政拨款支出决算明细表</w:t>
      </w:r>
      <w:bookmarkEnd w:id="106"/>
      <w:bookmarkEnd w:id="107"/>
      <w:bookmarkEnd w:id="108"/>
    </w:p>
    <w:p w14:paraId="40C159A7">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09" w:name="_Toc15396626"/>
      <w:bookmarkStart w:id="110" w:name="_Toc26508"/>
      <w:bookmarkStart w:id="111" w:name="_Toc757"/>
      <w:r>
        <w:rPr>
          <w:rFonts w:hint="eastAsia" w:ascii="黑体" w:hAnsi="黑体" w:eastAsia="黑体" w:cs="黑体"/>
          <w:b w:val="0"/>
          <w:bCs w:val="0"/>
        </w:rPr>
        <w:t>八、一般公共预算财政拨款基本支出决算表</w:t>
      </w:r>
      <w:bookmarkEnd w:id="109"/>
      <w:bookmarkEnd w:id="110"/>
      <w:bookmarkEnd w:id="111"/>
    </w:p>
    <w:p w14:paraId="187BF779">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2" w:name="_Toc15396627"/>
      <w:bookmarkStart w:id="113" w:name="_Toc24923"/>
      <w:bookmarkStart w:id="114" w:name="_Toc30655"/>
      <w:r>
        <w:rPr>
          <w:rFonts w:hint="eastAsia" w:ascii="黑体" w:hAnsi="黑体" w:eastAsia="黑体" w:cs="黑体"/>
          <w:b w:val="0"/>
          <w:bCs w:val="0"/>
        </w:rPr>
        <w:t>九、一般公共预算财政拨款项目支出决算表</w:t>
      </w:r>
      <w:bookmarkEnd w:id="112"/>
      <w:bookmarkEnd w:id="113"/>
      <w:bookmarkEnd w:id="114"/>
    </w:p>
    <w:p w14:paraId="35714584">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5" w:name="_Toc15396628"/>
      <w:bookmarkStart w:id="116" w:name="_Toc26397"/>
      <w:bookmarkStart w:id="117" w:name="_Toc20939"/>
      <w:r>
        <w:rPr>
          <w:rFonts w:hint="eastAsia" w:ascii="黑体" w:hAnsi="黑体" w:eastAsia="黑体" w:cs="黑体"/>
          <w:b w:val="0"/>
          <w:bCs w:val="0"/>
        </w:rPr>
        <w:t>十、</w:t>
      </w:r>
      <w:bookmarkEnd w:id="115"/>
      <w:r>
        <w:rPr>
          <w:rFonts w:hint="eastAsia" w:ascii="黑体" w:hAnsi="黑体" w:eastAsia="黑体" w:cs="黑体"/>
          <w:b w:val="0"/>
          <w:bCs w:val="0"/>
        </w:rPr>
        <w:t>政府性基金预算财政拨款收入支出决算表</w:t>
      </w:r>
      <w:bookmarkEnd w:id="116"/>
      <w:bookmarkEnd w:id="117"/>
    </w:p>
    <w:p w14:paraId="1D9BB29E">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18" w:name="_Toc15396629"/>
      <w:bookmarkStart w:id="119" w:name="_Toc5443"/>
      <w:bookmarkStart w:id="120" w:name="_Toc5582"/>
      <w:r>
        <w:rPr>
          <w:rFonts w:hint="eastAsia" w:ascii="黑体" w:hAnsi="黑体" w:eastAsia="黑体" w:cs="黑体"/>
          <w:b w:val="0"/>
          <w:bCs w:val="0"/>
        </w:rPr>
        <w:t>十一、</w:t>
      </w:r>
      <w:bookmarkEnd w:id="118"/>
      <w:r>
        <w:rPr>
          <w:rFonts w:hint="eastAsia" w:ascii="黑体" w:hAnsi="黑体" w:eastAsia="黑体" w:cs="黑体"/>
          <w:b w:val="0"/>
          <w:bCs w:val="0"/>
        </w:rPr>
        <w:t>国有资本经营预算</w:t>
      </w:r>
      <w:r>
        <w:rPr>
          <w:rFonts w:hint="eastAsia" w:ascii="黑体" w:hAnsi="黑体" w:eastAsia="黑体" w:cs="黑体"/>
          <w:b w:val="0"/>
          <w:bCs w:val="0"/>
          <w:lang w:eastAsia="zh-CN"/>
        </w:rPr>
        <w:t>财政拨款收入</w:t>
      </w:r>
      <w:r>
        <w:rPr>
          <w:rFonts w:hint="eastAsia" w:ascii="黑体" w:hAnsi="黑体" w:eastAsia="黑体" w:cs="黑体"/>
          <w:b w:val="0"/>
          <w:bCs w:val="0"/>
        </w:rPr>
        <w:t>支出决算表</w:t>
      </w:r>
      <w:bookmarkEnd w:id="119"/>
      <w:bookmarkEnd w:id="120"/>
    </w:p>
    <w:p w14:paraId="6DCAF21C">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rPr>
      </w:pPr>
      <w:bookmarkStart w:id="121" w:name="_Toc15396630"/>
      <w:bookmarkStart w:id="122" w:name="_Toc15614"/>
      <w:bookmarkStart w:id="123" w:name="_Toc9663"/>
      <w:r>
        <w:rPr>
          <w:rFonts w:hint="eastAsia" w:ascii="黑体" w:hAnsi="黑体" w:eastAsia="黑体" w:cs="黑体"/>
          <w:b w:val="0"/>
          <w:bCs w:val="0"/>
        </w:rPr>
        <w:t>十二、</w:t>
      </w:r>
      <w:bookmarkEnd w:id="121"/>
      <w:r>
        <w:rPr>
          <w:rFonts w:hint="eastAsia" w:ascii="黑体" w:hAnsi="黑体" w:eastAsia="黑体" w:cs="黑体"/>
          <w:b w:val="0"/>
          <w:bCs w:val="0"/>
          <w:lang w:eastAsia="zh-CN"/>
        </w:rPr>
        <w:t>国有资本经营预算财政拨款支出决算表</w:t>
      </w:r>
      <w:bookmarkEnd w:id="122"/>
      <w:bookmarkEnd w:id="123"/>
    </w:p>
    <w:p w14:paraId="51B9EEE5">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rPr>
          <w:rFonts w:hint="eastAsia" w:ascii="黑体" w:hAnsi="黑体" w:eastAsia="黑体" w:cs="黑体"/>
          <w:b w:val="0"/>
          <w:bCs w:val="0"/>
          <w:lang w:eastAsia="zh-CN"/>
        </w:rPr>
      </w:pPr>
      <w:bookmarkStart w:id="124" w:name="_Toc15396631"/>
      <w:bookmarkStart w:id="125" w:name="_Toc13422"/>
      <w:bookmarkStart w:id="126" w:name="_Toc5177"/>
      <w:r>
        <w:rPr>
          <w:rFonts w:hint="eastAsia" w:ascii="黑体" w:hAnsi="黑体" w:eastAsia="黑体" w:cs="黑体"/>
          <w:b w:val="0"/>
          <w:bCs w:val="0"/>
        </w:rPr>
        <w:t>十三、</w:t>
      </w:r>
      <w:bookmarkEnd w:id="124"/>
      <w:r>
        <w:rPr>
          <w:rFonts w:hint="eastAsia" w:ascii="黑体" w:hAnsi="黑体" w:eastAsia="黑体" w:cs="黑体"/>
          <w:b w:val="0"/>
          <w:bCs w:val="0"/>
          <w:lang w:eastAsia="zh-CN"/>
        </w:rPr>
        <w:t>财政拨款“三公”经费支出决算表</w:t>
      </w:r>
      <w:bookmarkEnd w:id="125"/>
      <w:bookmarkEnd w:id="126"/>
    </w:p>
    <w:p w14:paraId="51A1EDA0">
      <w:pPr>
        <w:pStyle w:val="3"/>
        <w:keepNext/>
        <w:keepLines/>
        <w:pageBreakBefore w:val="0"/>
        <w:widowControl w:val="0"/>
        <w:kinsoku/>
        <w:wordWrap/>
        <w:overflowPunct/>
        <w:topLinePunct w:val="0"/>
        <w:autoSpaceDE/>
        <w:autoSpaceDN/>
        <w:bidi w:val="0"/>
        <w:adjustRightInd w:val="0"/>
        <w:snapToGrid w:val="0"/>
        <w:spacing w:before="0" w:after="0" w:line="560" w:lineRule="exact"/>
        <w:ind w:left="420" w:leftChars="200"/>
        <w:textAlignment w:val="auto"/>
      </w:pPr>
    </w:p>
    <w:sectPr>
      <w:footerReference r:id="rId5" w:type="first"/>
      <w:footerReference r:id="rId4"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106D81-A308-4063-8C29-F218338CDD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C56608BC-C3A0-4700-A4F1-EFE2A7892A86}"/>
  </w:font>
  <w:font w:name="Calibri Light">
    <w:panose1 w:val="020F0302020204030204"/>
    <w:charset w:val="00"/>
    <w:family w:val="auto"/>
    <w:pitch w:val="default"/>
    <w:sig w:usb0="A00002EF" w:usb1="4000207B" w:usb2="00000000" w:usb3="00000000" w:csb0="2000019F" w:csb1="00000000"/>
    <w:embedRegular r:id="rId3" w:fontKey="{B35D4FDF-5018-4CD7-9E29-D937863798A6}"/>
  </w:font>
  <w:font w:name="仿宋">
    <w:panose1 w:val="02010609060101010101"/>
    <w:charset w:val="86"/>
    <w:family w:val="auto"/>
    <w:pitch w:val="default"/>
    <w:sig w:usb0="800002BF" w:usb1="38CF7CFA" w:usb2="00000016" w:usb3="00000000" w:csb0="00040001" w:csb1="00000000"/>
    <w:embedRegular r:id="rId4" w:fontKey="{C7C5D076-1B6F-4A62-B211-BEDA6E19B664}"/>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5" w:fontKey="{05CE3BED-AB48-4839-ADED-7774C390BCC7}"/>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auto"/>
    <w:pitch w:val="default"/>
    <w:sig w:usb0="00000000" w:usb1="00000000" w:usb2="00082016" w:usb3="00000000" w:csb0="00040001" w:csb1="00000000"/>
    <w:embedRegular r:id="rId6" w:fontKey="{F2EFF486-D055-44BD-81E0-916D2F3356C9}"/>
  </w:font>
  <w:font w:name="楷体_GB2312">
    <w:panose1 w:val="02010609030101010101"/>
    <w:charset w:val="86"/>
    <w:family w:val="auto"/>
    <w:pitch w:val="default"/>
    <w:sig w:usb0="00000001" w:usb1="080E0000" w:usb2="00000000" w:usb3="00000000" w:csb0="00040000" w:csb1="00000000"/>
    <w:embedRegular r:id="rId7" w:fontKey="{E3F46AEB-365C-4F24-8F3C-1B49AE44B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037E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31D52">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431D52">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65DBB">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0E8C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CC0E8C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A6EE">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35974B5"/>
    <w:multiLevelType w:val="singleLevel"/>
    <w:tmpl w:val="D35974B5"/>
    <w:lvl w:ilvl="0" w:tentative="0">
      <w:start w:val="2"/>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074EAD49"/>
    <w:multiLevelType w:val="singleLevel"/>
    <w:tmpl w:val="074EAD49"/>
    <w:lvl w:ilvl="0" w:tentative="0">
      <w:start w:val="1"/>
      <w:numFmt w:val="decimal"/>
      <w:suff w:val="nothing"/>
      <w:lvlText w:val="%1、"/>
      <w:lvlJc w:val="left"/>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13872DC4"/>
    <w:multiLevelType w:val="singleLevel"/>
    <w:tmpl w:val="13872DC4"/>
    <w:lvl w:ilvl="0" w:tentative="0">
      <w:start w:val="4"/>
      <w:numFmt w:val="chineseCounting"/>
      <w:suff w:val="nothing"/>
      <w:lvlText w:val="%1、"/>
      <w:lvlJc w:val="left"/>
      <w:rPr>
        <w:rFonts w:hint="eastAsia" w:ascii="黑体" w:hAnsi="黑体" w:eastAsia="黑体" w:cs="黑体"/>
        <w:sz w:val="32"/>
        <w:szCs w:val="32"/>
      </w:rPr>
    </w:lvl>
  </w:abstractNum>
  <w:abstractNum w:abstractNumId="6">
    <w:nsid w:val="2643E8FF"/>
    <w:multiLevelType w:val="singleLevel"/>
    <w:tmpl w:val="2643E8FF"/>
    <w:lvl w:ilvl="0" w:tentative="0">
      <w:start w:val="1"/>
      <w:numFmt w:val="chineseCounting"/>
      <w:suff w:val="nothing"/>
      <w:lvlText w:val="%1、"/>
      <w:lvlJc w:val="left"/>
      <w:rPr>
        <w:rFonts w:hint="eastAsia"/>
      </w:rPr>
    </w:lvl>
  </w:abstractNum>
  <w:abstractNum w:abstractNumId="7">
    <w:nsid w:val="4AB8F36F"/>
    <w:multiLevelType w:val="singleLevel"/>
    <w:tmpl w:val="4AB8F36F"/>
    <w:lvl w:ilvl="0" w:tentative="0">
      <w:start w:val="1"/>
      <w:numFmt w:val="chineseCounting"/>
      <w:suff w:val="space"/>
      <w:lvlText w:val="第%1部分"/>
      <w:lvlJc w:val="left"/>
      <w:rPr>
        <w:rFonts w:hint="eastAsia" w:ascii="黑体" w:hAnsi="黑体" w:eastAsia="黑体" w:cs="黑体"/>
      </w:rPr>
    </w:lvl>
  </w:abstractNum>
  <w:num w:numId="1">
    <w:abstractNumId w:val="7"/>
  </w:num>
  <w:num w:numId="2">
    <w:abstractNumId w:val="6"/>
  </w:num>
  <w:num w:numId="3">
    <w:abstractNumId w:val="4"/>
  </w:num>
  <w:num w:numId="4">
    <w:abstractNumId w:val="5"/>
  </w:num>
  <w:num w:numId="5">
    <w:abstractNumId w:val="0"/>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0ZTI3ODk2YzU4OGZlY2I5NTU3NTkyNGNlMWYyYTEifQ=="/>
  </w:docVars>
  <w:rsids>
    <w:rsidRoot w:val="044805FB"/>
    <w:rsid w:val="044805FB"/>
    <w:rsid w:val="04BC208B"/>
    <w:rsid w:val="05850837"/>
    <w:rsid w:val="05D22080"/>
    <w:rsid w:val="05D400DA"/>
    <w:rsid w:val="077923A8"/>
    <w:rsid w:val="08314CF2"/>
    <w:rsid w:val="085F7631"/>
    <w:rsid w:val="0926757C"/>
    <w:rsid w:val="093130D5"/>
    <w:rsid w:val="09E755B2"/>
    <w:rsid w:val="09F1085E"/>
    <w:rsid w:val="0A191A16"/>
    <w:rsid w:val="0AD25AA3"/>
    <w:rsid w:val="0B494BFB"/>
    <w:rsid w:val="0B70136A"/>
    <w:rsid w:val="0FAF650E"/>
    <w:rsid w:val="10725EA8"/>
    <w:rsid w:val="11B748E5"/>
    <w:rsid w:val="11BB2254"/>
    <w:rsid w:val="125F08AF"/>
    <w:rsid w:val="128D2B97"/>
    <w:rsid w:val="170813BB"/>
    <w:rsid w:val="19A92103"/>
    <w:rsid w:val="19B6274A"/>
    <w:rsid w:val="1A714A69"/>
    <w:rsid w:val="1A826E43"/>
    <w:rsid w:val="1B00688F"/>
    <w:rsid w:val="1B6965E6"/>
    <w:rsid w:val="1D0635FD"/>
    <w:rsid w:val="1DF246B1"/>
    <w:rsid w:val="1E6F0352"/>
    <w:rsid w:val="1EBA68C0"/>
    <w:rsid w:val="1EC94745"/>
    <w:rsid w:val="1F2153A3"/>
    <w:rsid w:val="1FB3482A"/>
    <w:rsid w:val="20626519"/>
    <w:rsid w:val="21E03BF9"/>
    <w:rsid w:val="21E52A0E"/>
    <w:rsid w:val="22C854A6"/>
    <w:rsid w:val="22E85FCD"/>
    <w:rsid w:val="25767465"/>
    <w:rsid w:val="259143DC"/>
    <w:rsid w:val="26FE41FD"/>
    <w:rsid w:val="27101DBF"/>
    <w:rsid w:val="27623589"/>
    <w:rsid w:val="289B55F1"/>
    <w:rsid w:val="28FF3A59"/>
    <w:rsid w:val="294C05BF"/>
    <w:rsid w:val="297452C9"/>
    <w:rsid w:val="2C5F11A5"/>
    <w:rsid w:val="2C666469"/>
    <w:rsid w:val="2E4A6356"/>
    <w:rsid w:val="2E5A1FFE"/>
    <w:rsid w:val="30436ADA"/>
    <w:rsid w:val="30B15232"/>
    <w:rsid w:val="31382C1E"/>
    <w:rsid w:val="317445E3"/>
    <w:rsid w:val="324E146B"/>
    <w:rsid w:val="34CB5AE2"/>
    <w:rsid w:val="352E7489"/>
    <w:rsid w:val="38244D04"/>
    <w:rsid w:val="38FF5082"/>
    <w:rsid w:val="3B4E14F1"/>
    <w:rsid w:val="3C961D78"/>
    <w:rsid w:val="3D2A3AB3"/>
    <w:rsid w:val="3E2B69E1"/>
    <w:rsid w:val="3E730D7F"/>
    <w:rsid w:val="3F0A20B3"/>
    <w:rsid w:val="3F581EC6"/>
    <w:rsid w:val="401C4AD3"/>
    <w:rsid w:val="429B4945"/>
    <w:rsid w:val="474455BE"/>
    <w:rsid w:val="4BD5286C"/>
    <w:rsid w:val="4CB9385B"/>
    <w:rsid w:val="4F5C0CAC"/>
    <w:rsid w:val="4F6B522B"/>
    <w:rsid w:val="4F6C34E7"/>
    <w:rsid w:val="50226A19"/>
    <w:rsid w:val="518F7E35"/>
    <w:rsid w:val="5339336A"/>
    <w:rsid w:val="533D51D3"/>
    <w:rsid w:val="53C26D59"/>
    <w:rsid w:val="54A36C32"/>
    <w:rsid w:val="562B6FE0"/>
    <w:rsid w:val="566C201F"/>
    <w:rsid w:val="56D100A2"/>
    <w:rsid w:val="5A5844E5"/>
    <w:rsid w:val="5F2150AD"/>
    <w:rsid w:val="624A3FBB"/>
    <w:rsid w:val="626B762E"/>
    <w:rsid w:val="62EB5487"/>
    <w:rsid w:val="643A4FAE"/>
    <w:rsid w:val="645804CE"/>
    <w:rsid w:val="646619F8"/>
    <w:rsid w:val="64E66959"/>
    <w:rsid w:val="64E82DF7"/>
    <w:rsid w:val="66D5627E"/>
    <w:rsid w:val="688659D7"/>
    <w:rsid w:val="69736898"/>
    <w:rsid w:val="6ADF7DE7"/>
    <w:rsid w:val="6BE453CA"/>
    <w:rsid w:val="6C520E13"/>
    <w:rsid w:val="6D417768"/>
    <w:rsid w:val="6FDC649C"/>
    <w:rsid w:val="71970DB4"/>
    <w:rsid w:val="76C81C8F"/>
    <w:rsid w:val="76DE234A"/>
    <w:rsid w:val="776530D5"/>
    <w:rsid w:val="77B5098F"/>
    <w:rsid w:val="7B566C76"/>
    <w:rsid w:val="7B5F585C"/>
    <w:rsid w:val="7CB75E4A"/>
    <w:rsid w:val="7CE043F8"/>
    <w:rsid w:val="7D0B129F"/>
    <w:rsid w:val="7F8C1B0B"/>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eastAsia="仿宋_GB2312"/>
      <w:sz w:val="24"/>
    </w:rPr>
  </w:style>
  <w:style w:type="paragraph" w:styleId="5">
    <w:name w:val="annotation text"/>
    <w:basedOn w:val="1"/>
    <w:qFormat/>
    <w:uiPriority w:val="0"/>
    <w:pPr>
      <w:jc w:val="left"/>
    </w:pPr>
  </w:style>
  <w:style w:type="paragraph" w:styleId="6">
    <w:name w:val="Body Text"/>
    <w:basedOn w:val="1"/>
    <w:next w:val="1"/>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Plain Text"/>
    <w:basedOn w:val="1"/>
    <w:qFormat/>
    <w:uiPriority w:val="0"/>
    <w:rPr>
      <w:rFonts w:ascii="宋体" w:hAnsi="Courier New" w:eastAsia="宋体" w:cs="Courier New"/>
      <w:szCs w:val="21"/>
    </w:rPr>
  </w:style>
  <w:style w:type="paragraph" w:styleId="10">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8"/>
    <w:semiHidden/>
    <w:qFormat/>
    <w:uiPriority w:val="0"/>
    <w:pPr>
      <w:snapToGrid w:val="0"/>
      <w:jc w:val="left"/>
    </w:pPr>
    <w:rPr>
      <w:sz w:val="18"/>
      <w:szCs w:val="18"/>
    </w:rPr>
  </w:style>
  <w:style w:type="paragraph" w:styleId="14">
    <w:name w:val="table of figures"/>
    <w:basedOn w:val="1"/>
    <w:next w:val="1"/>
    <w:qFormat/>
    <w:uiPriority w:val="99"/>
    <w:pPr>
      <w:ind w:left="200" w:leftChars="200" w:hanging="200" w:hangingChars="200"/>
    </w:pPr>
    <w:rPr>
      <w:rFonts w:eastAsia="仿宋"/>
      <w:sz w:val="32"/>
      <w:szCs w:val="24"/>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qFormat/>
    <w:uiPriority w:val="0"/>
    <w:pPr>
      <w:spacing w:before="240" w:after="60"/>
      <w:jc w:val="center"/>
      <w:outlineLvl w:val="0"/>
    </w:pPr>
    <w:rPr>
      <w:rFonts w:ascii="Arial" w:hAnsi="Arial" w:cs="Arial"/>
      <w:b/>
      <w:bCs/>
      <w:sz w:val="32"/>
      <w:szCs w:val="32"/>
    </w:rPr>
  </w:style>
  <w:style w:type="character" w:styleId="20">
    <w:name w:val="Strong"/>
    <w:basedOn w:val="19"/>
    <w:qFormat/>
    <w:uiPriority w:val="99"/>
    <w:rPr>
      <w:b/>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paragraph" w:customStyle="1" w:styleId="23">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4">
    <w:name w:val="标题 1 Char"/>
    <w:basedOn w:val="19"/>
    <w:link w:val="2"/>
    <w:qFormat/>
    <w:uiPriority w:val="9"/>
    <w:rPr>
      <w:b/>
      <w:bCs/>
      <w:kern w:val="44"/>
      <w:sz w:val="44"/>
      <w:szCs w:val="44"/>
    </w:rPr>
  </w:style>
  <w:style w:type="character" w:customStyle="1" w:styleId="25">
    <w:name w:val="标题 2 Char"/>
    <w:basedOn w:val="19"/>
    <w:link w:val="3"/>
    <w:qFormat/>
    <w:uiPriority w:val="9"/>
    <w:rPr>
      <w:rFonts w:asciiTheme="majorHAnsi" w:hAnsiTheme="majorHAnsi" w:eastAsiaTheme="majorEastAsia" w:cstheme="majorBidi"/>
      <w:b/>
      <w:bCs/>
      <w:sz w:val="32"/>
      <w:szCs w:val="32"/>
    </w:rPr>
  </w:style>
  <w:style w:type="paragraph" w:styleId="26">
    <w:name w:val="List Paragraph"/>
    <w:basedOn w:val="1"/>
    <w:qFormat/>
    <w:uiPriority w:val="34"/>
    <w:pPr>
      <w:ind w:firstLine="420" w:firstLineChars="200"/>
    </w:p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8">
    <w:name w:val="四号正文"/>
    <w:basedOn w:val="1"/>
    <w:qFormat/>
    <w:uiPriority w:val="0"/>
    <w:pPr>
      <w:spacing w:line="360" w:lineRule="auto"/>
    </w:pPr>
    <w:rPr>
      <w:rFonts w:ascii="??" w:hAnsi="??" w:eastAsia="宋体"/>
      <w:color w:val="000000"/>
      <w:kern w:val="0"/>
      <w:sz w:val="28"/>
      <w:szCs w:val="21"/>
      <w:lang w:val="zh-CN" w:eastAsia="zh-CN"/>
    </w:rPr>
  </w:style>
  <w:style w:type="paragraph" w:styleId="29">
    <w:name w:val="Quote"/>
    <w:basedOn w:val="1"/>
    <w:next w:val="1"/>
    <w:qFormat/>
    <w:uiPriority w:val="29"/>
    <w:rPr>
      <w:i/>
      <w:iCs/>
      <w:color w:val="000000"/>
    </w:rPr>
  </w:style>
  <w:style w:type="character" w:customStyle="1" w:styleId="30">
    <w:name w:val="NormalCharacter"/>
    <w:link w:val="31"/>
    <w:qFormat/>
    <w:uiPriority w:val="0"/>
  </w:style>
  <w:style w:type="paragraph" w:customStyle="1" w:styleId="31">
    <w:name w:val="UserStyle_4"/>
    <w:basedOn w:val="32"/>
    <w:next w:val="32"/>
    <w:link w:val="30"/>
    <w:qFormat/>
    <w:uiPriority w:val="0"/>
    <w:pPr>
      <w:spacing w:line="240" w:lineRule="atLeast"/>
      <w:ind w:left="420" w:firstLine="420"/>
      <w:jc w:val="left"/>
    </w:pPr>
  </w:style>
  <w:style w:type="paragraph" w:customStyle="1" w:styleId="32">
    <w:name w:val="UserStyle_5"/>
    <w:qFormat/>
    <w:uiPriority w:val="0"/>
    <w:pPr>
      <w:jc w:val="both"/>
      <w:textAlignment w:val="baseline"/>
    </w:pPr>
    <w:rPr>
      <w:rFonts w:ascii="Calibri" w:hAnsi="Calibri" w:eastAsia="宋体" w:cs="黑体"/>
      <w:kern w:val="2"/>
      <w:sz w:val="21"/>
      <w:szCs w:val="24"/>
      <w:lang w:val="en-US" w:eastAsia="zh-CN" w:bidi="ar-SA"/>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styleId="35">
    <w:name w:val="No Spacing"/>
    <w:qFormat/>
    <w:uiPriority w:val="0"/>
    <w:pPr>
      <w:widowControl w:val="0"/>
      <w:spacing w:before="50" w:after="50" w:line="300" w:lineRule="exact"/>
      <w:jc w:val="center"/>
      <w:outlineLvl w:val="3"/>
    </w:pPr>
    <w:rPr>
      <w:rFonts w:ascii="Times New Roman" w:hAnsi="Times New Roman" w:eastAsia="黑体" w:cs="Times New Roman"/>
      <w:b/>
      <w:kern w:val="2"/>
      <w:sz w:val="24"/>
      <w:szCs w:val="22"/>
      <w:lang w:val="en-US" w:eastAsia="zh-CN" w:bidi="ar-SA"/>
    </w:rPr>
  </w:style>
  <w:style w:type="paragraph" w:customStyle="1" w:styleId="36">
    <w:name w:val="图表目录1"/>
    <w:basedOn w:val="1"/>
    <w:qFormat/>
    <w:uiPriority w:val="0"/>
    <w:pPr>
      <w:ind w:left="200" w:leftChars="200" w:hanging="200" w:hangingChars="200"/>
    </w:pPr>
    <w:rPr>
      <w:rFonts w:eastAsia="仿宋"/>
      <w:sz w:val="32"/>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3.emf"/><Relationship Id="rId98" Type="http://schemas.openxmlformats.org/officeDocument/2006/relationships/oleObject" Target="embeddings/oleObject43.bin"/><Relationship Id="rId97" Type="http://schemas.openxmlformats.org/officeDocument/2006/relationships/image" Target="media/image42.emf"/><Relationship Id="rId96" Type="http://schemas.openxmlformats.org/officeDocument/2006/relationships/oleObject" Target="embeddings/oleObject42.bin"/><Relationship Id="rId95" Type="http://schemas.openxmlformats.org/officeDocument/2006/relationships/image" Target="media/image41.emf"/><Relationship Id="rId94" Type="http://schemas.openxmlformats.org/officeDocument/2006/relationships/oleObject" Target="embeddings/oleObject41.bin"/><Relationship Id="rId93" Type="http://schemas.openxmlformats.org/officeDocument/2006/relationships/image" Target="media/image40.emf"/><Relationship Id="rId92" Type="http://schemas.openxmlformats.org/officeDocument/2006/relationships/oleObject" Target="embeddings/oleObject40.bin"/><Relationship Id="rId91" Type="http://schemas.openxmlformats.org/officeDocument/2006/relationships/image" Target="media/image39.emf"/><Relationship Id="rId90" Type="http://schemas.openxmlformats.org/officeDocument/2006/relationships/oleObject" Target="embeddings/oleObject39.bin"/><Relationship Id="rId9" Type="http://schemas.openxmlformats.org/officeDocument/2006/relationships/chart" Target="charts/chart3.xml"/><Relationship Id="rId89" Type="http://schemas.openxmlformats.org/officeDocument/2006/relationships/image" Target="media/image38.emf"/><Relationship Id="rId88" Type="http://schemas.openxmlformats.org/officeDocument/2006/relationships/oleObject" Target="embeddings/oleObject38.bin"/><Relationship Id="rId87" Type="http://schemas.openxmlformats.org/officeDocument/2006/relationships/image" Target="media/image37.emf"/><Relationship Id="rId86" Type="http://schemas.openxmlformats.org/officeDocument/2006/relationships/oleObject" Target="embeddings/oleObject37.bin"/><Relationship Id="rId85" Type="http://schemas.openxmlformats.org/officeDocument/2006/relationships/image" Target="media/image36.emf"/><Relationship Id="rId84" Type="http://schemas.openxmlformats.org/officeDocument/2006/relationships/oleObject" Target="embeddings/oleObject36.bin"/><Relationship Id="rId83" Type="http://schemas.openxmlformats.org/officeDocument/2006/relationships/image" Target="media/image35.emf"/><Relationship Id="rId82" Type="http://schemas.openxmlformats.org/officeDocument/2006/relationships/oleObject" Target="embeddings/oleObject35.bin"/><Relationship Id="rId81" Type="http://schemas.openxmlformats.org/officeDocument/2006/relationships/image" Target="media/image34.emf"/><Relationship Id="rId80" Type="http://schemas.openxmlformats.org/officeDocument/2006/relationships/oleObject" Target="embeddings/oleObject34.bin"/><Relationship Id="rId8" Type="http://schemas.openxmlformats.org/officeDocument/2006/relationships/chart" Target="charts/chart2.xml"/><Relationship Id="rId79" Type="http://schemas.openxmlformats.org/officeDocument/2006/relationships/image" Target="media/image33.emf"/><Relationship Id="rId78" Type="http://schemas.openxmlformats.org/officeDocument/2006/relationships/oleObject" Target="embeddings/oleObject33.bin"/><Relationship Id="rId77" Type="http://schemas.openxmlformats.org/officeDocument/2006/relationships/image" Target="media/image32.emf"/><Relationship Id="rId76" Type="http://schemas.openxmlformats.org/officeDocument/2006/relationships/oleObject" Target="embeddings/oleObject32.bin"/><Relationship Id="rId75" Type="http://schemas.openxmlformats.org/officeDocument/2006/relationships/image" Target="media/image31.emf"/><Relationship Id="rId74" Type="http://schemas.openxmlformats.org/officeDocument/2006/relationships/oleObject" Target="embeddings/oleObject31.bin"/><Relationship Id="rId73" Type="http://schemas.openxmlformats.org/officeDocument/2006/relationships/image" Target="media/image30.emf"/><Relationship Id="rId72" Type="http://schemas.openxmlformats.org/officeDocument/2006/relationships/oleObject" Target="embeddings/oleObject30.bin"/><Relationship Id="rId71" Type="http://schemas.openxmlformats.org/officeDocument/2006/relationships/image" Target="media/image29.emf"/><Relationship Id="rId70" Type="http://schemas.openxmlformats.org/officeDocument/2006/relationships/oleObject" Target="embeddings/oleObject29.bin"/><Relationship Id="rId7" Type="http://schemas.openxmlformats.org/officeDocument/2006/relationships/chart" Target="charts/chart1.xml"/><Relationship Id="rId69" Type="http://schemas.openxmlformats.org/officeDocument/2006/relationships/image" Target="media/image28.emf"/><Relationship Id="rId68" Type="http://schemas.openxmlformats.org/officeDocument/2006/relationships/oleObject" Target="embeddings/oleObject28.bin"/><Relationship Id="rId67" Type="http://schemas.openxmlformats.org/officeDocument/2006/relationships/image" Target="media/image27.emf"/><Relationship Id="rId66" Type="http://schemas.openxmlformats.org/officeDocument/2006/relationships/oleObject" Target="embeddings/oleObject27.bin"/><Relationship Id="rId65" Type="http://schemas.openxmlformats.org/officeDocument/2006/relationships/image" Target="media/image26.emf"/><Relationship Id="rId64" Type="http://schemas.openxmlformats.org/officeDocument/2006/relationships/oleObject" Target="embeddings/oleObject26.bin"/><Relationship Id="rId63" Type="http://schemas.openxmlformats.org/officeDocument/2006/relationships/image" Target="media/image25.emf"/><Relationship Id="rId62" Type="http://schemas.openxmlformats.org/officeDocument/2006/relationships/oleObject" Target="embeddings/oleObject25.bin"/><Relationship Id="rId61" Type="http://schemas.openxmlformats.org/officeDocument/2006/relationships/image" Target="media/image24.emf"/><Relationship Id="rId60" Type="http://schemas.openxmlformats.org/officeDocument/2006/relationships/oleObject" Target="embeddings/oleObject24.bin"/><Relationship Id="rId6" Type="http://schemas.openxmlformats.org/officeDocument/2006/relationships/theme" Target="theme/theme1.xml"/><Relationship Id="rId59" Type="http://schemas.openxmlformats.org/officeDocument/2006/relationships/image" Target="media/image23.emf"/><Relationship Id="rId58" Type="http://schemas.openxmlformats.org/officeDocument/2006/relationships/oleObject" Target="embeddings/oleObject23.bin"/><Relationship Id="rId57" Type="http://schemas.openxmlformats.org/officeDocument/2006/relationships/image" Target="media/image22.emf"/><Relationship Id="rId56" Type="http://schemas.openxmlformats.org/officeDocument/2006/relationships/oleObject" Target="embeddings/oleObject22.bin"/><Relationship Id="rId55" Type="http://schemas.openxmlformats.org/officeDocument/2006/relationships/image" Target="media/image21.emf"/><Relationship Id="rId54" Type="http://schemas.openxmlformats.org/officeDocument/2006/relationships/oleObject" Target="embeddings/oleObject21.bin"/><Relationship Id="rId53" Type="http://schemas.openxmlformats.org/officeDocument/2006/relationships/image" Target="media/image20.emf"/><Relationship Id="rId52" Type="http://schemas.openxmlformats.org/officeDocument/2006/relationships/oleObject" Target="embeddings/oleObject20.bin"/><Relationship Id="rId51" Type="http://schemas.openxmlformats.org/officeDocument/2006/relationships/image" Target="media/image19.emf"/><Relationship Id="rId50" Type="http://schemas.openxmlformats.org/officeDocument/2006/relationships/oleObject" Target="embeddings/oleObject19.bin"/><Relationship Id="rId5" Type="http://schemas.openxmlformats.org/officeDocument/2006/relationships/footer" Target="footer2.xml"/><Relationship Id="rId49" Type="http://schemas.openxmlformats.org/officeDocument/2006/relationships/image" Target="media/image18.emf"/><Relationship Id="rId48" Type="http://schemas.openxmlformats.org/officeDocument/2006/relationships/oleObject" Target="embeddings/oleObject18.bin"/><Relationship Id="rId47" Type="http://schemas.openxmlformats.org/officeDocument/2006/relationships/image" Target="media/image17.emf"/><Relationship Id="rId46" Type="http://schemas.openxmlformats.org/officeDocument/2006/relationships/oleObject" Target="embeddings/oleObject17.bin"/><Relationship Id="rId45" Type="http://schemas.openxmlformats.org/officeDocument/2006/relationships/image" Target="media/image16.emf"/><Relationship Id="rId44" Type="http://schemas.openxmlformats.org/officeDocument/2006/relationships/oleObject" Target="embeddings/oleObject16.bin"/><Relationship Id="rId43" Type="http://schemas.openxmlformats.org/officeDocument/2006/relationships/image" Target="media/image15.emf"/><Relationship Id="rId42" Type="http://schemas.openxmlformats.org/officeDocument/2006/relationships/oleObject" Target="embeddings/oleObject15.bin"/><Relationship Id="rId41" Type="http://schemas.openxmlformats.org/officeDocument/2006/relationships/image" Target="media/image14.emf"/><Relationship Id="rId40" Type="http://schemas.openxmlformats.org/officeDocument/2006/relationships/oleObject" Target="embeddings/oleObject14.bin"/><Relationship Id="rId4" Type="http://schemas.openxmlformats.org/officeDocument/2006/relationships/footer" Target="footer1.xml"/><Relationship Id="rId39" Type="http://schemas.openxmlformats.org/officeDocument/2006/relationships/image" Target="media/image13.emf"/><Relationship Id="rId38" Type="http://schemas.openxmlformats.org/officeDocument/2006/relationships/oleObject" Target="embeddings/oleObject13.bin"/><Relationship Id="rId37" Type="http://schemas.openxmlformats.org/officeDocument/2006/relationships/image" Target="media/image12.emf"/><Relationship Id="rId36" Type="http://schemas.openxmlformats.org/officeDocument/2006/relationships/oleObject" Target="embeddings/oleObject12.bin"/><Relationship Id="rId35" Type="http://schemas.openxmlformats.org/officeDocument/2006/relationships/image" Target="media/image11.emf"/><Relationship Id="rId34" Type="http://schemas.openxmlformats.org/officeDocument/2006/relationships/oleObject" Target="embeddings/oleObject11.bin"/><Relationship Id="rId33" Type="http://schemas.openxmlformats.org/officeDocument/2006/relationships/image" Target="media/image10.emf"/><Relationship Id="rId32" Type="http://schemas.openxmlformats.org/officeDocument/2006/relationships/oleObject" Target="embeddings/oleObject10.bin"/><Relationship Id="rId31" Type="http://schemas.openxmlformats.org/officeDocument/2006/relationships/image" Target="media/image9.e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oleObject" Target="embeddings/oleObject8.bin"/><Relationship Id="rId27" Type="http://schemas.openxmlformats.org/officeDocument/2006/relationships/image" Target="media/image7.emf"/><Relationship Id="rId26" Type="http://schemas.openxmlformats.org/officeDocument/2006/relationships/oleObject" Target="embeddings/oleObject7.bin"/><Relationship Id="rId25" Type="http://schemas.openxmlformats.org/officeDocument/2006/relationships/image" Target="media/image6.emf"/><Relationship Id="rId24" Type="http://schemas.openxmlformats.org/officeDocument/2006/relationships/oleObject" Target="embeddings/oleObject6.bin"/><Relationship Id="rId23" Type="http://schemas.openxmlformats.org/officeDocument/2006/relationships/image" Target="media/image5.emf"/><Relationship Id="rId22" Type="http://schemas.openxmlformats.org/officeDocument/2006/relationships/oleObject" Target="embeddings/oleObject5.bin"/><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chart" Target="charts/chart7.xml"/><Relationship Id="rId125" Type="http://schemas.openxmlformats.org/officeDocument/2006/relationships/fontTable" Target="fontTable.xml"/><Relationship Id="rId124" Type="http://schemas.openxmlformats.org/officeDocument/2006/relationships/customXml" Target="../customXml/item2.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54.emf"/><Relationship Id="rId120" Type="http://schemas.openxmlformats.org/officeDocument/2006/relationships/oleObject" Target="embeddings/oleObject54.bin"/><Relationship Id="rId12" Type="http://schemas.openxmlformats.org/officeDocument/2006/relationships/chart" Target="charts/chart6.xml"/><Relationship Id="rId119" Type="http://schemas.openxmlformats.org/officeDocument/2006/relationships/image" Target="media/image53.emf"/><Relationship Id="rId118" Type="http://schemas.openxmlformats.org/officeDocument/2006/relationships/oleObject" Target="embeddings/oleObject53.bin"/><Relationship Id="rId117" Type="http://schemas.openxmlformats.org/officeDocument/2006/relationships/image" Target="media/image52.emf"/><Relationship Id="rId116" Type="http://schemas.openxmlformats.org/officeDocument/2006/relationships/oleObject" Target="embeddings/oleObject52.bin"/><Relationship Id="rId115" Type="http://schemas.openxmlformats.org/officeDocument/2006/relationships/image" Target="media/image51.emf"/><Relationship Id="rId114" Type="http://schemas.openxmlformats.org/officeDocument/2006/relationships/oleObject" Target="embeddings/oleObject51.bin"/><Relationship Id="rId113" Type="http://schemas.openxmlformats.org/officeDocument/2006/relationships/image" Target="media/image50.emf"/><Relationship Id="rId112" Type="http://schemas.openxmlformats.org/officeDocument/2006/relationships/oleObject" Target="embeddings/oleObject50.bin"/><Relationship Id="rId111" Type="http://schemas.openxmlformats.org/officeDocument/2006/relationships/image" Target="media/image49.emf"/><Relationship Id="rId110" Type="http://schemas.openxmlformats.org/officeDocument/2006/relationships/oleObject" Target="embeddings/oleObject49.bin"/><Relationship Id="rId11" Type="http://schemas.openxmlformats.org/officeDocument/2006/relationships/chart" Target="charts/chart5.xml"/><Relationship Id="rId109" Type="http://schemas.openxmlformats.org/officeDocument/2006/relationships/image" Target="media/image48.emf"/><Relationship Id="rId108" Type="http://schemas.openxmlformats.org/officeDocument/2006/relationships/oleObject" Target="embeddings/oleObject48.bin"/><Relationship Id="rId107" Type="http://schemas.openxmlformats.org/officeDocument/2006/relationships/image" Target="media/image47.emf"/><Relationship Id="rId106" Type="http://schemas.openxmlformats.org/officeDocument/2006/relationships/oleObject" Target="embeddings/oleObject47.bin"/><Relationship Id="rId105" Type="http://schemas.openxmlformats.org/officeDocument/2006/relationships/image" Target="media/image46.emf"/><Relationship Id="rId104" Type="http://schemas.openxmlformats.org/officeDocument/2006/relationships/oleObject" Target="embeddings/oleObject46.bin"/><Relationship Id="rId103" Type="http://schemas.openxmlformats.org/officeDocument/2006/relationships/image" Target="media/image45.emf"/><Relationship Id="rId102" Type="http://schemas.openxmlformats.org/officeDocument/2006/relationships/oleObject" Target="embeddings/oleObject45.bin"/><Relationship Id="rId101" Type="http://schemas.openxmlformats.org/officeDocument/2006/relationships/image" Target="media/image44.emf"/><Relationship Id="rId100" Type="http://schemas.openxmlformats.org/officeDocument/2006/relationships/oleObject" Target="embeddings/oleObject44.bin"/><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4.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收、支决算总计变动情况图（万元）</a:t>
            </a:r>
          </a:p>
        </c:rich>
      </c:tx>
      <c:layout/>
      <c:overlay val="0"/>
      <c:spPr>
        <a:noFill/>
        <a:ln>
          <a:noFill/>
        </a:ln>
        <a:effectLst/>
      </c:spPr>
    </c:title>
    <c:autoTitleDeleted val="0"/>
    <c:plotArea>
      <c:layout>
        <c:manualLayout>
          <c:layoutTarget val="inner"/>
          <c:xMode val="edge"/>
          <c:yMode val="edge"/>
          <c:x val="0.0870500120802126"/>
          <c:y val="0.159796005099872"/>
          <c:w val="0.886373520173955"/>
          <c:h val="0.735741606459839"/>
        </c:manualLayout>
      </c:layout>
      <c:barChart>
        <c:barDir val="col"/>
        <c:grouping val="clustered"/>
        <c:varyColors val="0"/>
        <c:ser>
          <c:idx val="0"/>
          <c:order val="0"/>
          <c:tx>
            <c:strRef>
              <c:f>Sheet1!$B$1</c:f>
              <c:strCache>
                <c:ptCount val="1"/>
                <c:pt idx="0">
                  <c:v>2023年</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Sheet1!$B$2:$B$3</c:f>
              <c:numCache>
                <c:formatCode>General</c:formatCode>
                <c:ptCount val="2"/>
                <c:pt idx="0">
                  <c:v>5478.24</c:v>
                </c:pt>
                <c:pt idx="1">
                  <c:v>5478.24</c:v>
                </c:pt>
              </c:numCache>
            </c:numRef>
          </c:val>
        </c:ser>
        <c:ser>
          <c:idx val="1"/>
          <c:order val="1"/>
          <c:tx>
            <c:strRef>
              <c:f>Sheet1!$C$1</c:f>
              <c:strCache>
                <c:ptCount val="1"/>
                <c:pt idx="0">
                  <c:v>2024年</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Sheet1!$C$2:$C$3</c:f>
              <c:numCache>
                <c:formatCode>General</c:formatCode>
                <c:ptCount val="2"/>
                <c:pt idx="0">
                  <c:v>8940.52</c:v>
                </c:pt>
                <c:pt idx="1">
                  <c:v>8940.52</c:v>
                </c:pt>
              </c:numCache>
            </c:numRef>
          </c:val>
        </c:ser>
        <c:ser>
          <c:idx val="2"/>
          <c:order val="2"/>
          <c:tx>
            <c:strRef>
              <c:f>Sheet1!#REF!</c:f>
              <c:strCache>
                <c:ptCount val="1"/>
                <c:pt idx="0">
                  <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delete val="1"/>
          </c:dLbls>
          <c:cat>
            <c:strRef>
              <c:f>Sheet1!$A$2:$A$3</c:f>
              <c:strCache>
                <c:ptCount val="2"/>
                <c:pt idx="0">
                  <c:v>总收入</c:v>
                </c:pt>
                <c:pt idx="1">
                  <c:v>总支出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46"/>
        <c:overlap val="-28"/>
        <c:axId val="330334769"/>
        <c:axId val="680092138"/>
      </c:barChart>
      <c:catAx>
        <c:axId val="33033476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092138"/>
        <c:crosses val="autoZero"/>
        <c:auto val="1"/>
        <c:lblAlgn val="ctr"/>
        <c:lblOffset val="100"/>
        <c:noMultiLvlLbl val="0"/>
      </c:catAx>
      <c:valAx>
        <c:axId val="68009213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334769"/>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80e118-e36a-4608-b351-aa50e9972e9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收入决算结构图</a:t>
            </a:r>
          </a:p>
        </c:rich>
      </c:tx>
      <c:layout>
        <c:manualLayout>
          <c:xMode val="edge"/>
          <c:yMode val="edge"/>
          <c:x val="0.374377353905965"/>
          <c:y val="0.0345067160722557"/>
        </c:manualLayout>
      </c:layout>
      <c:overlay val="0"/>
      <c:spPr>
        <a:noFill/>
        <a:ln>
          <a:noFill/>
        </a:ln>
        <a:effectLst/>
      </c:spPr>
    </c:title>
    <c:autoTitleDeleted val="0"/>
    <c:plotArea>
      <c:layout>
        <c:manualLayout>
          <c:layoutTarget val="inner"/>
          <c:xMode val="edge"/>
          <c:yMode val="edge"/>
          <c:x val="0.13005710120277"/>
          <c:y val="0.220472440944882"/>
          <c:w val="0.405297047746325"/>
          <c:h val="0.772579898100973"/>
        </c:manualLayout>
      </c:layout>
      <c:pieChart>
        <c:varyColors val="1"/>
        <c:ser>
          <c:idx val="0"/>
          <c:order val="0"/>
          <c:tx>
            <c:strRef>
              <c:f>Sheet1!$B$1</c:f>
              <c:strCache>
                <c:ptCount val="1"/>
                <c:pt idx="0">
                  <c:v>收入</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51.04</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48.96</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一般公共预算财政拨款收入4562.86万元</c:v>
                </c:pt>
                <c:pt idx="1">
                  <c:v>政府性基金预算财政拨款收入4377.66万元</c:v>
                </c:pt>
              </c:strCache>
            </c:strRef>
          </c:cat>
          <c:val>
            <c:numRef>
              <c:f>Sheet1!$B$2:$B$3</c:f>
              <c:numCache>
                <c:formatCode>#,##0.00</c:formatCode>
                <c:ptCount val="2"/>
                <c:pt idx="0">
                  <c:v>4562.86</c:v>
                </c:pt>
                <c:pt idx="1" c:formatCode="General">
                  <c:v>4377.66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45514b41-6f29-480b-9a30-3606daf14972}"/>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支出决算结构图</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a:ln w="31750" cmpd="dbl">
              <a:solidFill>
                <a:schemeClr val="bg1"/>
              </a:solidFill>
              <a:prstDash val="solid"/>
            </a:ln>
            <a:effectLst>
              <a:innerShdw blurRad="63500" dist="114300">
                <a:prstClr val="black">
                  <a:alpha val="50000"/>
                </a:prstClr>
              </a:innerShdw>
            </a:effectLst>
            <a:sp3d contourW="31750"/>
          </c:spPr>
          <c:explosion val="0"/>
          <c:dPt>
            <c:idx val="0"/>
            <c:bubble3D val="0"/>
            <c:spPr>
              <a:solidFill>
                <a:schemeClr val="accent1"/>
              </a:solidFill>
              <a:ln w="31750" cmpd="dbl">
                <a:solidFill>
                  <a:schemeClr val="bg1"/>
                </a:solidFill>
                <a:prstDash val="solid"/>
              </a:ln>
              <a:effectLst>
                <a:innerShdw blurRad="63500" dist="114300">
                  <a:schemeClr val="accent1">
                    <a:lumMod val="50000"/>
                    <a:alpha val="100000"/>
                  </a:schemeClr>
                </a:innerShdw>
              </a:effectLst>
              <a:sp3d contourW="31750"/>
            </c:spPr>
          </c:dPt>
          <c:dPt>
            <c:idx val="1"/>
            <c:bubble3D val="0"/>
            <c:spPr>
              <a:solidFill>
                <a:schemeClr val="accent2"/>
              </a:solidFill>
              <a:ln w="38100" cmpd="dbl">
                <a:solidFill>
                  <a:schemeClr val="bg1"/>
                </a:solidFill>
                <a:prstDash val="solid"/>
              </a:ln>
              <a:effectLst>
                <a:innerShdw blurRad="63500" dist="114300">
                  <a:schemeClr val="accent2">
                    <a:lumMod val="50000"/>
                    <a:alpha val="100000"/>
                  </a:schemeClr>
                </a:innerShdw>
              </a:effectLst>
              <a:sp3d contourW="381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基本支出946.42万元</c:v>
                </c:pt>
                <c:pt idx="1">
                  <c:v>项目支出7994.10万元</c:v>
                </c:pt>
              </c:strCache>
            </c:strRef>
          </c:cat>
          <c:val>
            <c:numRef>
              <c:f>Sheet1!$B$2:$B$3</c:f>
              <c:numCache>
                <c:formatCode>#,##0.00</c:formatCode>
                <c:ptCount val="2"/>
                <c:pt idx="0">
                  <c:v>946.42</c:v>
                </c:pt>
                <c:pt idx="1">
                  <c:v>7994.1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1a6f6b4a-ac9a-4b17-88b8-94a09c504e58}"/>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财政拨款收支决算总计变动情况表（万元）</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Sheet1!$B$2:$B$3</c:f>
              <c:numCache>
                <c:formatCode>General</c:formatCode>
                <c:ptCount val="2"/>
                <c:pt idx="0">
                  <c:v>5478.24</c:v>
                </c:pt>
                <c:pt idx="1">
                  <c:v>5478.24</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Sheet1!$C$2:$C$3</c:f>
              <c:numCache>
                <c:formatCode>General</c:formatCode>
                <c:ptCount val="2"/>
                <c:pt idx="0">
                  <c:v>8940.52</c:v>
                </c:pt>
                <c:pt idx="1">
                  <c:v>8940.52</c:v>
                </c:pt>
              </c:numCache>
            </c:numRef>
          </c:val>
        </c:ser>
        <c:dLbls>
          <c:showLegendKey val="0"/>
          <c:showVal val="1"/>
          <c:showCatName val="0"/>
          <c:showSerName val="0"/>
          <c:showPercent val="0"/>
          <c:showBubbleSize val="0"/>
        </c:dLbls>
        <c:gapWidth val="246"/>
        <c:overlap val="-28"/>
        <c:axId val="149990084"/>
        <c:axId val="826551675"/>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Sheet1!$A$2:$A$3</c15:sqref>
                        </c15:formulaRef>
                      </c:ext>
                    </c:extLst>
                    <c:strCache>
                      <c:ptCount val="2"/>
                      <c:pt idx="0">
                        <c:v>总收入</c:v>
                      </c:pt>
                      <c:pt idx="1">
                        <c:v>总支出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1499900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551675"/>
        <c:crosses val="autoZero"/>
        <c:auto val="1"/>
        <c:lblAlgn val="ctr"/>
        <c:lblOffset val="100"/>
        <c:noMultiLvlLbl val="0"/>
      </c:catAx>
      <c:valAx>
        <c:axId val="8265516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9900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9c7e1cb-f949-494e-a447-ef0a4a3a3b9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solidFill>
                <a:latin typeface="+mn-lt"/>
                <a:ea typeface="+mn-ea"/>
                <a:cs typeface="+mn-cs"/>
              </a:defRPr>
            </a:pPr>
            <a:r>
              <a:t>一般公共预算财政拨款支出决算变动情况（万元）</a:t>
            </a:r>
          </a:p>
        </c:rich>
      </c:tx>
      <c:layout>
        <c:manualLayout>
          <c:xMode val="edge"/>
          <c:yMode val="edge"/>
          <c:x val="0.185504452123522"/>
          <c:y val="0.048920869040015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总支出</c:v>
                </c:pt>
              </c:strCache>
            </c:strRef>
          </c:tx>
          <c:spPr>
            <a:gradFill>
              <a:gsLst>
                <a:gs pos="0">
                  <a:schemeClr val="accent1">
                    <a:lumMod val="60000"/>
                    <a:lumOff val="40000"/>
                  </a:schemeClr>
                </a:gs>
                <a:gs pos="50000">
                  <a:schemeClr val="accent1"/>
                </a:gs>
              </a:gsLst>
              <a:lin ang="2700000"/>
            </a:gra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2024</c:v>
                </c:pt>
                <c:pt idx="1">
                  <c:v>2023</c:v>
                </c:pt>
              </c:numCache>
            </c:numRef>
          </c:cat>
          <c:val>
            <c:numRef>
              <c:f>Sheet1!$B$2:$B$3</c:f>
              <c:numCache>
                <c:formatCode>General</c:formatCode>
                <c:ptCount val="2"/>
                <c:pt idx="0">
                  <c:v>8940.52</c:v>
                </c:pt>
                <c:pt idx="1">
                  <c:v>6843.83</c:v>
                </c:pt>
              </c:numCache>
            </c:numRef>
          </c:val>
        </c:ser>
        <c:ser>
          <c:idx val="1"/>
          <c:order val="1"/>
          <c:tx>
            <c:strRef>
              <c:f>Sheet1!$C$1</c:f>
              <c:strCache>
                <c:ptCount val="1"/>
                <c:pt idx="0">
                  <c:v>一般公共预算支出</c:v>
                </c:pt>
              </c:strCache>
            </c:strRef>
          </c:tx>
          <c:spPr>
            <a:solidFill>
              <a:srgbClr val="5B9BD5"/>
            </a:soli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2024</c:v>
                </c:pt>
                <c:pt idx="1">
                  <c:v>2023</c:v>
                </c:pt>
              </c:numCache>
            </c:numRef>
          </c:cat>
          <c:val>
            <c:numRef>
              <c:f>Sheet1!$C$2:$C$3</c:f>
              <c:numCache>
                <c:formatCode>General</c:formatCode>
                <c:ptCount val="2"/>
                <c:pt idx="0">
                  <c:v>4562.86</c:v>
                </c:pt>
                <c:pt idx="1">
                  <c:v>2352.17</c:v>
                </c:pt>
              </c:numCache>
            </c:numRef>
          </c:val>
        </c:ser>
        <c:dLbls>
          <c:showLegendKey val="0"/>
          <c:showVal val="1"/>
          <c:showCatName val="0"/>
          <c:showSerName val="0"/>
          <c:showPercent val="0"/>
          <c:showBubbleSize val="0"/>
        </c:dLbls>
        <c:gapWidth val="219"/>
        <c:overlap val="-27"/>
        <c:axId val="29819914"/>
        <c:axId val="809134686"/>
      </c:barChart>
      <c:catAx>
        <c:axId val="2981991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809134686"/>
        <c:crosses val="autoZero"/>
        <c:auto val="1"/>
        <c:lblAlgn val="ctr"/>
        <c:lblOffset val="100"/>
        <c:noMultiLvlLbl val="0"/>
      </c:catAx>
      <c:valAx>
        <c:axId val="809134686"/>
        <c:scaling>
          <c:orientation val="minMax"/>
        </c:scaling>
        <c:delete val="0"/>
        <c:axPos val="l"/>
        <c:majorGridlines>
          <c:spPr>
            <a:ln w="9525" cap="flat" cmpd="sng" algn="ctr">
              <a:solidFill>
                <a:schemeClr val="tx1">
                  <a:lumMod val="50000"/>
                  <a:lumOff val="50000"/>
                  <a:alpha val="4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2981991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legend>
    <c:plotVisOnly val="1"/>
    <c:dispBlanksAs val="gap"/>
    <c:showDLblsOverMax val="0"/>
    <c:extLst>
      <c:ext uri="{0b15fc19-7d7d-44ad-8c2d-2c3a37ce22c3}">
        <chartProps xmlns="https://web.wps.cn/et/2018/main" chartId="{af2e9c9a-49c6-4712-9e4f-3616d0240680}"/>
      </c:ext>
    </c:extLst>
  </c:chart>
  <c:spPr>
    <a:gradFill>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solidFill>
        <a:schemeClr val="bg1">
          <a:lumMod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title>
    <c:autoTitleDeleted val="0"/>
    <c:plotArea>
      <c:layout/>
      <c:pieChart>
        <c:varyColors val="1"/>
        <c:ser>
          <c:idx val="0"/>
          <c:order val="0"/>
          <c:tx>
            <c:strRef>
              <c:f>Sheet1!$B$1</c:f>
              <c:strCache>
                <c:ptCount val="1"/>
                <c:pt idx="0">
                  <c:v>一般公共预算财政拨款支出决算结构</c:v>
                </c:pt>
              </c:strCache>
            </c:strRef>
          </c:tx>
          <c:spPr>
            <a:ln w="31750" cmpd="dbl">
              <a:solidFill>
                <a:schemeClr val="bg1"/>
              </a:solidFill>
              <a:prstDash val="solid"/>
            </a:ln>
            <a:effectLst>
              <a:innerShdw blurRad="63500" dist="114300">
                <a:prstClr val="black">
                  <a:alpha val="50000"/>
                </a:prstClr>
              </a:innerShdw>
            </a:effectLst>
            <a:scene3d>
              <a:camera prst="orthographicFront"/>
              <a:lightRig rig="threePt" dir="t"/>
            </a:scene3d>
            <a:sp3d contourW="31750"/>
          </c:spPr>
          <c:explosion val="0"/>
          <c:dPt>
            <c:idx val="0"/>
            <c:bubble3D val="0"/>
            <c:spPr>
              <a:solidFill>
                <a:schemeClr val="accent1"/>
              </a:solidFill>
              <a:ln w="31750" cmpd="dbl">
                <a:solidFill>
                  <a:schemeClr val="bg1"/>
                </a:solidFill>
                <a:prstDash val="solid"/>
              </a:ln>
              <a:effectLst>
                <a:innerShdw blurRad="63500" dist="114300">
                  <a:schemeClr val="accent1">
                    <a:lumMod val="50000"/>
                    <a:alpha val="100000"/>
                  </a:schemeClr>
                </a:innerShdw>
              </a:effectLst>
              <a:scene3d>
                <a:camera prst="orthographicFront"/>
                <a:lightRig rig="threePt" dir="t"/>
              </a:scene3d>
              <a:sp3d contourW="31750"/>
            </c:spPr>
          </c:dPt>
          <c:dPt>
            <c:idx val="1"/>
            <c:bubble3D val="0"/>
            <c:spPr>
              <a:solidFill>
                <a:schemeClr val="accent2"/>
              </a:solidFill>
              <a:ln w="38100" cmpd="dbl">
                <a:solidFill>
                  <a:schemeClr val="bg1"/>
                </a:solidFill>
                <a:prstDash val="solid"/>
              </a:ln>
              <a:effectLst>
                <a:innerShdw blurRad="63500" dist="114300">
                  <a:schemeClr val="accent2">
                    <a:lumMod val="50000"/>
                    <a:alpha val="100000"/>
                  </a:schemeClr>
                </a:innerShdw>
              </a:effectLst>
              <a:scene3d>
                <a:camera prst="orthographicFront"/>
                <a:lightRig rig="threePt" dir="t"/>
              </a:scene3d>
              <a:sp3d contourW="38100"/>
            </c:spPr>
          </c:dPt>
          <c:dPt>
            <c:idx val="2"/>
            <c:bubble3D val="0"/>
            <c:spPr>
              <a:solidFill>
                <a:schemeClr val="accent3"/>
              </a:solidFill>
              <a:ln w="31750" cmpd="dbl">
                <a:solidFill>
                  <a:schemeClr val="bg1"/>
                </a:solidFill>
                <a:prstDash val="solid"/>
              </a:ln>
              <a:effectLst>
                <a:innerShdw blurRad="63500" dist="114300">
                  <a:schemeClr val="accent3">
                    <a:lumMod val="50000"/>
                    <a:alpha val="100000"/>
                  </a:schemeClr>
                </a:innerShdw>
              </a:effectLst>
              <a:scene3d>
                <a:camera prst="orthographicFront"/>
                <a:lightRig rig="threePt" dir="t"/>
              </a:scene3d>
              <a:sp3d contourW="31750"/>
            </c:spPr>
          </c:dPt>
          <c:dPt>
            <c:idx val="3"/>
            <c:bubble3D val="0"/>
            <c:spPr>
              <a:solidFill>
                <a:schemeClr val="accent4"/>
              </a:solidFill>
              <a:ln w="31750" cmpd="dbl">
                <a:solidFill>
                  <a:schemeClr val="bg1"/>
                </a:solidFill>
                <a:prstDash val="solid"/>
              </a:ln>
              <a:effectLst>
                <a:innerShdw blurRad="63500" dist="114300">
                  <a:schemeClr val="accent4">
                    <a:lumMod val="50000"/>
                    <a:alpha val="100000"/>
                  </a:schemeClr>
                </a:innerShdw>
              </a:effectLst>
              <a:scene3d>
                <a:camera prst="orthographicFront"/>
                <a:lightRig rig="threePt" dir="t"/>
              </a:scene3d>
              <a:sp3d contourW="31750"/>
            </c:spPr>
          </c:dPt>
          <c:dLbls>
            <c:dLbl>
              <c:idx val="0"/>
              <c:layout>
                <c:manualLayout>
                  <c:x val="-0.0508698563111801"/>
                  <c:y val="0.0099466669614847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714052278965332"/>
                  <c:y val="0.03268500749283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62923575844992"/>
                  <c:y val="0.00090152452782844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社会保障和就业支出122.81万元</c:v>
                </c:pt>
                <c:pt idx="1">
                  <c:v>卫生健康支出20.57万元</c:v>
                </c:pt>
                <c:pt idx="2">
                  <c:v>农林水支出支出4358.68万元</c:v>
                </c:pt>
                <c:pt idx="3">
                  <c:v>住房保障支出60.80万元</c:v>
                </c:pt>
              </c:strCache>
            </c:strRef>
          </c:cat>
          <c:val>
            <c:numRef>
              <c:f>Sheet1!$B$2:$B$5</c:f>
              <c:numCache>
                <c:formatCode>General</c:formatCode>
                <c:ptCount val="4"/>
                <c:pt idx="0">
                  <c:v>122.81</c:v>
                </c:pt>
                <c:pt idx="1">
                  <c:v>20.57</c:v>
                </c:pt>
                <c:pt idx="2">
                  <c:v>4358.68</c:v>
                </c:pt>
                <c:pt idx="3">
                  <c:v>60.8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51833e13-8b1f-4c5d-a8fd-5b75b37a2a64}"/>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“三公”经费财政拨款支出结构</a:t>
            </a:r>
          </a:p>
        </c:rich>
      </c:tx>
      <c:layout/>
      <c:overlay val="0"/>
      <c:spPr>
        <a:noFill/>
        <a:ln>
          <a:noFill/>
        </a:ln>
        <a:effectLst/>
      </c:spPr>
    </c:title>
    <c:autoTitleDeleted val="0"/>
    <c:plotArea>
      <c:layout/>
      <c:pieChart>
        <c:varyColors val="1"/>
        <c:ser>
          <c:idx val="0"/>
          <c:order val="0"/>
          <c:tx>
            <c:strRef>
              <c:f>Sheet1!$B$1</c:f>
              <c:strCache>
                <c:ptCount val="1"/>
                <c:pt idx="0">
                  <c:v>“三公”经费财政拨款支出结构</c:v>
                </c:pt>
              </c:strCache>
            </c:strRef>
          </c:tx>
          <c:spPr>
            <a:scene3d>
              <a:camera prst="orthographicFront"/>
              <a:lightRig rig="threePt" dir="t"/>
            </a:scene3d>
            <a:sp3d contourW="9525"/>
          </c:spPr>
          <c:explosion val="0"/>
          <c:dPt>
            <c:idx val="0"/>
            <c:bubble3D val="0"/>
            <c:spPr>
              <a:solidFill>
                <a:schemeClr val="accent1"/>
              </a:solidFill>
              <a:ln w="19050">
                <a:solidFill>
                  <a:schemeClr val="bg1"/>
                </a:solidFill>
              </a:ln>
              <a:effectLst/>
              <a:scene3d>
                <a:camera prst="orthographicFront"/>
                <a:lightRig rig="threePt" dir="t"/>
              </a:scene3d>
              <a:sp3d contourW="9525"/>
            </c:spPr>
          </c:dPt>
          <c:dPt>
            <c:idx val="1"/>
            <c:bubble3D val="0"/>
            <c:spPr>
              <a:solidFill>
                <a:schemeClr val="accent2"/>
              </a:solidFill>
              <a:ln w="19050">
                <a:solidFill>
                  <a:schemeClr val="bg1"/>
                </a:solidFill>
              </a:ln>
              <a:effectLst/>
              <a:scene3d>
                <a:camera prst="orthographicFront"/>
                <a:lightRig rig="threePt" dir="t"/>
              </a:scene3d>
              <a:sp3d contourW="9525"/>
            </c:spPr>
          </c:dPt>
          <c:dPt>
            <c:idx val="2"/>
            <c:bubble3D val="0"/>
            <c:spPr>
              <a:solidFill>
                <a:schemeClr val="accent3"/>
              </a:solidFill>
              <a:ln w="19050">
                <a:solidFill>
                  <a:schemeClr val="bg1"/>
                </a:solidFill>
              </a:ln>
              <a:effectLst/>
              <a:scene3d>
                <a:camera prst="orthographicFront"/>
                <a:lightRig rig="threePt" dir="t"/>
              </a:scene3d>
              <a:sp3d contourW="9525"/>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因公出国（境）费支出0万元</c:v>
                </c:pt>
                <c:pt idx="1">
                  <c:v>公务用车购置及运行维护费支出0万元</c:v>
                </c:pt>
                <c:pt idx="2">
                  <c:v>公务接待费支出4.88万元</c:v>
                </c:pt>
              </c:strCache>
            </c:strRef>
          </c:cat>
          <c:val>
            <c:numRef>
              <c:f>Sheet1!$B$2:$B$4</c:f>
              <c:numCache>
                <c:formatCode>General</c:formatCode>
                <c:ptCount val="3"/>
                <c:pt idx="0">
                  <c:v>0</c:v>
                </c:pt>
                <c:pt idx="1">
                  <c:v>0</c:v>
                </c:pt>
                <c:pt idx="2">
                  <c:v>4.88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7e9e18af-1cbe-43dc-83c1-780cca2d9870}"/>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231">
    <a:dk1>
      <a:srgbClr val="000000"/>
    </a:dk1>
    <a:lt1>
      <a:srgbClr val="FFFFFF"/>
    </a:lt1>
    <a:dk2>
      <a:srgbClr val="44546A"/>
    </a:dk2>
    <a:lt2>
      <a:srgbClr val="E7E6E6"/>
    </a:lt2>
    <a:accent1>
      <a:srgbClr val="EF9F2D"/>
    </a:accent1>
    <a:accent2>
      <a:srgbClr val="E05C66"/>
    </a:accent2>
    <a:accent3>
      <a:srgbClr val="3297CC"/>
    </a:accent3>
    <a:accent4>
      <a:srgbClr val="3E586F"/>
    </a:accent4>
    <a:accent5>
      <a:srgbClr val="C4701F"/>
    </a:accent5>
    <a:accent6>
      <a:srgbClr val="D83C51"/>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226">
    <a:dk1>
      <a:srgbClr val="000000"/>
    </a:dk1>
    <a:lt1>
      <a:srgbClr val="FFFFFF"/>
    </a:lt1>
    <a:dk2>
      <a:srgbClr val="0F1423"/>
    </a:dk2>
    <a:lt2>
      <a:srgbClr val="FFFFFF"/>
    </a:lt2>
    <a:accent1>
      <a:srgbClr val="FF731F"/>
    </a:accent1>
    <a:accent2>
      <a:srgbClr val="FF8C05"/>
    </a:accent2>
    <a:accent3>
      <a:srgbClr val="FFB423"/>
    </a:accent3>
    <a:accent4>
      <a:srgbClr val="3DC6FA"/>
    </a:accent4>
    <a:accent5>
      <a:srgbClr val="01AEFF"/>
    </a:accent5>
    <a:accent6>
      <a:srgbClr val="2D77FF"/>
    </a:accent6>
    <a:hlink>
      <a:srgbClr val="0563C1"/>
    </a:hlink>
    <a:folHlink>
      <a:srgbClr val="954D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彩色2">
    <a:dk1>
      <a:srgbClr val="000000"/>
    </a:dk1>
    <a:lt1>
      <a:srgbClr val="FFFFFF"/>
    </a:lt1>
    <a:dk2>
      <a:srgbClr val="44546A"/>
    </a:dk2>
    <a:lt2>
      <a:srgbClr val="E7E6E6"/>
    </a:lt2>
    <a:accent1>
      <a:srgbClr val="FF5958"/>
    </a:accent1>
    <a:accent2>
      <a:srgbClr val="FABB00"/>
    </a:accent2>
    <a:accent3>
      <a:srgbClr val="AC68FB"/>
    </a:accent3>
    <a:accent4>
      <a:srgbClr val="F75090"/>
    </a:accent4>
    <a:accent5>
      <a:srgbClr val="FF920C"/>
    </a:accent5>
    <a:accent6>
      <a:srgbClr val="ABD500"/>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彩色2">
    <a:dk1>
      <a:srgbClr val="000000"/>
    </a:dk1>
    <a:lt1>
      <a:srgbClr val="FFFFFF"/>
    </a:lt1>
    <a:dk2>
      <a:srgbClr val="44546A"/>
    </a:dk2>
    <a:lt2>
      <a:srgbClr val="E7E6E6"/>
    </a:lt2>
    <a:accent1>
      <a:srgbClr val="FF5958"/>
    </a:accent1>
    <a:accent2>
      <a:srgbClr val="FABB00"/>
    </a:accent2>
    <a:accent3>
      <a:srgbClr val="AC68FB"/>
    </a:accent3>
    <a:accent4>
      <a:srgbClr val="F75090"/>
    </a:accent4>
    <a:accent5>
      <a:srgbClr val="FF920C"/>
    </a:accent5>
    <a:accent6>
      <a:srgbClr val="ABD500"/>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10978028-7d48-4c3f-928f-909b9c58444a</errorID>
      <errorWord>法律、法规</errorWord>
      <group>L1_Word</group>
      <groupName>字词问题</groupName>
      <ability>L2_Typo</ability>
      <abilityName>字词错误</abilityName>
      <candidateList>
        <item>法律法规</item>
      </candidateList>
      <explain/>
      <paraID>1B3AD8C6</paraID>
      <start>15</start>
      <end>19</end>
      <status>modified</status>
      <modifiedWord>法律法规</modifiedWord>
      <trackRevisions>false</trackRevisions>
    </reviewItem>
    <reviewItem>
      <errorID>e3f56b4d-755c-4a98-8f0d-5a5e6678235b</errorID>
      <errorWord>县委、政府</errorWord>
      <group>L1_Political</group>
      <groupName>政治性问题</groupName>
      <ability>L2_Unpolitical</ability>
      <abilityName>政治敏感错误</abilityName>
      <candidateList>
        <item>县委、县政府</item>
      </candidateList>
      <explain/>
      <paraID>370D66A3</paraID>
      <start>25</start>
      <end>31</end>
      <status>modified</status>
      <modifiedWord>县委、县政府</modifiedWord>
      <trackRevisions>false</trackRevisions>
    </reviewItem>
    <reviewItem>
      <errorID>e5dbbc8a-2fa6-464e-99d8-722c58ed31d0</errorID>
      <errorWord>其它</errorWord>
      <group>L1_Word</group>
      <groupName>字词问题</groupName>
      <ability>L2_Typo</ability>
      <abilityName>字词错误</abilityName>
      <candidateList>
        <item>其他</item>
      </candidateList>
      <explain>〈代〉指示代词。别的：今天的文娱晚会，除了京剧、曲艺以外，还有～精彩节目。</explain>
      <paraID>3397B5B7</paraID>
      <start>14</start>
      <end>16</end>
      <status>modified</status>
      <modifiedWord>其他</modifiedWord>
      <trackRevisions>false</trackRevisions>
    </reviewItem>
    <reviewItem>
      <errorID>e4938c4e-2c6b-423d-a2fb-b35e38ccd5a9</errorID>
      <errorWord>:</errorWord>
      <group>L1_Format</group>
      <groupName>格式问题</groupName>
      <ability>L2_HalfPunc</ability>
      <abilityName>全半角检查</abilityName>
      <candidateList>
        <item>：</item>
      </candidateList>
      <explain>文本全半角错误。</explain>
      <paraID>767A1EAA</paraID>
      <start>35</start>
      <end>36</end>
      <status>modified</status>
      <modifiedWord>：</modifiedWord>
      <trackRevisions>false</trackRevisions>
    </reviewItem>
    <reviewItem>
      <errorID>073caf95-e446-4c86-8d07-31f1f3f75687</errorID>
      <errorWord>支出支出</errorWord>
      <group>L1_Word</group>
      <groupName>字词问题</groupName>
      <ability>L2_Typo</ability>
      <abilityName>字词错误</abilityName>
      <candidateList>
        <item>支出</item>
      </candidateList>
      <explain>❶〈动〉付出去；支付。❷〈名〉支付的款项：尽量控制非生产性的～。</explain>
      <paraID>767A1EAA</paraID>
      <start>85</start>
      <end>87</end>
      <status>modified</status>
      <modifiedWord>支出</modifiedWord>
      <trackRevisions>false</trackRevisions>
    </reviewItem>
    <reviewItem>
      <errorID>41f4ff45-088c-4437-b992-bc61bc56b055</errorID>
      <errorWord>:</errorWord>
      <group>L1_Format</group>
      <groupName>格式问题</groupName>
      <ability>L2_HalfPunc</ability>
      <abilityName>全半角检查</abilityName>
      <candidateList>
        <item>：</item>
      </candidateList>
      <explain>文本全半角错误。</explain>
      <paraID>7114D582</paraID>
      <start>42</start>
      <end>43</end>
      <status>modified</status>
      <modifiedWord>：</modifiedWord>
      <trackRevisions>false</trackRevisions>
    </reviewItem>
    <reviewItem>
      <errorID>ea142b38-272b-4c51-90a2-e59ac6a5a6f0</errorID>
      <errorWord>:</errorWord>
      <group>L1_Format</group>
      <groupName>格式问题</groupName>
      <ability>L2_HalfPunc</ability>
      <abilityName>全半角检查</abilityName>
      <candidateList>
        <item>：</item>
      </candidateList>
      <explain>文本全半角错误。</explain>
      <paraID>458FD158</paraID>
      <start>42</start>
      <end>43</end>
      <status>modified</status>
      <modifiedWord>：</modifiedWord>
      <trackRevisions>false</trackRevisions>
    </reviewItem>
    <reviewItem>
      <errorID>fca56abb-301f-427a-ad97-23e8fe749361</errorID>
      <errorWord>:</errorWord>
      <group>L1_Format</group>
      <groupName>格式问题</groupName>
      <ability>L2_HalfPunc</ability>
      <abilityName>全半角检查</abilityName>
      <candidateList>
        <item>：</item>
      </candidateList>
      <explain>文本全半角错误。</explain>
      <paraID>73FDADD8</paraID>
      <start>47</start>
      <end>48</end>
      <status>modified</status>
      <modifiedWord>：</modifiedWord>
      <trackRevisions>false</trackRevisions>
    </reviewItem>
    <reviewItem>
      <errorID>06114509-9b44-4497-95d4-280c52921f07</errorID>
      <errorWord>:</errorWord>
      <group>L1_Format</group>
      <groupName>格式问题</groupName>
      <ability>L2_HalfPunc</ability>
      <abilityName>全半角检查</abilityName>
      <candidateList>
        <item>：</item>
      </candidateList>
      <explain>文本全半角错误。</explain>
      <paraID>1F825DE3</paraID>
      <start>25</start>
      <end>26</end>
      <status>modified</status>
      <modifiedWord>：</modifiedWord>
      <trackRevisions>false</trackRevisions>
    </reviewItem>
    <reviewItem>
      <errorID>c3fef06e-06ba-463a-8d9b-abbd5a21cddc</errorID>
      <errorWord>:</errorWord>
      <group>L1_Format</group>
      <groupName>格式问题</groupName>
      <ability>L2_HalfPunc</ability>
      <abilityName>全半角检查</abilityName>
      <candidateList>
        <item>：</item>
      </candidateList>
      <explain>文本全半角错误。</explain>
      <paraID>303705B8</paraID>
      <start>22</start>
      <end>23</end>
      <status>modified</status>
      <modifiedWord>：</modifiedWord>
      <trackRevisions>false</trackRevisions>
    </reviewItem>
    <reviewItem>
      <errorID>f12b6188-caf2-4baa-9a8c-c1502446f26d</errorID>
      <errorWord>:</errorWord>
      <group>L1_Format</group>
      <groupName>格式问题</groupName>
      <ability>L2_HalfPunc</ability>
      <abilityName>全半角检查</abilityName>
      <candidateList>
        <item>：</item>
      </candidateList>
      <explain>文本全半角错误。</explain>
      <paraID>111529AA</paraID>
      <start>26</start>
      <end>27</end>
      <status>modified</status>
      <modifiedWord>：</modifiedWord>
      <trackRevisions>false</trackRevisions>
    </reviewItem>
    <reviewItem>
      <errorID>591a513b-5d59-4676-9853-a906aa1eab2d</errorID>
      <errorWord>:</errorWord>
      <group>L1_Format</group>
      <groupName>格式问题</groupName>
      <ability>L2_HalfPunc</ability>
      <abilityName>全半角检查</abilityName>
      <candidateList>
        <item>：</item>
      </candidateList>
      <explain>文本全半角错误。</explain>
      <paraID>58E3F02A</paraID>
      <start>24</start>
      <end>25</end>
      <status>modified</status>
      <modifiedWord>：</modifiedWord>
      <trackRevisions>false</trackRevisions>
    </reviewItem>
    <reviewItem>
      <errorID>7e5bfa65-f5f7-4437-af00-527114872827</errorID>
      <errorWord>:</errorWord>
      <group>L1_Format</group>
      <groupName>格式问题</groupName>
      <ability>L2_HalfPunc</ability>
      <abilityName>全半角检查</abilityName>
      <candidateList>
        <item>：</item>
      </candidateList>
      <explain>文本全半角错误。</explain>
      <paraID>77506FA0</paraID>
      <start>40</start>
      <end>41</end>
      <status>modified</status>
      <modifiedWord>：</modifiedWord>
      <trackRevisions>false</trackRevisions>
    </reviewItem>
    <reviewItem>
      <errorID>d3312fae-daac-469a-aad3-5f320e1f1998</errorID>
      <errorWord>:</errorWord>
      <group>L1_Format</group>
      <groupName>格式问题</groupName>
      <ability>L2_HalfPunc</ability>
      <abilityName>全半角检查</abilityName>
      <candidateList>
        <item>：</item>
      </candidateList>
      <explain>文本全半角错误。</explain>
      <paraID> F40C78B</paraID>
      <start>28</start>
      <end>29</end>
      <status>modified</status>
      <modifiedWord>：</modifiedWord>
      <trackRevisions>false</trackRevisions>
    </reviewItem>
    <reviewItem>
      <errorID>43283dd2-2231-4162-9ffe-972cab7e3700</errorID>
      <errorWord>,</errorWord>
      <group>L1_Format</group>
      <groupName>格式问题</groupName>
      <ability>L2_HalfPunc</ability>
      <abilityName>全半角检查</abilityName>
      <candidateList>
        <item>，</item>
      </candidateList>
      <explain>文本全半角错误。</explain>
      <paraID>15024F6D</paraID>
      <start>19</start>
      <end>20</end>
      <status>modified</status>
      <modifiedWord>，</modifiedWord>
      <trackRevisions>false</trackRevisions>
    </reviewItem>
    <reviewItem>
      <errorID>4414f3b6-7371-4720-b7a2-9e6cfb3c7655</errorID>
      <errorWord>调</errorWord>
      <group>L1_Word</group>
      <groupName>字词问题</groupName>
      <ability>L2_Typo</ability>
      <abilityName>字词错误</abilityName>
      <candidateList>
        <item>调到</item>
      </candidateList>
      <explain/>
      <paraID>568B5C61</paraID>
      <start>74</start>
      <end>76</end>
      <status>modified</status>
      <modifiedWord>调到</modifiedWord>
      <trackRevisions>false</trackRevisions>
    </reviewItem>
    <reviewItem>
      <errorID>3a815005-a29a-4ffd-ba45-50080e18766d</errorID>
      <errorWord>【2023】144号</errorWord>
      <group>L1_Knowledge</group>
      <groupName>知识性问题</groupName>
      <ability>L2_Knowledge</ability>
      <abilityName>其他知识</abilityName>
      <candidateList>
        <item>〔2023〕144号</item>
      </candidateList>
      <explain>发文字号格式错误。</explain>
      <paraID>5CE2C4B0</paraID>
      <start>31</start>
      <end>41</end>
      <status>modified</status>
      <modifiedWord>〔2023〕144号</modifiedWord>
      <trackRevisions>false</trackRevisions>
    </reviewItem>
    <reviewItem>
      <errorID>002f125d-5292-4486-b385-4cff167b49f1</errorID>
      <errorWord>【2023】144号</errorWord>
      <group>L1_Knowledge</group>
      <groupName>知识性问题</groupName>
      <ability>L2_Knowledge</ability>
      <abilityName>其他知识</abilityName>
      <candidateList>
        <item>〔2023〕144号</item>
      </candidateList>
      <explain>发文字号格式错误。</explain>
      <paraID>5CE2C4B0</paraID>
      <start>87</start>
      <end>97</end>
      <status>modified</status>
      <modifiedWord>〔2023〕144号</modifiedWord>
      <trackRevisions>false</trackRevisions>
    </reviewItem>
    <reviewItem>
      <errorID>1bd3459d-36e8-4596-83b7-c24561723a7f</errorID>
      <errorWord>【2023】144号</errorWord>
      <group>L1_Knowledge</group>
      <groupName>知识性问题</groupName>
      <ability>L2_Knowledge</ability>
      <abilityName>其他知识</abilityName>
      <candidateList>
        <item>〔2023〕144号</item>
      </candidateList>
      <explain>发文字号格式错误。</explain>
      <paraID>5CE2C4B0</paraID>
      <start>143</start>
      <end>153</end>
      <status>modified</status>
      <modifiedWord>〔2023〕144号</modifiedWord>
      <trackRevisions>false</trackRevisions>
    </reviewItem>
    <reviewItem>
      <errorID>5aff1544-2443-4040-931f-cb8daab55a72</errorID>
      <errorWord>【2023】144号</errorWord>
      <group>L1_Knowledge</group>
      <groupName>知识性问题</groupName>
      <ability>L2_Knowledge</ability>
      <abilityName>其他知识</abilityName>
      <candidateList>
        <item>〔2023〕144号</item>
      </candidateList>
      <explain>发文字号格式错误。</explain>
      <paraID>5CE2C4B0</paraID>
      <start>198</start>
      <end>208</end>
      <status>modified</status>
      <modifiedWord>〔2023〕144号</modifiedWord>
      <trackRevisions>false</trackRevisions>
    </reviewItem>
    <reviewItem>
      <errorID>47e6421d-697c-44f1-9967-9038129afcbf</errorID>
      <errorWord>【2023】145号</errorWord>
      <group>L1_Knowledge</group>
      <groupName>知识性问题</groupName>
      <ability>L2_Knowledge</ability>
      <abilityName>其他知识</abilityName>
      <candidateList>
        <item>〔2023〕145号</item>
      </candidateList>
      <explain>发文字号格式错误。</explain>
      <paraID>5CE2C4B0</paraID>
      <start>253</start>
      <end>263</end>
      <status>modified</status>
      <modifiedWord>〔2023〕145号</modifiedWord>
      <trackRevisions>false</trackRevisions>
    </reviewItem>
    <reviewItem>
      <errorID>26194b03-4315-4cf2-8552-0f2710129ffb</errorID>
      <errorWord>【2023】145号</errorWord>
      <group>L1_Knowledge</group>
      <groupName>知识性问题</groupName>
      <ability>L2_Knowledge</ability>
      <abilityName>其他知识</abilityName>
      <candidateList>
        <item>〔2023〕145号</item>
      </candidateList>
      <explain>发文字号格式错误。</explain>
      <paraID>5CE2C4B0</paraID>
      <start>309</start>
      <end>319</end>
      <status>modified</status>
      <modifiedWord>〔2023〕145号</modifiedWord>
      <trackRevisions>false</trackRevisions>
    </reviewItem>
    <reviewItem>
      <errorID>5403e969-ed97-460f-a38b-202dcbcd32fa</errorID>
      <errorWord>:</errorWord>
      <group>L1_Format</group>
      <groupName>格式问题</groupName>
      <ability>L2_HalfPunc</ability>
      <abilityName>全半角检查</abilityName>
      <candidateList>
        <item>：</item>
      </candidateList>
      <explain>文本全半角错误。</explain>
      <paraID>2E552241</paraID>
      <start>42</start>
      <end>43</end>
      <status>modified</status>
      <modifiedWord>：</modifiedWord>
      <trackRevisions>false</trackRevisions>
    </reviewItem>
    <reviewItem>
      <errorID>e14a5aa5-4b19-45a4-a568-e872d6cd2b93</errorID>
      <errorWord>:</errorWord>
      <group>L1_Format</group>
      <groupName>格式问题</groupName>
      <ability>L2_HalfPunc</ability>
      <abilityName>全半角检查</abilityName>
      <candidateList>
        <item>：</item>
      </candidateList>
      <explain>文本全半角错误。</explain>
      <paraID> CFFDE4E</paraID>
      <start>42</start>
      <end>43</end>
      <status>modified</status>
      <modifiedWord>：</modifiedWord>
      <trackRevisions>false</trackRevisions>
    </reviewItem>
    <reviewItem>
      <errorID>44126467-06ea-4d84-a59b-ed9c13d57966</errorID>
      <errorWord>:</errorWord>
      <group>L1_Format</group>
      <groupName>格式问题</groupName>
      <ability>L2_HalfPunc</ability>
      <abilityName>全半角检查</abilityName>
      <candidateList>
        <item>：</item>
      </candidateList>
      <explain>文本全半角错误。</explain>
      <paraID> C77C841</paraID>
      <start>47</start>
      <end>48</end>
      <status>modified</status>
      <modifiedWord>：</modifiedWord>
      <trackRevisions>false</trackRevisions>
    </reviewItem>
    <reviewItem>
      <errorID>6e6f4125-06c8-45e8-ac08-e6465878a128</errorID>
      <errorWord>:</errorWord>
      <group>L1_Format</group>
      <groupName>格式问题</groupName>
      <ability>L2_HalfPunc</ability>
      <abilityName>全半角检查</abilityName>
      <candidateList>
        <item>：</item>
      </candidateList>
      <explain>文本全半角错误。</explain>
      <paraID>3413053A</paraID>
      <start>23</start>
      <end>24</end>
      <status>modified</status>
      <modifiedWord>：</modifiedWord>
      <trackRevisions>false</trackRevisions>
    </reviewItem>
    <reviewItem>
      <errorID>cd9137b2-c9aa-4574-bb4a-e3920c1ebca2</errorID>
      <errorWord>:</errorWord>
      <group>L1_Format</group>
      <groupName>格式问题</groupName>
      <ability>L2_HalfPunc</ability>
      <abilityName>全半角检查</abilityName>
      <candidateList>
        <item>：</item>
      </candidateList>
      <explain>文本全半角错误。</explain>
      <paraID>745BF8FD</paraID>
      <start>28</start>
      <end>29</end>
      <status>modified</status>
      <modifiedWord>：</modifiedWord>
      <trackRevisions>false</trackRevisions>
    </reviewItem>
    <reviewItem>
      <errorID>d2d0a66a-5ad1-440a-8df6-7db259d4d114</errorID>
      <errorWord>:</errorWord>
      <group>L1_Format</group>
      <groupName>格式问题</groupName>
      <ability>L2_HalfPunc</ability>
      <abilityName>全半角检查</abilityName>
      <candidateList>
        <item>：</item>
      </candidateList>
      <explain>文本全半角错误。</explain>
      <paraID>771B9F29</paraID>
      <start>29</start>
      <end>30</end>
      <status>modified</status>
      <modifiedWord>：</modifiedWord>
      <trackRevisions>false</trackRevisions>
    </reviewItem>
    <reviewItem>
      <errorID>ef387706-d2c6-49ae-ba9f-607f2a380bde</errorID>
      <errorWord>:</errorWord>
      <group>L1_Format</group>
      <groupName>格式问题</groupName>
      <ability>L2_HalfPunc</ability>
      <abilityName>全半角检查</abilityName>
      <candidateList>
        <item>：</item>
      </candidateList>
      <explain>文本全半角错误。</explain>
      <paraID>4BFAE245</paraID>
      <start>23</start>
      <end>24</end>
      <status>modified</status>
      <modifiedWord>：</modifiedWord>
      <trackRevisions>false</trackRevisions>
    </reviewItem>
    <reviewItem>
      <errorID>4332a10d-64e2-4439-b4f7-75d4521eec54</errorID>
      <errorWord>:</errorWord>
      <group>L1_Format</group>
      <groupName>格式问题</groupName>
      <ability>L2_HalfPunc</ability>
      <abilityName>全半角检查</abilityName>
      <candidateList>
        <item>：</item>
      </candidateList>
      <explain>文本全半角错误。</explain>
      <paraID>1BA05E8C</paraID>
      <start>27</start>
      <end>28</end>
      <status>modified</status>
      <modifiedWord>：</modifiedWord>
      <trackRevisions>false</trackRevisions>
    </reviewItem>
    <reviewItem>
      <errorID>4228f8d8-f68a-45fc-bbed-0cece1b2e2c4</errorID>
      <errorWord>:</errorWord>
      <group>L1_Format</group>
      <groupName>格式问题</groupName>
      <ability>L2_HalfPunc</ability>
      <abilityName>全半角检查</abilityName>
      <candidateList>
        <item>：</item>
      </candidateList>
      <explain>文本全半角错误。</explain>
      <paraID>3FB965D3</paraID>
      <start>25</start>
      <end>26</end>
      <status>modified</status>
      <modifiedWord>：</modifiedWord>
      <trackRevisions>false</trackRevisions>
    </reviewItem>
    <reviewItem>
      <errorID>2b33b78b-ee24-4a4c-b472-af02b6b0f488</errorID>
      <errorWord>:</errorWord>
      <group>L1_Format</group>
      <groupName>格式问题</groupName>
      <ability>L2_HalfPunc</ability>
      <abilityName>全半角检查</abilityName>
      <candidateList>
        <item>：</item>
      </candidateList>
      <explain>文本全半角错误。</explain>
      <paraID>4DB87AEE</paraID>
      <start>23</start>
      <end>24</end>
      <status>modified</status>
      <modifiedWord>：</modifiedWord>
      <trackRevisions>false</trackRevisions>
    </reviewItem>
    <reviewItem>
      <errorID>727ae0e9-a910-41ad-acdb-619be2bd8c15</errorID>
      <errorWord>:</errorWord>
      <group>L1_Format</group>
      <groupName>格式问题</groupName>
      <ability>L2_HalfPunc</ability>
      <abilityName>全半角检查</abilityName>
      <candidateList>
        <item>：</item>
      </candidateList>
      <explain>文本全半角错误。</explain>
      <paraID>4ADCC72F</paraID>
      <start>23</start>
      <end>24</end>
      <status>modified</status>
      <modifiedWord>：</modifiedWord>
      <trackRevisions>false</trackRevisions>
    </reviewItem>
    <reviewItem>
      <errorID>b34e30a0-1b5c-4bb1-b201-8bd713f89b43</errorID>
      <errorWord>:</errorWord>
      <group>L1_Format</group>
      <groupName>格式问题</groupName>
      <ability>L2_HalfPunc</ability>
      <abilityName>全半角检查</abilityName>
      <candidateList>
        <item>：</item>
      </candidateList>
      <explain>文本全半角错误。</explain>
      <paraID>1C367A20</paraID>
      <start>21</start>
      <end>22</end>
      <status>modified</status>
      <modifiedWord>：</modifiedWord>
      <trackRevisions>false</trackRevisions>
    </reviewItem>
    <reviewItem>
      <errorID>6fc708ce-ca59-41b3-9d69-85a5c7f4eecf</errorID>
      <errorWord>。、</errorWord>
      <group>L1_Punc</group>
      <groupName>标点问题</groupName>
      <ability>L2_Punc</ability>
      <abilityName>标点符号检查</abilityName>
      <candidateList>
        <item>。</item>
      </candidateList>
      <explain/>
      <paraID>1C367A20</paraID>
      <start>181</start>
      <end>182</end>
      <status>modified</status>
      <modifiedWord>。</modifiedWord>
      <trackRevisions>false</trackRevisions>
    </reviewItem>
    <reviewItem>
      <errorID>bbdf49ea-496c-42d1-b9b8-5f8c534c46fa</errorID>
      <errorWord>:</errorWord>
      <group>L1_Format</group>
      <groupName>格式问题</groupName>
      <ability>L2_HalfPunc</ability>
      <abilityName>全半角检查</abilityName>
      <candidateList>
        <item>：</item>
      </candidateList>
      <explain>文本全半角错误。</explain>
      <paraID>4FD4907C</paraID>
      <start>21</start>
      <end>22</end>
      <status>modified</status>
      <modifiedWord>：</modifiedWord>
      <trackRevisions>false</trackRevisions>
    </reviewItem>
    <reviewItem>
      <errorID>1bca34d4-1c3b-4bfa-b6c2-eff0dfb7564f</errorID>
      <errorWord>:</errorWord>
      <group>L1_Format</group>
      <groupName>格式问题</groupName>
      <ability>L2_HalfPunc</ability>
      <abilityName>全半角检查</abilityName>
      <candidateList>
        <item>：</item>
      </candidateList>
      <explain>文本全半角错误。</explain>
      <paraID> 81A36B3</paraID>
      <start>34</start>
      <end>35</end>
      <status>modified</status>
      <modifiedWord>：</modifiedWord>
      <trackRevisions>false</trackRevisions>
    </reviewItem>
    <reviewItem>
      <errorID>dd74424e-e2b9-4f75-af7e-165cb87b504c</errorID>
      <errorWord>:</errorWord>
      <group>L1_Format</group>
      <groupName>格式问题</groupName>
      <ability>L2_HalfPunc</ability>
      <abilityName>全半角检查</abilityName>
      <candidateList>
        <item>：</item>
      </candidateList>
      <explain>文本全半角错误。</explain>
      <paraID>57D89422</paraID>
      <start>25</start>
      <end>26</end>
      <status>modified</status>
      <modifiedWord>：</modifiedWord>
      <trackRevisions>false</trackRevisions>
    </reviewItem>
    <reviewItem>
      <errorID>8b581df8-00ba-4d66-905c-f33e007f10a2</errorID>
      <errorWord>:</errorWord>
      <group>L1_Format</group>
      <groupName>格式问题</groupName>
      <ability>L2_HalfPunc</ability>
      <abilityName>全半角检查</abilityName>
      <candidateList>
        <item>：</item>
      </candidateList>
      <explain>文本全半角错误。</explain>
      <paraID>7BF61B66</paraID>
      <start>25</start>
      <end>26</end>
      <status>modified</status>
      <modifiedWord>：</modifiedWord>
      <trackRevisions>false</trackRevisions>
    </reviewItem>
    <reviewItem>
      <errorID>0031f942-b42c-406a-8f1f-c6e4fac40c01</errorID>
      <errorWord>:</errorWord>
      <group>L1_Format</group>
      <groupName>格式问题</groupName>
      <ability>L2_HalfPunc</ability>
      <abilityName>全半角检查</abilityName>
      <candidateList>
        <item>：</item>
      </candidateList>
      <explain>文本全半角错误。</explain>
      <paraID>2F32F1F7</paraID>
      <start>41</start>
      <end>42</end>
      <status>modified</status>
      <modifiedWord>：</modifiedWord>
      <trackRevisions>false</trackRevisions>
    </reviewItem>
    <reviewItem>
      <errorID>96ed7e61-725c-4459-a7c0-2bb293d5958a</errorID>
      <errorWord>巩固脱贫攻坚成果同乡村振兴有效衔接</errorWord>
      <group>L1_Political</group>
      <groupName>政治性问题</groupName>
      <ability>L2_Keyword</ability>
      <abilityName>固定表述</abilityName>
      <candidateList>
        <item>巩固拓展脱贫攻坚成果同乡村振兴有效衔接</item>
      </candidateList>
      <explain>词汇“巩固拓展脱贫攻坚成果同乡村振兴有效衔接”在特定场景下为固定表述形式，请确认此处的“巩固脱贫攻坚成果同乡村振兴有效衔接”是否存在不当。</explain>
      <paraID>2F32F1F7</paraID>
      <start>48</start>
      <end>67</end>
      <status>modified</status>
      <modifiedWord>巩固拓展脱贫攻坚成果同乡村振兴有效衔接</modifiedWord>
      <trackRevisions>false</trackRevisions>
    </reviewItem>
    <reviewItem>
      <errorID>1192e25e-82e9-4482-a234-7c63d71b1344</errorID>
      <errorWord>:</errorWord>
      <group>L1_Format</group>
      <groupName>格式问题</groupName>
      <ability>L2_HalfPunc</ability>
      <abilityName>全半角检查</abilityName>
      <candidateList>
        <item>：</item>
      </candidateList>
      <explain>文本全半角错误。</explain>
      <paraID>28C82CA7</paraID>
      <start>29</start>
      <end>30</end>
      <status>modified</status>
      <modifiedWord>：</modifiedWord>
      <trackRevisions>false</trackRevisions>
    </reviewItem>
    <reviewItem>
      <errorID>02f61ce5-ac6a-45f7-80c1-2c5991fd880c</errorID>
      <errorWord>法律、法规</errorWord>
      <group>L1_Word</group>
      <groupName>字词问题</groupName>
      <ability>L2_Typo</ability>
      <abilityName>字词错误</abilityName>
      <candidateList>
        <item>法律法规</item>
      </candidateList>
      <explain/>
      <paraID>68A244D3</paraID>
      <start>15</start>
      <end>19</end>
      <status>modified</status>
      <modifiedWord>法律法规</modifiedWord>
      <trackRevisions>false</trackRevisions>
    </reviewItem>
    <reviewItem>
      <errorID>2aa6e217-591c-482b-abba-a35346022836</errorID>
      <errorWord>县委、政府</errorWord>
      <group>L1_Political</group>
      <groupName>政治性问题</groupName>
      <ability>L2_Unpolitical</ability>
      <abilityName>政治敏感错误</abilityName>
      <candidateList>
        <item>县委、县政府</item>
      </candidateList>
      <explain/>
      <paraID> F7D9ABC</paraID>
      <start>25</start>
      <end>31</end>
      <status>modified</status>
      <modifiedWord>县委、县政府</modifiedWord>
      <trackRevisions>false</trackRevisions>
    </reviewItem>
    <reviewItem>
      <errorID>3f568b63-0434-4825-9f8a-2ca04ef9b877</errorID>
      <errorWord>其它</errorWord>
      <group>L1_Word</group>
      <groupName>字词问题</groupName>
      <ability>L2_Typo</ability>
      <abilityName>字词错误</abilityName>
      <candidateList>
        <item>其他</item>
      </candidateList>
      <explain>〈代〉指示代词。别的：今天的文娱晚会，除了京剧、曲艺以外，还有～精彩节目。</explain>
      <paraID>5745ACAF</paraID>
      <start>14</start>
      <end>16</end>
      <status>modified</status>
      <modifiedWord>其他</modifiedWord>
      <trackRevisions>false</trackRevisions>
    </reviewItem>
    <reviewItem>
      <errorID>863c2e1a-042f-4fa5-ae44-43cbade02d8b</errorID>
      <errorWord>截止</errorWord>
      <group>L1_Word</group>
      <groupName>字词问题</groupName>
      <ability>L2_Typo</ability>
      <abilityName>字词错误</abilityName>
      <candidateList>
        <item>截至</item>
      </candidateList>
      <explain>存在发音相同字词的误用。</explain>
      <paraID>787342B9</paraID>
      <start>46</start>
      <end>48</end>
      <status>modified</status>
      <modifiedWord>截至</modifiedWord>
      <trackRevisions>false</trackRevisions>
    </reviewItem>
    <reviewItem>
      <errorID>390e7f2a-8649-402e-9eb7-3469cd8e985f</errorID>
      <errorWord>,</errorWord>
      <group>L1_Format</group>
      <groupName>格式问题</groupName>
      <ability>L2_HalfPunc</ability>
      <abilityName>全半角检查</abilityName>
      <candidateList>
        <item>，</item>
      </candidateList>
      <explain>文本全半角错误。</explain>
      <paraID>787342B9</paraID>
      <start>116</start>
      <end>117</end>
      <status>modified</status>
      <modifiedWord>，</modifiedWord>
      <trackRevisions>false</trackRevisions>
    </reviewItem>
    <reviewItem>
      <errorID>66adb3ae-63f7-42b9-8624-7add8c5c45e8</errorID>
      <errorWord>并启</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755FAD0D</paraID>
      <start>33</start>
      <end>34</end>
      <status>modified</status>
      <modifiedWord>并</modifiedWord>
      <trackRevisions>false</trackRevisions>
    </reviewItem>
    <reviewItem>
      <errorID>e85b6106-7a53-4a41-b646-bdb267acce87</errorID>
      <errorWord>政</errorWord>
      <group>L1_Word</group>
      <groupName>字词问题</groupName>
      <ability>L2_Typo</ability>
      <abilityName>字词错误</abilityName>
      <candidateList>
        <item>政局</item>
      </candidateList>
      <explain/>
      <paraID>62CFDF7D</paraID>
      <start>117</start>
      <end>119</end>
      <status>modified</status>
      <modifiedWord>政局</modifiedWord>
      <trackRevisions>false</trackRevisions>
    </reviewItem>
    <reviewItem>
      <errorID>0ecd1ca3-175e-4667-9a1a-996e42d8edb6</errorID>
      <errorWord>网</errorWord>
      <group>L1_Word</group>
      <groupName>字词问题</groupName>
      <ability>L2_Typo</ability>
      <abilityName>字词错误</abilityName>
      <candidateList>
        <item>网站</item>
      </candidateList>
      <explain/>
      <paraID>62CFDF7D</paraID>
      <start>126</start>
      <end>128</end>
      <status>modified</status>
      <modifiedWord>网站</modifiedWord>
      <trackRevisions>false</trackRevisions>
    </reviewItem>
    <reviewItem>
      <errorID>bb70c496-6d87-4b43-a2d2-0f37a47d73aa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5B2D9442</paraID>
      <start>24</start>
      <end>25</end>
      <status>modified</status>
      <modifiedWord>—</modifiedWord>
      <trackRevisions>false</trackRevisions>
    </reviewItem>
    <reviewItem>
      <errorID>370b207b-526b-43a9-86ca-a169b459e13a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5B2D9442</paraID>
      <start>36</start>
      <end>37</end>
      <status>modified</status>
      <modifiedWord>—</modifiedWord>
      <trackRevisions>false</trackRevisions>
    </reviewItem>
    <reviewItem>
      <errorID>ec8ef6f9-703f-498b-aed9-611db8c8e5ab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5B2D9442</paraID>
      <start>46</start>
      <end>47</end>
      <status>modified</status>
      <modifiedWord>—</modifiedWord>
      <trackRevisions>false</trackRevisions>
    </reviewItem>
    <reviewItem>
      <errorID>bd71fe4b-0d4a-46ff-9f38-4c9c7caefafd</errorID>
      <errorWord>【2024】71号</errorWord>
      <group>L1_Knowledge</group>
      <groupName>知识性问题</groupName>
      <ability>L2_Knowledge</ability>
      <abilityName>其他知识</abilityName>
      <candidateList>
        <item>〔2024〕71号</item>
      </candidateList>
      <explain>发文字号格式错误。</explain>
      <paraID>5B2D9442</paraID>
      <start>67</start>
      <end>76</end>
      <status>modified</status>
      <modifiedWord>〔2024〕71号</modifiedWord>
      <trackRevisions>false</trackRevisions>
    </reviewItem>
    <reviewItem>
      <errorID>a2bff856-e7bc-4464-91dd-b105577a0850</errorID>
      <errorWord>)</errorWord>
      <group>L1_Format</group>
      <groupName>格式问题</groupName>
      <ability>L2_HalfPunc</ability>
      <abilityName>全半角检查</abilityName>
      <candidateList>
        <item>）</item>
      </candidateList>
      <explain>文本全半角错误。</explain>
      <paraID>5B2D9442</paraID>
      <start>76</start>
      <end>77</end>
      <status>modified</status>
      <modifiedWord>）</modifiedWord>
      <trackRevisions>false</trackRevisions>
    </reviewItem>
    <reviewItem>
      <errorID>fcd94304-bdae-4aa8-8957-6ee892cd7134</errorID>
      <errorWord>【2023】145号</errorWord>
      <group>L1_Knowledge</group>
      <groupName>知识性问题</groupName>
      <ability>L2_Knowledge</ability>
      <abilityName>其他知识</abilityName>
      <candidateList>
        <item>〔2023〕145号</item>
      </candidateList>
      <explain>发文字号格式错误。</explain>
      <paraID>2732AE48</paraID>
      <start>3</start>
      <end>13</end>
      <status>modified</status>
      <modifiedWord>〔2023〕145号</modifiedWord>
      <trackRevisions>false</trackRevisions>
    </reviewItem>
    <reviewItem>
      <errorID>c30ed155-4a8b-400c-8bce-4cee0c27aec3</errorID>
      <errorWord>-</errorWord>
      <group>L1_Format</group>
      <groupName>格式问题</groupName>
      <ability>L2_HalfPunc</ability>
      <abilityName>全半角检查</abilityName>
      <candidateList>
        <item>－</item>
      </candidateList>
      <explain>文本全半角错误。</explain>
      <paraID>2732AE48</paraID>
      <start>13</start>
      <end>14</end>
      <status>modified</status>
      <modifiedWord>－</modifiedWord>
      <trackRevisions>false</trackRevisions>
    </reviewItem>
    <reviewItem>
      <errorID>a13c52d4-e857-4666-bfd9-3dfbff235f8a</errorID>
      <errorWord>万</errorWord>
      <group>L1_Word</group>
      <groupName>字词问题</groupName>
      <ability>L2_Typo</ability>
      <abilityName>字词错误</abilityName>
      <candidateList>
        <item>万元</item>
      </candidateList>
      <explain/>
      <paraID>2732AE48</paraID>
      <start>61</start>
      <end>63</end>
      <status>modified</status>
      <modifiedWord>万元</modifiedWord>
      <trackRevisions>false</trackRevisions>
    </reviewItem>
    <reviewItem>
      <errorID>d2317a75-6a68-44a8-b489-147a0c01a1b0</errorID>
      <errorWord>【2023】145号</errorWord>
      <group>L1_Knowledge</group>
      <groupName>知识性问题</groupName>
      <ability>L2_Knowledge</ability>
      <abilityName>其他知识</abilityName>
      <candidateList>
        <item>〔2023〕145号</item>
      </candidateList>
      <explain>发文字号格式错误。</explain>
      <paraID>16CEE0E1</paraID>
      <start>3</start>
      <end>13</end>
      <status>modified</status>
      <modifiedWord>〔2023〕145号</modifiedWord>
      <trackRevisions>false</trackRevisions>
    </reviewItem>
    <reviewItem>
      <errorID>fb4f3836-3e61-4617-a023-b76832ab5a80</errorID>
      <errorWord>-</errorWord>
      <group>L1_Format</group>
      <groupName>格式问题</groupName>
      <ability>L2_HalfPunc</ability>
      <abilityName>全半角检查</abilityName>
      <candidateList>
        <item>－</item>
      </candidateList>
      <explain>文本全半角错误。</explain>
      <paraID>16CEE0E1</paraID>
      <start>13</start>
      <end>14</end>
      <status>modified</status>
      <modifiedWord>－</modifiedWord>
      <trackRevisions>false</trackRevisions>
    </reviewItem>
    <reviewItem>
      <errorID>1c1e355c-0379-411b-85ab-a9c8ca6ea013</errorID>
      <errorWord>【2023】145号</errorWord>
      <group>L1_Knowledge</group>
      <groupName>知识性问题</groupName>
      <ability>L2_Knowledge</ability>
      <abilityName>其他知识</abilityName>
      <candidateList>
        <item>〔2023〕145号</item>
      </candidateList>
      <explain>发文字号格式错误。</explain>
      <paraID> E638FE2</paraID>
      <start>3</start>
      <end>13</end>
      <status>modified</status>
      <modifiedWord>〔2023〕145号</modifiedWord>
      <trackRevisions>false</trackRevisions>
    </reviewItem>
    <reviewItem>
      <errorID>a8b25b7e-58c3-4e1f-bf38-994e6b68eb73</errorID>
      <errorWord>-</errorWord>
      <group>L1_Format</group>
      <groupName>格式问题</groupName>
      <ability>L2_HalfPunc</ability>
      <abilityName>全半角检查</abilityName>
      <candidateList>
        <item>－</item>
      </candidateList>
      <explain>文本全半角错误。</explain>
      <paraID> E638FE2</paraID>
      <start>13</start>
      <end>14</end>
      <status>modified</status>
      <modifiedWord>－</modifiedWord>
      <trackRevisions>false</trackRevisions>
    </reviewItem>
    <reviewItem>
      <errorID>ae096241-c4ec-4f0f-bf13-fac27d290f7b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2862A808</paraID>
      <start>0</start>
      <end>2</end>
      <status>modified</status>
      <modifiedWord>1.</modifiedWord>
      <trackRevisions>false</trackRevisions>
    </reviewItem>
    <reviewItem>
      <errorID>6d2136c4-1410-4bdf-abd9-286ef3b772af</errorID>
      <errorWord>截止</errorWord>
      <group>L1_Word</group>
      <groupName>字词问题</groupName>
      <ability>L2_Typo</ability>
      <abilityName>字词错误</abilityName>
      <candidateList>
        <item>截至</item>
      </candidateList>
      <explain>存在发音相同字词的误用。</explain>
      <paraID>2862A808</paraID>
      <start>10</start>
      <end>12</end>
      <status>modified</status>
      <modifiedWord>截至</modifiedWord>
      <trackRevisions>false</trackRevisions>
    </reviewItem>
    <reviewItem>
      <errorID>f3920a7f-4f19-4a5d-8f10-21aeb061e078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733B56CD</paraID>
      <start>0</start>
      <end>2</end>
      <status>modified</status>
      <modifiedWord>2.</modifiedWord>
      <trackRevisions>false</trackRevisions>
    </reviewItem>
    <reviewItem>
      <errorID>508e5040-c5d6-4384-9be4-536c9a0f2cd7</errorID>
      <errorWord>截止</errorWord>
      <group>L1_Word</group>
      <groupName>字词问题</groupName>
      <ability>L2_Typo</ability>
      <abilityName>字词错误</abilityName>
      <candidateList>
        <item>截至</item>
      </candidateList>
      <explain>存在发音相同字词的误用。</explain>
      <paraID>11056741</paraID>
      <start>0</start>
      <end>2</end>
      <status>modified</status>
      <modifiedWord>截至</modifiedWord>
      <trackRevisions>false</trackRevisions>
    </reviewItem>
    <reviewItem>
      <errorID>fe1e9773-5324-4b3e-b564-92ae4488abed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70404496</paraID>
      <start>0</start>
      <end>2</end>
      <status>modified</status>
      <modifiedWord>1.</modifiedWord>
      <trackRevisions>false</trackRevisions>
    </reviewItem>
    <reviewItem>
      <errorID>ef1ca23a-8c50-4dd9-b647-aa9c5c44228f</errorID>
      <errorWord>截止</errorWord>
      <group>L1_Word</group>
      <groupName>字词问题</groupName>
      <ability>L2_Typo</ability>
      <abilityName>字词错误</abilityName>
      <candidateList>
        <item>截至</item>
      </candidateList>
      <explain>存在发音相同字词的误用。</explain>
      <paraID>70404496</paraID>
      <start>10</start>
      <end>12</end>
      <status>modified</status>
      <modifiedWord>截至</modifiedWord>
      <trackRevisions>false</trackRevisions>
    </reviewItem>
    <reviewItem>
      <errorID>7967ef10-fbe1-4d4f-8ccc-cf0b392c48ce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7BD4ABA1</paraID>
      <start>0</start>
      <end>2</end>
      <status>modified</status>
      <modifiedWord>2.</modifiedWord>
      <trackRevisions>false</trackRevisions>
    </reviewItem>
    <reviewItem>
      <errorID>0ded2302-656c-415a-96d4-585fca26d8ba</errorID>
      <errorWord>截止</errorWord>
      <group>L1_Word</group>
      <groupName>字词问题</groupName>
      <ability>L2_Typo</ability>
      <abilityName>字词错误</abilityName>
      <candidateList>
        <item>截至</item>
      </candidateList>
      <explain>存在发音相同字词的误用。</explain>
      <paraID>46C09542</paraID>
      <start>0</start>
      <end>2</end>
      <status>modified</status>
      <modifiedWord>截至</modifiedWord>
      <trackRevisions>false</trackRevisions>
    </reviewItem>
    <reviewItem>
      <errorID>383482e9-3ea6-4004-8c18-ab99de90daab</errorID>
      <errorWord>,</errorWord>
      <group>L1_Format</group>
      <groupName>格式问题</groupName>
      <ability>L2_HalfPunc</ability>
      <abilityName>全半角检查</abilityName>
      <candidateList>
        <item>，</item>
      </candidateList>
      <explain>文本全半角错误。</explain>
      <paraID>56070F99</paraID>
      <start>21</start>
      <end>22</end>
      <status>modified</status>
      <modifiedWord>，</modifiedWord>
      <trackRevisions>false</trackRevisions>
    </reviewItem>
    <reviewItem>
      <errorID>1061f8af-a13f-43de-a89c-c0f5e0c1a38d</errorID>
      <errorWord>提高</errorWord>
      <group>L1_Word</group>
      <groupName>字词问题</groupName>
      <ability>L2_Typo</ability>
      <abilityName>字词错误</abilityName>
      <candidateList>
        <item>增强</item>
      </candidateList>
      <explain>“提高～意识”搭配不当，建议修改为“增强～意识”。</explain>
      <paraID> 3AFAED4</paraID>
      <start>4</start>
      <end>6</end>
      <status>modified</status>
      <modifiedWord>增强</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f664c6-7b8c-4143-a968-3f07a6cab63f}">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12417</Words>
  <Characters>13316</Characters>
  <Lines>0</Lines>
  <Paragraphs>0</Paragraphs>
  <TotalTime>257</TotalTime>
  <ScaleCrop>false</ScaleCrop>
  <LinksUpToDate>false</LinksUpToDate>
  <CharactersWithSpaces>13544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2023-10-13T06:26:00Z</dcterms:created>
  <dc:creator>cx</dc:creator>
  <cp:lastModifiedBy>碧云天</cp:lastModifiedBy>
  <cp:lastPrinted>2023-10-20T03:32:00Z</cp:lastPrinted>
  <dcterms:modified xsi:type="dcterms:W3CDTF">2025-11-25T05:52:56Z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EF52C4BA0BA74CECB3B4FA0B75C44F77</vt:lpwstr>
  </property>
  <property fmtid="{D5CDD505-2E9C-101B-9397-08002B2CF9AE}" pid="4" name="KSOTemplateDocerSaveRecord">
    <vt:lpwstr>eyJoZGlkIjoiNzI2ZGI0OGUzMDAzMzk0YmE1OTYyMDVlZGMwMmYyODYiLCJ1c2VySWQiOiIxMTM5NjM2MTk5In0=</vt:lpwstr>
  </property>
</Properties>
</file>