
<file path=[Content_Types].xml><?xml version="1.0" encoding="utf-8"?>
<Types xmlns="http://schemas.openxmlformats.org/package/2006/content-types">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342E3B">
      <w:pPr>
        <w:spacing w:line="600" w:lineRule="exact"/>
        <w:jc w:val="center"/>
        <w:outlineLvl w:val="9"/>
        <w:rPr>
          <w:rFonts w:ascii="方正小标宋简体" w:hAnsi="宋体" w:eastAsia="方正小标宋简体"/>
          <w:color w:val="auto"/>
          <w:sz w:val="72"/>
          <w:szCs w:val="72"/>
          <w:highlight w:val="none"/>
        </w:rPr>
      </w:pPr>
      <w:bookmarkStart w:id="0" w:name="_Toc15378441"/>
      <w:bookmarkStart w:id="1" w:name="_Toc15377193"/>
      <w:bookmarkStart w:id="2" w:name="_Toc15396475"/>
      <w:bookmarkStart w:id="3" w:name="_Toc15396597"/>
      <w:bookmarkStart w:id="4" w:name="_Toc15377425"/>
      <w:bookmarkStart w:id="5" w:name="_Toc15306267"/>
    </w:p>
    <w:p w14:paraId="566B2593">
      <w:pPr>
        <w:spacing w:line="600" w:lineRule="exact"/>
        <w:jc w:val="center"/>
        <w:outlineLvl w:val="9"/>
        <w:rPr>
          <w:rFonts w:ascii="方正小标宋简体" w:hAnsi="宋体" w:eastAsia="方正小标宋简体"/>
          <w:color w:val="auto"/>
          <w:sz w:val="72"/>
          <w:szCs w:val="72"/>
          <w:highlight w:val="none"/>
        </w:rPr>
      </w:pPr>
    </w:p>
    <w:p w14:paraId="36293246">
      <w:pPr>
        <w:spacing w:line="600" w:lineRule="exact"/>
        <w:jc w:val="center"/>
        <w:outlineLvl w:val="9"/>
        <w:rPr>
          <w:rFonts w:ascii="方正小标宋简体" w:hAnsi="宋体" w:eastAsia="方正小标宋简体"/>
          <w:color w:val="auto"/>
          <w:sz w:val="72"/>
          <w:szCs w:val="72"/>
          <w:highlight w:val="none"/>
        </w:rPr>
      </w:pPr>
    </w:p>
    <w:p w14:paraId="6DEFBE3F">
      <w:pPr>
        <w:spacing w:line="600" w:lineRule="exact"/>
        <w:jc w:val="center"/>
        <w:outlineLvl w:val="9"/>
        <w:rPr>
          <w:rFonts w:ascii="方正小标宋简体" w:hAnsi="宋体" w:eastAsia="方正小标宋简体"/>
          <w:color w:val="auto"/>
          <w:sz w:val="72"/>
          <w:szCs w:val="72"/>
          <w:highlight w:val="none"/>
        </w:rPr>
      </w:pPr>
    </w:p>
    <w:p w14:paraId="25854782">
      <w:pPr>
        <w:spacing w:line="600" w:lineRule="exact"/>
        <w:jc w:val="center"/>
        <w:outlineLvl w:val="9"/>
        <w:rPr>
          <w:rFonts w:ascii="方正小标宋简体" w:hAnsi="宋体" w:eastAsia="方正小标宋简体"/>
          <w:color w:val="auto"/>
          <w:sz w:val="72"/>
          <w:szCs w:val="72"/>
          <w:highlight w:val="none"/>
        </w:rPr>
      </w:pPr>
    </w:p>
    <w:p w14:paraId="221C7472">
      <w:pPr>
        <w:spacing w:line="600" w:lineRule="exact"/>
        <w:jc w:val="center"/>
        <w:outlineLvl w:val="9"/>
        <w:rPr>
          <w:rFonts w:ascii="方正小标宋简体" w:hAnsi="宋体" w:eastAsia="方正小标宋简体"/>
          <w:color w:val="auto"/>
          <w:sz w:val="72"/>
          <w:szCs w:val="72"/>
          <w:highlight w:val="none"/>
        </w:rPr>
      </w:pPr>
    </w:p>
    <w:p w14:paraId="684DCEBA">
      <w:pPr>
        <w:keepNext w:val="0"/>
        <w:keepLines w:val="0"/>
        <w:pageBreakBefore w:val="0"/>
        <w:widowControl w:val="0"/>
        <w:kinsoku/>
        <w:wordWrap/>
        <w:overflowPunct/>
        <w:topLinePunct w:val="0"/>
        <w:autoSpaceDE/>
        <w:autoSpaceDN/>
        <w:bidi w:val="0"/>
        <w:adjustRightInd w:val="0"/>
        <w:snapToGrid w:val="0"/>
        <w:spacing w:line="700" w:lineRule="exact"/>
        <w:jc w:val="center"/>
        <w:textAlignment w:val="auto"/>
        <w:outlineLvl w:val="9"/>
        <w:rPr>
          <w:rFonts w:hint="eastAsia" w:ascii="方正小标宋简体" w:hAnsi="方正小标宋简体" w:eastAsia="方正小标宋简体" w:cs="方正小标宋简体"/>
          <w:color w:val="auto"/>
          <w:sz w:val="72"/>
          <w:szCs w:val="72"/>
          <w:highlight w:val="none"/>
        </w:rPr>
      </w:pPr>
    </w:p>
    <w:p w14:paraId="477C9189">
      <w:pPr>
        <w:keepNext w:val="0"/>
        <w:keepLines w:val="0"/>
        <w:pageBreakBefore w:val="0"/>
        <w:widowControl w:val="0"/>
        <w:kinsoku/>
        <w:wordWrap/>
        <w:overflowPunct/>
        <w:topLinePunct w:val="0"/>
        <w:autoSpaceDE/>
        <w:autoSpaceDN/>
        <w:bidi w:val="0"/>
        <w:adjustRightInd w:val="0"/>
        <w:snapToGrid w:val="0"/>
        <w:spacing w:line="700" w:lineRule="exact"/>
        <w:jc w:val="center"/>
        <w:textAlignment w:val="auto"/>
        <w:outlineLvl w:val="9"/>
        <w:rPr>
          <w:rFonts w:hint="eastAsia" w:ascii="方正小标宋简体" w:hAnsi="方正小标宋简体" w:eastAsia="方正小标宋简体" w:cs="方正小标宋简体"/>
          <w:color w:val="auto"/>
          <w:sz w:val="72"/>
          <w:szCs w:val="72"/>
          <w:highlight w:val="none"/>
        </w:rPr>
      </w:pPr>
    </w:p>
    <w:p w14:paraId="662ABC69">
      <w:pPr>
        <w:keepNext w:val="0"/>
        <w:keepLines w:val="0"/>
        <w:pageBreakBefore w:val="0"/>
        <w:widowControl w:val="0"/>
        <w:kinsoku/>
        <w:wordWrap/>
        <w:overflowPunct/>
        <w:topLinePunct w:val="0"/>
        <w:autoSpaceDE/>
        <w:autoSpaceDN/>
        <w:bidi w:val="0"/>
        <w:adjustRightInd w:val="0"/>
        <w:snapToGrid w:val="0"/>
        <w:spacing w:line="700" w:lineRule="exact"/>
        <w:jc w:val="center"/>
        <w:textAlignment w:val="auto"/>
        <w:outlineLvl w:val="9"/>
        <w:rPr>
          <w:rFonts w:hint="eastAsia" w:ascii="方正小标宋简体" w:hAnsi="方正小标宋简体" w:eastAsia="方正小标宋简体" w:cs="方正小标宋简体"/>
          <w:color w:val="auto"/>
          <w:sz w:val="72"/>
          <w:szCs w:val="72"/>
          <w:highlight w:val="none"/>
        </w:rPr>
      </w:pPr>
    </w:p>
    <w:p w14:paraId="69B2D814">
      <w:pPr>
        <w:keepNext w:val="0"/>
        <w:keepLines w:val="0"/>
        <w:pageBreakBefore w:val="0"/>
        <w:widowControl w:val="0"/>
        <w:kinsoku/>
        <w:wordWrap/>
        <w:overflowPunct/>
        <w:topLinePunct w:val="0"/>
        <w:autoSpaceDE/>
        <w:autoSpaceDN/>
        <w:bidi w:val="0"/>
        <w:adjustRightInd w:val="0"/>
        <w:snapToGrid w:val="0"/>
        <w:spacing w:line="700" w:lineRule="exact"/>
        <w:jc w:val="center"/>
        <w:textAlignment w:val="auto"/>
        <w:outlineLvl w:val="9"/>
        <w:rPr>
          <w:rFonts w:hint="eastAsia" w:ascii="方正小标宋简体" w:hAnsi="方正小标宋简体" w:eastAsia="方正小标宋简体" w:cs="方正小标宋简体"/>
          <w:color w:val="auto"/>
          <w:sz w:val="72"/>
          <w:szCs w:val="72"/>
          <w:highlight w:val="none"/>
        </w:rPr>
      </w:pPr>
    </w:p>
    <w:p w14:paraId="41A08F48">
      <w:pPr>
        <w:keepNext w:val="0"/>
        <w:keepLines w:val="0"/>
        <w:pageBreakBefore w:val="0"/>
        <w:widowControl w:val="0"/>
        <w:kinsoku/>
        <w:wordWrap/>
        <w:overflowPunct/>
        <w:topLinePunct w:val="0"/>
        <w:autoSpaceDE/>
        <w:autoSpaceDN/>
        <w:bidi w:val="0"/>
        <w:adjustRightInd w:val="0"/>
        <w:snapToGrid w:val="0"/>
        <w:spacing w:line="700" w:lineRule="exact"/>
        <w:jc w:val="center"/>
        <w:textAlignment w:val="auto"/>
        <w:outlineLvl w:val="9"/>
        <w:rPr>
          <w:rFonts w:hint="eastAsia" w:ascii="方正小标宋简体" w:hAnsi="方正小标宋简体" w:eastAsia="方正小标宋简体" w:cs="方正小标宋简体"/>
          <w:color w:val="auto"/>
          <w:sz w:val="72"/>
          <w:szCs w:val="72"/>
          <w:highlight w:val="none"/>
        </w:rPr>
      </w:pPr>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23</w:t>
      </w:r>
      <w:r>
        <w:rPr>
          <w:rFonts w:hint="eastAsia" w:ascii="方正小标宋简体" w:hAnsi="方正小标宋简体" w:eastAsia="方正小标宋简体" w:cs="方正小标宋简体"/>
          <w:color w:val="auto"/>
          <w:sz w:val="72"/>
          <w:szCs w:val="72"/>
          <w:highlight w:val="none"/>
        </w:rPr>
        <w:t>年度</w:t>
      </w:r>
      <w:bookmarkEnd w:id="0"/>
      <w:bookmarkEnd w:id="1"/>
      <w:bookmarkEnd w:id="2"/>
      <w:bookmarkEnd w:id="3"/>
      <w:bookmarkEnd w:id="4"/>
    </w:p>
    <w:p w14:paraId="351D31DA">
      <w:pPr>
        <w:keepNext w:val="0"/>
        <w:keepLines w:val="0"/>
        <w:pageBreakBefore w:val="0"/>
        <w:widowControl w:val="0"/>
        <w:kinsoku/>
        <w:wordWrap/>
        <w:overflowPunct/>
        <w:topLinePunct w:val="0"/>
        <w:autoSpaceDE/>
        <w:autoSpaceDN/>
        <w:bidi w:val="0"/>
        <w:adjustRightInd w:val="0"/>
        <w:snapToGrid w:val="0"/>
        <w:spacing w:line="700" w:lineRule="exact"/>
        <w:jc w:val="center"/>
        <w:textAlignment w:val="auto"/>
        <w:outlineLvl w:val="9"/>
        <w:rPr>
          <w:rFonts w:hint="eastAsia" w:ascii="方正小标宋简体" w:hAnsi="方正小标宋简体" w:eastAsia="方正小标宋简体" w:cs="方正小标宋简体"/>
          <w:color w:val="000000" w:themeColor="text1"/>
          <w:sz w:val="72"/>
          <w:szCs w:val="72"/>
          <w:highlight w:val="none"/>
          <w:lang w:eastAsia="zh-CN"/>
          <w14:textFill>
            <w14:solidFill>
              <w14:schemeClr w14:val="tx1"/>
            </w14:solidFill>
          </w14:textFill>
        </w:rPr>
      </w:pPr>
      <w:bookmarkStart w:id="6" w:name="_Toc15377426"/>
      <w:bookmarkStart w:id="7" w:name="_Toc15396598"/>
      <w:bookmarkStart w:id="8" w:name="_Toc15378442"/>
      <w:bookmarkStart w:id="9" w:name="_Toc15396476"/>
      <w:bookmarkStart w:id="10" w:name="_Toc15377194"/>
      <w:r>
        <w:rPr>
          <w:rFonts w:hint="eastAsia" w:ascii="方正小标宋简体" w:hAnsi="方正小标宋简体" w:eastAsia="方正小标宋简体" w:cs="方正小标宋简体"/>
          <w:color w:val="000000" w:themeColor="text1"/>
          <w:sz w:val="72"/>
          <w:szCs w:val="72"/>
          <w:highlight w:val="none"/>
          <w:lang w:eastAsia="zh-CN"/>
          <w14:textFill>
            <w14:solidFill>
              <w14:schemeClr w14:val="tx1"/>
            </w14:solidFill>
          </w14:textFill>
        </w:rPr>
        <w:t>峨边彝族自治县</w:t>
      </w:r>
      <w:bookmarkEnd w:id="5"/>
      <w:bookmarkStart w:id="11" w:name="_Toc15306268"/>
      <w:r>
        <w:rPr>
          <w:rFonts w:hint="eastAsia" w:ascii="方正小标宋简体" w:hAnsi="方正小标宋简体" w:eastAsia="方正小标宋简体" w:cs="方正小标宋简体"/>
          <w:color w:val="000000" w:themeColor="text1"/>
          <w:sz w:val="72"/>
          <w:szCs w:val="72"/>
          <w:highlight w:val="none"/>
          <w:lang w:val="en-US" w:eastAsia="zh-CN"/>
          <w14:textFill>
            <w14:solidFill>
              <w14:schemeClr w14:val="tx1"/>
            </w14:solidFill>
          </w14:textFill>
        </w:rPr>
        <w:t>水务局</w:t>
      </w:r>
    </w:p>
    <w:p w14:paraId="0B1363FA">
      <w:pPr>
        <w:keepNext w:val="0"/>
        <w:keepLines w:val="0"/>
        <w:pageBreakBefore w:val="0"/>
        <w:widowControl w:val="0"/>
        <w:kinsoku/>
        <w:wordWrap/>
        <w:overflowPunct/>
        <w:topLinePunct w:val="0"/>
        <w:autoSpaceDE/>
        <w:autoSpaceDN/>
        <w:bidi w:val="0"/>
        <w:adjustRightInd w:val="0"/>
        <w:snapToGrid w:val="0"/>
        <w:spacing w:line="700" w:lineRule="exact"/>
        <w:jc w:val="center"/>
        <w:textAlignment w:val="auto"/>
        <w:outlineLvl w:val="9"/>
        <w:rPr>
          <w:rFonts w:hint="eastAsia" w:ascii="方正小标宋简体" w:hAnsi="方正小标宋简体" w:eastAsia="方正小标宋简体" w:cs="方正小标宋简体"/>
          <w:color w:val="000000" w:themeColor="text1"/>
          <w:sz w:val="72"/>
          <w:szCs w:val="72"/>
          <w:highlight w:val="none"/>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72"/>
          <w:szCs w:val="72"/>
          <w:highlight w:val="none"/>
          <w14:textFill>
            <w14:solidFill>
              <w14:schemeClr w14:val="tx1"/>
            </w14:solidFill>
          </w14:textFill>
        </w:rPr>
        <w:t>部门决算</w:t>
      </w:r>
      <w:bookmarkEnd w:id="6"/>
      <w:bookmarkEnd w:id="7"/>
      <w:bookmarkEnd w:id="8"/>
      <w:bookmarkEnd w:id="9"/>
      <w:bookmarkEnd w:id="10"/>
      <w:bookmarkEnd w:id="11"/>
      <w:r>
        <w:rPr>
          <w:rFonts w:hint="eastAsia" w:ascii="方正小标宋简体" w:hAnsi="方正小标宋简体" w:eastAsia="方正小标宋简体" w:cs="方正小标宋简体"/>
          <w:color w:val="000000" w:themeColor="text1"/>
          <w:sz w:val="72"/>
          <w:szCs w:val="72"/>
          <w:highlight w:val="none"/>
          <w:lang w:eastAsia="zh-CN"/>
          <w14:textFill>
            <w14:solidFill>
              <w14:schemeClr w14:val="tx1"/>
            </w14:solidFill>
          </w14:textFill>
        </w:rPr>
        <w:t>编制说明</w:t>
      </w:r>
    </w:p>
    <w:p w14:paraId="31F8D8BB">
      <w:pPr>
        <w:adjustRightInd w:val="0"/>
        <w:snapToGrid w:val="0"/>
        <w:spacing w:line="360" w:lineRule="auto"/>
        <w:jc w:val="center"/>
        <w:outlineLvl w:val="9"/>
        <w:rPr>
          <w:rFonts w:hint="eastAsia" w:ascii="方正小标宋简体" w:hAnsi="方正小标宋简体" w:eastAsia="方正小标宋简体" w:cs="方正小标宋简体"/>
          <w:color w:val="000000" w:themeColor="text1"/>
          <w:sz w:val="72"/>
          <w:szCs w:val="72"/>
          <w:highlight w:val="none"/>
          <w:lang w:eastAsia="zh-CN"/>
          <w14:textFill>
            <w14:solidFill>
              <w14:schemeClr w14:val="tx1"/>
            </w14:solidFill>
          </w14:textFill>
        </w:rPr>
      </w:pPr>
    </w:p>
    <w:p w14:paraId="3AE2EBDF">
      <w:pPr>
        <w:adjustRightInd w:val="0"/>
        <w:snapToGrid w:val="0"/>
        <w:spacing w:line="360" w:lineRule="auto"/>
        <w:jc w:val="center"/>
        <w:outlineLvl w:val="9"/>
        <w:rPr>
          <w:rFonts w:hint="eastAsia" w:ascii="方正小标宋简体" w:hAnsi="方正小标宋简体" w:eastAsia="方正小标宋简体" w:cs="方正小标宋简体"/>
          <w:color w:val="000000" w:themeColor="text1"/>
          <w:sz w:val="72"/>
          <w:szCs w:val="72"/>
          <w:highlight w:val="none"/>
          <w:lang w:eastAsia="zh-CN"/>
          <w14:textFill>
            <w14:solidFill>
              <w14:schemeClr w14:val="tx1"/>
            </w14:solidFill>
          </w14:textFill>
        </w:rPr>
      </w:pPr>
    </w:p>
    <w:p w14:paraId="59AF61B0">
      <w:pPr>
        <w:adjustRightInd w:val="0"/>
        <w:snapToGrid w:val="0"/>
        <w:spacing w:line="360" w:lineRule="auto"/>
        <w:jc w:val="both"/>
        <w:outlineLvl w:val="9"/>
        <w:rPr>
          <w:rFonts w:hint="eastAsia" w:ascii="方正小标宋简体" w:hAnsi="方正小标宋简体" w:eastAsia="方正小标宋简体" w:cs="方正小标宋简体"/>
          <w:color w:val="000000" w:themeColor="text1"/>
          <w:sz w:val="72"/>
          <w:szCs w:val="72"/>
          <w:highlight w:val="none"/>
          <w:lang w:eastAsia="zh-CN"/>
          <w14:textFill>
            <w14:solidFill>
              <w14:schemeClr w14:val="tx1"/>
            </w14:solidFill>
          </w14:textFill>
        </w:rPr>
      </w:pPr>
    </w:p>
    <w:p w14:paraId="7D16DDF3">
      <w:pPr>
        <w:pStyle w:val="11"/>
        <w:jc w:val="center"/>
        <w:rPr>
          <w:rFonts w:hint="eastAsia"/>
          <w:color w:val="auto"/>
          <w:highlight w:val="none"/>
        </w:rPr>
      </w:pPr>
      <w:r>
        <w:rPr>
          <w:rFonts w:hint="eastAsia"/>
          <w:color w:val="auto"/>
          <w:highlight w:val="none"/>
        </w:rPr>
        <w:t>公开时间：20</w:t>
      </w:r>
      <w:r>
        <w:rPr>
          <w:rFonts w:hint="eastAsia"/>
          <w:color w:val="auto"/>
          <w:highlight w:val="none"/>
          <w:lang w:val="en-US" w:eastAsia="zh-CN"/>
        </w:rPr>
        <w:t>24</w:t>
      </w:r>
      <w:r>
        <w:rPr>
          <w:rFonts w:hint="eastAsia"/>
          <w:color w:val="auto"/>
          <w:highlight w:val="none"/>
        </w:rPr>
        <w:t>年</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22</w:t>
      </w:r>
      <w:r>
        <w:rPr>
          <w:rFonts w:hint="eastAsia"/>
          <w:color w:val="auto"/>
          <w:highlight w:val="none"/>
        </w:rPr>
        <w:t>日</w:t>
      </w:r>
    </w:p>
    <w:p w14:paraId="300B14C4">
      <w:pPr>
        <w:rPr>
          <w:rFonts w:hint="eastAsia"/>
          <w:color w:val="auto"/>
          <w:highlight w:val="none"/>
        </w:rPr>
      </w:pPr>
    </w:p>
    <w:sdt>
      <w:sdtPr>
        <w:rPr>
          <w:rFonts w:ascii="宋体" w:hAnsi="宋体" w:eastAsia="宋体" w:cs="Times New Roman"/>
          <w:kern w:val="2"/>
          <w:sz w:val="21"/>
          <w:szCs w:val="24"/>
          <w:lang w:val="en-US" w:eastAsia="zh-CN" w:bidi="ar-SA"/>
        </w:rPr>
        <w:id w:val="147458313"/>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14:paraId="22BA5C45">
          <w:pPr>
            <w:bidi w:val="0"/>
            <w:jc w:val="center"/>
            <w:outlineLvl w:val="9"/>
          </w:pPr>
          <w:r>
            <w:rPr>
              <w:rFonts w:ascii="宋体" w:hAnsi="宋体" w:eastAsia="宋体"/>
              <w:sz w:val="21"/>
            </w:rPr>
            <w:t>目</w:t>
          </w:r>
          <w:r>
            <w:rPr>
              <w:rFonts w:hint="eastAsia" w:ascii="宋体" w:hAnsi="宋体" w:eastAsia="宋体"/>
              <w:sz w:val="21"/>
              <w:lang w:val="en-US" w:eastAsia="zh-CN"/>
            </w:rPr>
            <w:t xml:space="preserve">    </w:t>
          </w:r>
          <w:r>
            <w:rPr>
              <w:rFonts w:ascii="宋体" w:hAnsi="宋体" w:eastAsia="宋体"/>
              <w:sz w:val="21"/>
            </w:rPr>
            <w:t>录</w:t>
          </w:r>
        </w:p>
        <w:p w14:paraId="33A20AF7">
          <w:pPr>
            <w:pStyle w:val="11"/>
            <w:tabs>
              <w:tab w:val="right" w:leader="dot" w:pos="8306"/>
              <w:tab w:val="clear" w:pos="8296"/>
            </w:tabs>
          </w:pPr>
          <w:r>
            <w:rPr>
              <w:b/>
            </w:rPr>
            <w:fldChar w:fldCharType="begin"/>
          </w:r>
          <w:r>
            <w:rPr>
              <w:b/>
            </w:rPr>
            <w:instrText xml:space="preserve">TOC \o "1-2" \h \u </w:instrText>
          </w:r>
          <w:r>
            <w:rPr>
              <w:b/>
            </w:rPr>
            <w:fldChar w:fldCharType="separate"/>
          </w:r>
          <w:r>
            <w:fldChar w:fldCharType="begin"/>
          </w:r>
          <w:r>
            <w:instrText xml:space="preserve"> HYPERLINK \l _Toc15849 </w:instrText>
          </w:r>
          <w:r>
            <w:fldChar w:fldCharType="separate"/>
          </w:r>
          <w:r>
            <w:rPr>
              <w:rFonts w:hint="eastAsia" w:ascii="黑体" w:hAnsi="黑体" w:eastAsia="黑体"/>
              <w:highlight w:val="none"/>
            </w:rPr>
            <w:t xml:space="preserve">第一部分 </w:t>
          </w:r>
          <w:r>
            <w:rPr>
              <w:rFonts w:hint="eastAsia" w:ascii="黑体" w:hAnsi="黑体" w:eastAsia="黑体"/>
              <w:bCs w:val="0"/>
              <w:highlight w:val="none"/>
            </w:rPr>
            <w:t>部门概况</w:t>
          </w:r>
          <w:r>
            <w:tab/>
          </w:r>
          <w:r>
            <w:fldChar w:fldCharType="begin"/>
          </w:r>
          <w:r>
            <w:instrText xml:space="preserve"> PAGEREF _Toc15849 \h </w:instrText>
          </w:r>
          <w:r>
            <w:fldChar w:fldCharType="separate"/>
          </w:r>
          <w:r>
            <w:t>3</w:t>
          </w:r>
          <w:r>
            <w:fldChar w:fldCharType="end"/>
          </w:r>
          <w:r>
            <w:fldChar w:fldCharType="end"/>
          </w:r>
        </w:p>
        <w:p w14:paraId="14608B43">
          <w:pPr>
            <w:pStyle w:val="13"/>
            <w:tabs>
              <w:tab w:val="right" w:leader="dot" w:pos="8306"/>
              <w:tab w:val="clear" w:pos="8296"/>
            </w:tabs>
          </w:pPr>
          <w:r>
            <w:fldChar w:fldCharType="begin"/>
          </w:r>
          <w:r>
            <w:instrText xml:space="preserve"> HYPERLINK \l _Toc27674 </w:instrText>
          </w:r>
          <w:r>
            <w:fldChar w:fldCharType="separate"/>
          </w:r>
          <w:r>
            <w:rPr>
              <w:rFonts w:hint="eastAsia" w:ascii="黑体" w:eastAsia="黑体"/>
              <w:highlight w:val="none"/>
            </w:rPr>
            <w:t>一</w:t>
          </w:r>
          <w:r>
            <w:rPr>
              <w:rFonts w:hint="eastAsia" w:ascii="仿宋" w:hAnsi="仿宋" w:eastAsia="仿宋"/>
              <w:szCs w:val="32"/>
            </w:rPr>
            <w:t>、</w:t>
          </w:r>
          <w:r>
            <w:rPr>
              <w:rFonts w:hint="eastAsia" w:ascii="黑体" w:hAnsi="黑体" w:eastAsia="黑体"/>
              <w:highlight w:val="none"/>
              <w:lang w:eastAsia="zh-CN"/>
            </w:rPr>
            <w:t>部门职责</w:t>
          </w:r>
          <w:r>
            <w:tab/>
          </w:r>
          <w:r>
            <w:fldChar w:fldCharType="begin"/>
          </w:r>
          <w:r>
            <w:instrText xml:space="preserve"> PAGEREF _Toc27674 \h </w:instrText>
          </w:r>
          <w:r>
            <w:fldChar w:fldCharType="separate"/>
          </w:r>
          <w:r>
            <w:t>3</w:t>
          </w:r>
          <w:r>
            <w:fldChar w:fldCharType="end"/>
          </w:r>
          <w:r>
            <w:fldChar w:fldCharType="end"/>
          </w:r>
        </w:p>
        <w:p w14:paraId="0D746441">
          <w:pPr>
            <w:pStyle w:val="13"/>
            <w:tabs>
              <w:tab w:val="right" w:leader="dot" w:pos="8306"/>
              <w:tab w:val="clear" w:pos="8296"/>
            </w:tabs>
          </w:pPr>
          <w:r>
            <w:fldChar w:fldCharType="begin"/>
          </w:r>
          <w:r>
            <w:instrText xml:space="preserve"> HYPERLINK \l _Toc1222 </w:instrText>
          </w:r>
          <w:r>
            <w:fldChar w:fldCharType="separate"/>
          </w:r>
          <w:r>
            <w:rPr>
              <w:rFonts w:hint="eastAsia" w:ascii="黑体" w:eastAsia="黑体"/>
              <w:highlight w:val="none"/>
            </w:rPr>
            <w:t>二、</w:t>
          </w:r>
          <w:r>
            <w:rPr>
              <w:rFonts w:hint="eastAsia" w:ascii="黑体" w:hAnsi="黑体" w:eastAsia="黑体"/>
              <w:highlight w:val="none"/>
            </w:rPr>
            <w:t>机</w:t>
          </w:r>
          <w:r>
            <w:rPr>
              <w:rFonts w:hint="eastAsia" w:ascii="黑体" w:hAnsi="黑体" w:eastAsia="黑体"/>
              <w:bCs w:val="0"/>
              <w:highlight w:val="none"/>
            </w:rPr>
            <w:t>构设置</w:t>
          </w:r>
          <w:r>
            <w:tab/>
          </w:r>
          <w:r>
            <w:fldChar w:fldCharType="begin"/>
          </w:r>
          <w:r>
            <w:instrText xml:space="preserve"> PAGEREF _Toc1222 \h </w:instrText>
          </w:r>
          <w:r>
            <w:fldChar w:fldCharType="separate"/>
          </w:r>
          <w:r>
            <w:t>6</w:t>
          </w:r>
          <w:r>
            <w:fldChar w:fldCharType="end"/>
          </w:r>
          <w:r>
            <w:fldChar w:fldCharType="end"/>
          </w:r>
        </w:p>
        <w:p w14:paraId="310DBFD1">
          <w:pPr>
            <w:pStyle w:val="11"/>
            <w:tabs>
              <w:tab w:val="right" w:leader="dot" w:pos="8306"/>
              <w:tab w:val="clear" w:pos="8296"/>
            </w:tabs>
          </w:pPr>
          <w:r>
            <w:fldChar w:fldCharType="begin"/>
          </w:r>
          <w:r>
            <w:instrText xml:space="preserve"> HYPERLINK \l _Toc3320 </w:instrText>
          </w:r>
          <w:r>
            <w:fldChar w:fldCharType="separate"/>
          </w:r>
          <w:r>
            <w:rPr>
              <w:rFonts w:hint="eastAsia" w:ascii="黑体" w:hAnsi="黑体" w:eastAsia="黑体"/>
              <w:bCs/>
              <w:highlight w:val="none"/>
            </w:rPr>
            <w:t xml:space="preserve">第二部分 </w:t>
          </w:r>
          <w:r>
            <w:rPr>
              <w:rFonts w:hint="eastAsia" w:ascii="黑体" w:hAnsi="黑体" w:eastAsia="黑体"/>
              <w:bCs/>
              <w:highlight w:val="none"/>
              <w:lang w:val="en-US" w:eastAsia="zh-CN"/>
            </w:rPr>
            <w:t>2023年度</w:t>
          </w:r>
          <w:r>
            <w:rPr>
              <w:rFonts w:hint="eastAsia" w:ascii="黑体" w:hAnsi="黑体" w:eastAsia="黑体"/>
              <w:bCs/>
              <w:highlight w:val="none"/>
            </w:rPr>
            <w:t>部门决算情况说明</w:t>
          </w:r>
          <w:r>
            <w:tab/>
          </w:r>
          <w:r>
            <w:fldChar w:fldCharType="begin"/>
          </w:r>
          <w:r>
            <w:instrText xml:space="preserve"> PAGEREF _Toc3320 \h </w:instrText>
          </w:r>
          <w:r>
            <w:fldChar w:fldCharType="separate"/>
          </w:r>
          <w:r>
            <w:t>7</w:t>
          </w:r>
          <w:r>
            <w:fldChar w:fldCharType="end"/>
          </w:r>
          <w:r>
            <w:fldChar w:fldCharType="end"/>
          </w:r>
        </w:p>
        <w:p w14:paraId="70346414">
          <w:pPr>
            <w:pStyle w:val="13"/>
            <w:tabs>
              <w:tab w:val="right" w:leader="dot" w:pos="8306"/>
              <w:tab w:val="clear" w:pos="8296"/>
            </w:tabs>
          </w:pPr>
          <w:r>
            <w:fldChar w:fldCharType="begin"/>
          </w:r>
          <w:r>
            <w:instrText xml:space="preserve"> HYPERLINK \l _Toc2545 </w:instrText>
          </w:r>
          <w:r>
            <w:fldChar w:fldCharType="separate"/>
          </w:r>
          <w:r>
            <w:rPr>
              <w:rFonts w:hint="default" w:ascii="黑体" w:hAnsi="黑体" w:eastAsia="黑体"/>
            </w:rPr>
            <w:t xml:space="preserve">一、 </w:t>
          </w:r>
          <w:r>
            <w:rPr>
              <w:rFonts w:hint="eastAsia" w:ascii="黑体" w:hAnsi="黑体" w:eastAsia="黑体"/>
              <w:szCs w:val="32"/>
              <w:highlight w:val="none"/>
            </w:rPr>
            <w:t>收</w:t>
          </w:r>
          <w:r>
            <w:rPr>
              <w:rFonts w:hint="eastAsia" w:ascii="黑体" w:hAnsi="黑体" w:eastAsia="黑体"/>
              <w:highlight w:val="none"/>
            </w:rPr>
            <w:t>入支出决算总体情况说明</w:t>
          </w:r>
          <w:r>
            <w:tab/>
          </w:r>
          <w:r>
            <w:fldChar w:fldCharType="begin"/>
          </w:r>
          <w:r>
            <w:instrText xml:space="preserve"> PAGEREF _Toc2545 \h </w:instrText>
          </w:r>
          <w:r>
            <w:fldChar w:fldCharType="separate"/>
          </w:r>
          <w:r>
            <w:t>7</w:t>
          </w:r>
          <w:r>
            <w:fldChar w:fldCharType="end"/>
          </w:r>
          <w:r>
            <w:fldChar w:fldCharType="end"/>
          </w:r>
        </w:p>
        <w:p w14:paraId="32BA06B0">
          <w:pPr>
            <w:pStyle w:val="13"/>
            <w:tabs>
              <w:tab w:val="right" w:leader="dot" w:pos="8306"/>
              <w:tab w:val="clear" w:pos="8296"/>
            </w:tabs>
          </w:pPr>
          <w:r>
            <w:fldChar w:fldCharType="begin"/>
          </w:r>
          <w:r>
            <w:instrText xml:space="preserve"> HYPERLINK \l _Toc28103 </w:instrText>
          </w:r>
          <w:r>
            <w:fldChar w:fldCharType="separate"/>
          </w:r>
          <w:r>
            <w:rPr>
              <w:rFonts w:hint="eastAsia" w:ascii="黑体" w:hAnsi="黑体" w:eastAsia="黑体" w:cs="黑体"/>
              <w:bCs/>
              <w:szCs w:val="32"/>
              <w:highlight w:val="none"/>
              <w:lang w:val="en-US" w:eastAsia="zh-CN"/>
            </w:rPr>
            <w:t>二</w:t>
          </w:r>
          <w:r>
            <w:rPr>
              <w:rFonts w:hint="eastAsia" w:ascii="黑体" w:hAnsi="黑体" w:eastAsia="黑体" w:cs="黑体"/>
              <w:szCs w:val="32"/>
              <w:highlight w:val="none"/>
              <w:lang w:val="en-US" w:eastAsia="zh-CN"/>
            </w:rPr>
            <w:t>、</w:t>
          </w:r>
          <w:r>
            <w:rPr>
              <w:rFonts w:hint="eastAsia" w:ascii="黑体" w:hAnsi="黑体" w:eastAsia="黑体" w:cs="黑体"/>
              <w:szCs w:val="32"/>
              <w:highlight w:val="none"/>
            </w:rPr>
            <w:t>收</w:t>
          </w:r>
          <w:r>
            <w:rPr>
              <w:rFonts w:hint="eastAsia" w:ascii="黑体" w:hAnsi="黑体" w:eastAsia="黑体" w:cs="黑体"/>
              <w:highlight w:val="none"/>
            </w:rPr>
            <w:t>入决算情况说明</w:t>
          </w:r>
          <w:r>
            <w:tab/>
          </w:r>
          <w:r>
            <w:fldChar w:fldCharType="begin"/>
          </w:r>
          <w:r>
            <w:instrText xml:space="preserve"> PAGEREF _Toc28103 \h </w:instrText>
          </w:r>
          <w:r>
            <w:fldChar w:fldCharType="separate"/>
          </w:r>
          <w:r>
            <w:t>7</w:t>
          </w:r>
          <w:r>
            <w:fldChar w:fldCharType="end"/>
          </w:r>
          <w:r>
            <w:fldChar w:fldCharType="end"/>
          </w:r>
        </w:p>
        <w:p w14:paraId="783EB8A4">
          <w:pPr>
            <w:pStyle w:val="13"/>
            <w:tabs>
              <w:tab w:val="right" w:leader="dot" w:pos="8306"/>
              <w:tab w:val="clear" w:pos="8296"/>
            </w:tabs>
          </w:pPr>
          <w:r>
            <w:fldChar w:fldCharType="begin"/>
          </w:r>
          <w:r>
            <w:instrText xml:space="preserve"> HYPERLINK \l _Toc8117 </w:instrText>
          </w:r>
          <w:r>
            <w:fldChar w:fldCharType="separate"/>
          </w:r>
          <w:r>
            <w:rPr>
              <w:rFonts w:hint="eastAsia" w:ascii="黑体" w:hAnsi="黑体" w:eastAsia="黑体" w:cs="黑体"/>
              <w:szCs w:val="32"/>
              <w:highlight w:val="none"/>
              <w:lang w:val="en-US" w:eastAsia="zh-CN"/>
            </w:rPr>
            <w:t>三、</w:t>
          </w:r>
          <w:r>
            <w:rPr>
              <w:rFonts w:hint="eastAsia" w:ascii="黑体" w:hAnsi="黑体" w:eastAsia="黑体" w:cs="黑体"/>
              <w:szCs w:val="32"/>
              <w:highlight w:val="none"/>
            </w:rPr>
            <w:t>支</w:t>
          </w:r>
          <w:r>
            <w:rPr>
              <w:rFonts w:hint="eastAsia" w:ascii="黑体" w:hAnsi="黑体" w:eastAsia="黑体" w:cs="黑体"/>
              <w:highlight w:val="none"/>
            </w:rPr>
            <w:t>出决算情况说明</w:t>
          </w:r>
          <w:r>
            <w:tab/>
          </w:r>
          <w:r>
            <w:fldChar w:fldCharType="begin"/>
          </w:r>
          <w:r>
            <w:instrText xml:space="preserve"> PAGEREF _Toc8117 \h </w:instrText>
          </w:r>
          <w:r>
            <w:fldChar w:fldCharType="separate"/>
          </w:r>
          <w:r>
            <w:t>8</w:t>
          </w:r>
          <w:r>
            <w:fldChar w:fldCharType="end"/>
          </w:r>
          <w:r>
            <w:fldChar w:fldCharType="end"/>
          </w:r>
        </w:p>
        <w:p w14:paraId="6B91CA86">
          <w:pPr>
            <w:pStyle w:val="13"/>
            <w:tabs>
              <w:tab w:val="right" w:leader="dot" w:pos="8306"/>
              <w:tab w:val="clear" w:pos="8296"/>
            </w:tabs>
          </w:pPr>
          <w:r>
            <w:fldChar w:fldCharType="begin"/>
          </w:r>
          <w:r>
            <w:instrText xml:space="preserve"> HYPERLINK \l _Toc26760 </w:instrText>
          </w:r>
          <w:r>
            <w:fldChar w:fldCharType="separate"/>
          </w:r>
          <w:r>
            <w:rPr>
              <w:rFonts w:hint="eastAsia"/>
            </w:rPr>
            <w:t xml:space="preserve">四、 </w:t>
          </w:r>
          <w:r>
            <w:rPr>
              <w:rFonts w:hint="eastAsia" w:ascii="黑体" w:hAnsi="黑体" w:eastAsia="黑体"/>
              <w:szCs w:val="32"/>
              <w:highlight w:val="none"/>
            </w:rPr>
            <w:t>财</w:t>
          </w:r>
          <w:r>
            <w:rPr>
              <w:rFonts w:hint="eastAsia" w:ascii="黑体" w:hAnsi="黑体" w:eastAsia="黑体"/>
              <w:highlight w:val="none"/>
            </w:rPr>
            <w:t>政拨款收入支出决算总体情况说明</w:t>
          </w:r>
          <w:r>
            <w:tab/>
          </w:r>
          <w:r>
            <w:fldChar w:fldCharType="begin"/>
          </w:r>
          <w:r>
            <w:instrText xml:space="preserve"> PAGEREF _Toc26760 \h </w:instrText>
          </w:r>
          <w:r>
            <w:fldChar w:fldCharType="separate"/>
          </w:r>
          <w:r>
            <w:t>8</w:t>
          </w:r>
          <w:r>
            <w:fldChar w:fldCharType="end"/>
          </w:r>
          <w:r>
            <w:fldChar w:fldCharType="end"/>
          </w:r>
        </w:p>
        <w:p w14:paraId="62F3D7DF">
          <w:pPr>
            <w:pStyle w:val="13"/>
            <w:tabs>
              <w:tab w:val="right" w:leader="dot" w:pos="8306"/>
              <w:tab w:val="clear" w:pos="8296"/>
            </w:tabs>
          </w:pPr>
          <w:r>
            <w:fldChar w:fldCharType="begin"/>
          </w:r>
          <w:r>
            <w:instrText xml:space="preserve"> HYPERLINK \l _Toc19816 </w:instrText>
          </w:r>
          <w:r>
            <w:fldChar w:fldCharType="separate"/>
          </w:r>
          <w:r>
            <w:rPr>
              <w:rFonts w:hint="eastAsia" w:ascii="黑体" w:hAnsi="黑体" w:eastAsia="黑体"/>
              <w:szCs w:val="32"/>
              <w:highlight w:val="none"/>
            </w:rPr>
            <w:t>五、一</w:t>
          </w:r>
          <w:r>
            <w:rPr>
              <w:rFonts w:hint="eastAsia" w:ascii="黑体" w:hAnsi="黑体" w:eastAsia="黑体"/>
              <w:highlight w:val="none"/>
            </w:rPr>
            <w:t>般公共预算财政拨款支出决算情况说明</w:t>
          </w:r>
          <w:r>
            <w:tab/>
          </w:r>
          <w:r>
            <w:fldChar w:fldCharType="begin"/>
          </w:r>
          <w:r>
            <w:instrText xml:space="preserve"> PAGEREF _Toc19816 \h </w:instrText>
          </w:r>
          <w:r>
            <w:fldChar w:fldCharType="separate"/>
          </w:r>
          <w:r>
            <w:t>9</w:t>
          </w:r>
          <w:r>
            <w:fldChar w:fldCharType="end"/>
          </w:r>
          <w:r>
            <w:fldChar w:fldCharType="end"/>
          </w:r>
        </w:p>
        <w:p w14:paraId="09C3B7C5">
          <w:pPr>
            <w:pStyle w:val="13"/>
            <w:tabs>
              <w:tab w:val="right" w:leader="dot" w:pos="8306"/>
              <w:tab w:val="clear" w:pos="8296"/>
            </w:tabs>
          </w:pPr>
          <w:r>
            <w:fldChar w:fldCharType="begin"/>
          </w:r>
          <w:r>
            <w:instrText xml:space="preserve"> HYPERLINK \l _Toc3885 </w:instrText>
          </w:r>
          <w:r>
            <w:fldChar w:fldCharType="separate"/>
          </w:r>
          <w:r>
            <w:rPr>
              <w:rFonts w:hint="eastAsia" w:ascii="黑体" w:eastAsia="黑体"/>
              <w:szCs w:val="32"/>
              <w:highlight w:val="none"/>
            </w:rPr>
            <w:t>六、</w:t>
          </w:r>
          <w:r>
            <w:rPr>
              <w:rFonts w:hint="eastAsia" w:ascii="黑体" w:hAnsi="黑体" w:eastAsia="黑体"/>
              <w:szCs w:val="32"/>
              <w:highlight w:val="none"/>
            </w:rPr>
            <w:t>一</w:t>
          </w:r>
          <w:r>
            <w:rPr>
              <w:rFonts w:hint="eastAsia" w:ascii="黑体" w:hAnsi="黑体" w:eastAsia="黑体"/>
              <w:highlight w:val="none"/>
            </w:rPr>
            <w:t>般公共预算财政拨款基本支出决算情况说明</w:t>
          </w:r>
          <w:r>
            <w:tab/>
          </w:r>
          <w:r>
            <w:fldChar w:fldCharType="begin"/>
          </w:r>
          <w:r>
            <w:instrText xml:space="preserve"> PAGEREF _Toc3885 \h </w:instrText>
          </w:r>
          <w:r>
            <w:fldChar w:fldCharType="separate"/>
          </w:r>
          <w:r>
            <w:t>13</w:t>
          </w:r>
          <w:r>
            <w:fldChar w:fldCharType="end"/>
          </w:r>
          <w:r>
            <w:fldChar w:fldCharType="end"/>
          </w:r>
        </w:p>
        <w:p w14:paraId="461865A8">
          <w:pPr>
            <w:pStyle w:val="13"/>
            <w:tabs>
              <w:tab w:val="right" w:leader="dot" w:pos="8306"/>
              <w:tab w:val="clear" w:pos="8296"/>
            </w:tabs>
          </w:pPr>
          <w:r>
            <w:fldChar w:fldCharType="begin"/>
          </w:r>
          <w:r>
            <w:instrText xml:space="preserve"> HYPERLINK \l _Toc11614 </w:instrText>
          </w:r>
          <w:r>
            <w:fldChar w:fldCharType="separate"/>
          </w:r>
          <w:r>
            <w:rPr>
              <w:rFonts w:hint="eastAsia" w:ascii="黑体" w:eastAsia="黑体"/>
              <w:szCs w:val="32"/>
              <w:highlight w:val="none"/>
            </w:rPr>
            <w:t>七、</w:t>
          </w:r>
          <w:r>
            <w:rPr>
              <w:rFonts w:hint="eastAsia" w:ascii="黑体" w:hAnsi="黑体" w:eastAsia="黑体"/>
              <w:highlight w:val="none"/>
            </w:rPr>
            <w:t>财政拨款“三公”经费支出决算情况说明</w:t>
          </w:r>
          <w:r>
            <w:tab/>
          </w:r>
          <w:r>
            <w:fldChar w:fldCharType="begin"/>
          </w:r>
          <w:r>
            <w:instrText xml:space="preserve"> PAGEREF _Toc11614 \h </w:instrText>
          </w:r>
          <w:r>
            <w:fldChar w:fldCharType="separate"/>
          </w:r>
          <w:r>
            <w:t>13</w:t>
          </w:r>
          <w:r>
            <w:fldChar w:fldCharType="end"/>
          </w:r>
          <w:r>
            <w:fldChar w:fldCharType="end"/>
          </w:r>
        </w:p>
        <w:p w14:paraId="4CA0D859">
          <w:pPr>
            <w:pStyle w:val="13"/>
            <w:tabs>
              <w:tab w:val="right" w:leader="dot" w:pos="8306"/>
              <w:tab w:val="clear" w:pos="8296"/>
            </w:tabs>
          </w:pPr>
          <w:r>
            <w:fldChar w:fldCharType="begin"/>
          </w:r>
          <w:r>
            <w:instrText xml:space="preserve"> HYPERLINK \l _Toc19005 </w:instrText>
          </w:r>
          <w:r>
            <w:fldChar w:fldCharType="separate"/>
          </w:r>
          <w:r>
            <w:rPr>
              <w:rFonts w:hint="eastAsia" w:ascii="黑体" w:eastAsia="黑体"/>
              <w:szCs w:val="32"/>
              <w:highlight w:val="none"/>
            </w:rPr>
            <w:t>八、</w:t>
          </w:r>
          <w:r>
            <w:rPr>
              <w:rFonts w:hint="eastAsia" w:ascii="黑体" w:hAnsi="黑体" w:eastAsia="黑体"/>
              <w:highlight w:val="none"/>
            </w:rPr>
            <w:t>政府性基金预算支出决算情况说明</w:t>
          </w:r>
          <w:r>
            <w:tab/>
          </w:r>
          <w:r>
            <w:fldChar w:fldCharType="begin"/>
          </w:r>
          <w:r>
            <w:instrText xml:space="preserve"> PAGEREF _Toc19005 \h </w:instrText>
          </w:r>
          <w:r>
            <w:fldChar w:fldCharType="separate"/>
          </w:r>
          <w:r>
            <w:t>15</w:t>
          </w:r>
          <w:r>
            <w:fldChar w:fldCharType="end"/>
          </w:r>
          <w:r>
            <w:fldChar w:fldCharType="end"/>
          </w:r>
        </w:p>
        <w:p w14:paraId="7E47CB40">
          <w:pPr>
            <w:pStyle w:val="13"/>
            <w:tabs>
              <w:tab w:val="right" w:leader="dot" w:pos="8306"/>
              <w:tab w:val="clear" w:pos="8296"/>
            </w:tabs>
          </w:pPr>
          <w:r>
            <w:fldChar w:fldCharType="begin"/>
          </w:r>
          <w:r>
            <w:instrText xml:space="preserve"> HYPERLINK \l _Toc26494 </w:instrText>
          </w:r>
          <w:r>
            <w:fldChar w:fldCharType="separate"/>
          </w:r>
          <w:r>
            <w:rPr>
              <w:rFonts w:hint="eastAsia" w:ascii="黑体" w:hAnsi="黑体" w:eastAsia="黑体"/>
            </w:rPr>
            <w:t xml:space="preserve">九、 </w:t>
          </w:r>
          <w:r>
            <w:rPr>
              <w:rFonts w:hint="eastAsia" w:ascii="黑体" w:hAnsi="黑体" w:eastAsia="黑体"/>
              <w:highlight w:val="none"/>
            </w:rPr>
            <w:t>国有资本经营预算支出决算情况说明</w:t>
          </w:r>
          <w:r>
            <w:tab/>
          </w:r>
          <w:r>
            <w:fldChar w:fldCharType="begin"/>
          </w:r>
          <w:r>
            <w:instrText xml:space="preserve"> PAGEREF _Toc26494 \h </w:instrText>
          </w:r>
          <w:r>
            <w:fldChar w:fldCharType="separate"/>
          </w:r>
          <w:r>
            <w:t>15</w:t>
          </w:r>
          <w:r>
            <w:fldChar w:fldCharType="end"/>
          </w:r>
          <w:r>
            <w:fldChar w:fldCharType="end"/>
          </w:r>
        </w:p>
        <w:p w14:paraId="0FF22B10">
          <w:pPr>
            <w:pStyle w:val="13"/>
            <w:tabs>
              <w:tab w:val="right" w:leader="dot" w:pos="8306"/>
              <w:tab w:val="clear" w:pos="8296"/>
            </w:tabs>
          </w:pPr>
          <w:r>
            <w:fldChar w:fldCharType="begin"/>
          </w:r>
          <w:r>
            <w:instrText xml:space="preserve"> HYPERLINK \l _Toc26001 </w:instrText>
          </w:r>
          <w:r>
            <w:fldChar w:fldCharType="separate"/>
          </w:r>
          <w:r>
            <w:rPr>
              <w:rFonts w:hint="eastAsia" w:ascii="黑体" w:hAnsi="黑体" w:eastAsia="黑体"/>
            </w:rPr>
            <w:t xml:space="preserve">十、 </w:t>
          </w:r>
          <w:r>
            <w:rPr>
              <w:rFonts w:hint="eastAsia" w:ascii="黑体" w:hAnsi="黑体" w:eastAsia="黑体"/>
              <w:highlight w:val="none"/>
            </w:rPr>
            <w:t>其他重要事项的情况说明</w:t>
          </w:r>
          <w:r>
            <w:tab/>
          </w:r>
          <w:r>
            <w:fldChar w:fldCharType="begin"/>
          </w:r>
          <w:r>
            <w:instrText xml:space="preserve"> PAGEREF _Toc26001 \h </w:instrText>
          </w:r>
          <w:r>
            <w:fldChar w:fldCharType="separate"/>
          </w:r>
          <w:r>
            <w:t>15</w:t>
          </w:r>
          <w:r>
            <w:fldChar w:fldCharType="end"/>
          </w:r>
          <w:r>
            <w:fldChar w:fldCharType="end"/>
          </w:r>
        </w:p>
        <w:p w14:paraId="4E9C69A8">
          <w:pPr>
            <w:pStyle w:val="11"/>
            <w:tabs>
              <w:tab w:val="right" w:leader="dot" w:pos="8306"/>
              <w:tab w:val="clear" w:pos="8296"/>
            </w:tabs>
          </w:pPr>
          <w:r>
            <w:fldChar w:fldCharType="begin"/>
          </w:r>
          <w:r>
            <w:instrText xml:space="preserve"> HYPERLINK \l _Toc5506 </w:instrText>
          </w:r>
          <w:r>
            <w:fldChar w:fldCharType="separate"/>
          </w:r>
          <w:r>
            <w:rPr>
              <w:rFonts w:hint="eastAsia" w:ascii="黑体" w:hAnsi="黑体" w:eastAsia="黑体"/>
            </w:rPr>
            <w:t xml:space="preserve">第三部分 </w:t>
          </w:r>
          <w:r>
            <w:rPr>
              <w:rFonts w:hint="eastAsia" w:ascii="黑体" w:hAnsi="黑体" w:eastAsia="黑体"/>
              <w:szCs w:val="44"/>
              <w:highlight w:val="none"/>
            </w:rPr>
            <w:t>名</w:t>
          </w:r>
          <w:r>
            <w:rPr>
              <w:rFonts w:hint="eastAsia" w:ascii="黑体" w:hAnsi="黑体" w:eastAsia="黑体"/>
              <w:highlight w:val="none"/>
            </w:rPr>
            <w:t>词解释</w:t>
          </w:r>
          <w:r>
            <w:tab/>
          </w:r>
          <w:r>
            <w:fldChar w:fldCharType="begin"/>
          </w:r>
          <w:r>
            <w:instrText xml:space="preserve"> PAGEREF _Toc5506 \h </w:instrText>
          </w:r>
          <w:r>
            <w:fldChar w:fldCharType="separate"/>
          </w:r>
          <w:r>
            <w:t>18</w:t>
          </w:r>
          <w:r>
            <w:fldChar w:fldCharType="end"/>
          </w:r>
          <w:r>
            <w:fldChar w:fldCharType="end"/>
          </w:r>
        </w:p>
        <w:p w14:paraId="5CC18A83">
          <w:pPr>
            <w:pStyle w:val="11"/>
            <w:tabs>
              <w:tab w:val="right" w:leader="dot" w:pos="8306"/>
              <w:tab w:val="clear" w:pos="8296"/>
            </w:tabs>
          </w:pPr>
          <w:r>
            <w:fldChar w:fldCharType="begin"/>
          </w:r>
          <w:r>
            <w:instrText xml:space="preserve"> HYPERLINK \l _Toc17440 </w:instrText>
          </w:r>
          <w:r>
            <w:fldChar w:fldCharType="separate"/>
          </w:r>
          <w:r>
            <w:rPr>
              <w:rFonts w:hint="eastAsia" w:ascii="黑体" w:hAnsi="黑体" w:eastAsia="黑体"/>
            </w:rPr>
            <w:t xml:space="preserve">第四部分 </w:t>
          </w:r>
          <w:r>
            <w:rPr>
              <w:rFonts w:hint="eastAsia" w:ascii="黑体" w:hAnsi="黑体" w:eastAsia="黑体"/>
              <w:highlight w:val="none"/>
            </w:rPr>
            <w:t>附件</w:t>
          </w:r>
          <w:r>
            <w:tab/>
          </w:r>
          <w:r>
            <w:fldChar w:fldCharType="begin"/>
          </w:r>
          <w:r>
            <w:instrText xml:space="preserve"> PAGEREF _Toc17440 \h </w:instrText>
          </w:r>
          <w:r>
            <w:fldChar w:fldCharType="separate"/>
          </w:r>
          <w:r>
            <w:t>23</w:t>
          </w:r>
          <w:r>
            <w:fldChar w:fldCharType="end"/>
          </w:r>
          <w:r>
            <w:fldChar w:fldCharType="end"/>
          </w:r>
        </w:p>
        <w:p w14:paraId="1106C4EF">
          <w:pPr>
            <w:pStyle w:val="11"/>
            <w:tabs>
              <w:tab w:val="right" w:leader="dot" w:pos="8306"/>
              <w:tab w:val="clear" w:pos="8296"/>
            </w:tabs>
          </w:pPr>
          <w:r>
            <w:fldChar w:fldCharType="begin"/>
          </w:r>
          <w:r>
            <w:instrText xml:space="preserve"> HYPERLINK \l _Toc1573 </w:instrText>
          </w:r>
          <w:r>
            <w:fldChar w:fldCharType="separate"/>
          </w:r>
          <w:r>
            <w:rPr>
              <w:rFonts w:hint="eastAsia" w:ascii="黑体" w:hAnsi="黑体" w:eastAsia="黑体"/>
              <w:szCs w:val="44"/>
              <w:highlight w:val="none"/>
            </w:rPr>
            <w:t>第</w:t>
          </w:r>
          <w:r>
            <w:rPr>
              <w:rFonts w:hint="eastAsia" w:ascii="黑体" w:hAnsi="黑体" w:eastAsia="黑体"/>
              <w:highlight w:val="none"/>
            </w:rPr>
            <w:t>五部分 附表</w:t>
          </w:r>
          <w:r>
            <w:tab/>
          </w:r>
          <w:r>
            <w:fldChar w:fldCharType="begin"/>
          </w:r>
          <w:r>
            <w:instrText xml:space="preserve"> PAGEREF _Toc1573 \h </w:instrText>
          </w:r>
          <w:r>
            <w:fldChar w:fldCharType="separate"/>
          </w:r>
          <w:r>
            <w:t>77</w:t>
          </w:r>
          <w:r>
            <w:fldChar w:fldCharType="end"/>
          </w:r>
          <w:r>
            <w:fldChar w:fldCharType="end"/>
          </w:r>
        </w:p>
        <w:p w14:paraId="0466F29C">
          <w:pPr>
            <w:pStyle w:val="13"/>
            <w:tabs>
              <w:tab w:val="right" w:leader="dot" w:pos="8306"/>
              <w:tab w:val="clear" w:pos="8296"/>
            </w:tabs>
          </w:pPr>
          <w:r>
            <w:fldChar w:fldCharType="begin"/>
          </w:r>
          <w:r>
            <w:instrText xml:space="preserve"> HYPERLINK \l _Toc31467 </w:instrText>
          </w:r>
          <w:r>
            <w:fldChar w:fldCharType="separate"/>
          </w:r>
          <w:r>
            <w:rPr>
              <w:rFonts w:hint="eastAsia" w:ascii="仿宋" w:hAnsi="仿宋" w:eastAsia="仿宋"/>
              <w:highlight w:val="none"/>
            </w:rPr>
            <w:t>一、收</w:t>
          </w:r>
          <w:r>
            <w:rPr>
              <w:rFonts w:hint="eastAsia" w:ascii="仿宋" w:hAnsi="仿宋" w:eastAsia="仿宋"/>
              <w:bCs w:val="0"/>
              <w:highlight w:val="none"/>
            </w:rPr>
            <w:t>入支出决算总表</w:t>
          </w:r>
          <w:r>
            <w:tab/>
          </w:r>
          <w:r>
            <w:fldChar w:fldCharType="begin"/>
          </w:r>
          <w:r>
            <w:instrText xml:space="preserve"> PAGEREF _Toc31467 \h </w:instrText>
          </w:r>
          <w:r>
            <w:fldChar w:fldCharType="separate"/>
          </w:r>
          <w:r>
            <w:t>77</w:t>
          </w:r>
          <w:r>
            <w:fldChar w:fldCharType="end"/>
          </w:r>
          <w:r>
            <w:fldChar w:fldCharType="end"/>
          </w:r>
        </w:p>
        <w:p w14:paraId="656D0577">
          <w:pPr>
            <w:pStyle w:val="13"/>
            <w:tabs>
              <w:tab w:val="right" w:leader="dot" w:pos="8306"/>
              <w:tab w:val="clear" w:pos="8296"/>
            </w:tabs>
          </w:pPr>
          <w:r>
            <w:fldChar w:fldCharType="begin"/>
          </w:r>
          <w:r>
            <w:instrText xml:space="preserve"> HYPERLINK \l _Toc16074 </w:instrText>
          </w:r>
          <w:r>
            <w:fldChar w:fldCharType="separate"/>
          </w:r>
          <w:r>
            <w:rPr>
              <w:rFonts w:hint="eastAsia" w:ascii="仿宋" w:hAnsi="仿宋" w:eastAsia="仿宋"/>
              <w:highlight w:val="none"/>
            </w:rPr>
            <w:t>二、收</w:t>
          </w:r>
          <w:r>
            <w:rPr>
              <w:rFonts w:hint="eastAsia" w:ascii="仿宋" w:hAnsi="仿宋" w:eastAsia="仿宋"/>
              <w:bCs w:val="0"/>
              <w:highlight w:val="none"/>
            </w:rPr>
            <w:t>入决算表</w:t>
          </w:r>
          <w:r>
            <w:tab/>
          </w:r>
          <w:r>
            <w:fldChar w:fldCharType="begin"/>
          </w:r>
          <w:r>
            <w:instrText xml:space="preserve"> PAGEREF _Toc16074 \h </w:instrText>
          </w:r>
          <w:r>
            <w:fldChar w:fldCharType="separate"/>
          </w:r>
          <w:r>
            <w:t>77</w:t>
          </w:r>
          <w:r>
            <w:fldChar w:fldCharType="end"/>
          </w:r>
          <w:r>
            <w:fldChar w:fldCharType="end"/>
          </w:r>
        </w:p>
        <w:p w14:paraId="21148C90">
          <w:pPr>
            <w:pStyle w:val="13"/>
            <w:tabs>
              <w:tab w:val="right" w:leader="dot" w:pos="8306"/>
              <w:tab w:val="clear" w:pos="8296"/>
            </w:tabs>
          </w:pPr>
          <w:r>
            <w:fldChar w:fldCharType="begin"/>
          </w:r>
          <w:r>
            <w:instrText xml:space="preserve"> HYPERLINK \l _Toc21641 </w:instrText>
          </w:r>
          <w:r>
            <w:fldChar w:fldCharType="separate"/>
          </w:r>
          <w:r>
            <w:rPr>
              <w:rFonts w:hint="eastAsia" w:ascii="仿宋" w:hAnsi="仿宋" w:eastAsia="仿宋"/>
              <w:bCs w:val="0"/>
              <w:highlight w:val="none"/>
            </w:rPr>
            <w:t>三、</w:t>
          </w:r>
          <w:r>
            <w:rPr>
              <w:rFonts w:hint="eastAsia" w:ascii="仿宋" w:hAnsi="仿宋" w:eastAsia="仿宋"/>
              <w:highlight w:val="none"/>
            </w:rPr>
            <w:t>支</w:t>
          </w:r>
          <w:r>
            <w:rPr>
              <w:rFonts w:hint="eastAsia" w:ascii="仿宋" w:hAnsi="仿宋" w:eastAsia="仿宋"/>
              <w:bCs w:val="0"/>
              <w:highlight w:val="none"/>
            </w:rPr>
            <w:t>出决算表</w:t>
          </w:r>
          <w:r>
            <w:tab/>
          </w:r>
          <w:r>
            <w:fldChar w:fldCharType="begin"/>
          </w:r>
          <w:r>
            <w:instrText xml:space="preserve"> PAGEREF _Toc21641 \h </w:instrText>
          </w:r>
          <w:r>
            <w:fldChar w:fldCharType="separate"/>
          </w:r>
          <w:r>
            <w:t>77</w:t>
          </w:r>
          <w:r>
            <w:fldChar w:fldCharType="end"/>
          </w:r>
          <w:r>
            <w:fldChar w:fldCharType="end"/>
          </w:r>
        </w:p>
        <w:p w14:paraId="149874E5">
          <w:pPr>
            <w:pStyle w:val="13"/>
            <w:tabs>
              <w:tab w:val="right" w:leader="dot" w:pos="8306"/>
              <w:tab w:val="clear" w:pos="8296"/>
            </w:tabs>
          </w:pPr>
          <w:r>
            <w:fldChar w:fldCharType="begin"/>
          </w:r>
          <w:r>
            <w:instrText xml:space="preserve"> HYPERLINK \l _Toc22376 </w:instrText>
          </w:r>
          <w:r>
            <w:fldChar w:fldCharType="separate"/>
          </w:r>
          <w:r>
            <w:rPr>
              <w:rFonts w:hint="eastAsia" w:ascii="仿宋" w:hAnsi="仿宋" w:eastAsia="仿宋"/>
              <w:bCs w:val="0"/>
              <w:highlight w:val="none"/>
            </w:rPr>
            <w:t>四、</w:t>
          </w:r>
          <w:r>
            <w:rPr>
              <w:rFonts w:hint="eastAsia" w:ascii="仿宋" w:hAnsi="仿宋" w:eastAsia="仿宋"/>
              <w:highlight w:val="none"/>
            </w:rPr>
            <w:t>财</w:t>
          </w:r>
          <w:r>
            <w:rPr>
              <w:rFonts w:hint="eastAsia" w:ascii="仿宋" w:hAnsi="仿宋" w:eastAsia="仿宋"/>
              <w:bCs w:val="0"/>
              <w:highlight w:val="none"/>
            </w:rPr>
            <w:t>政拨款收入支出决算总表</w:t>
          </w:r>
          <w:r>
            <w:tab/>
          </w:r>
          <w:r>
            <w:fldChar w:fldCharType="begin"/>
          </w:r>
          <w:r>
            <w:instrText xml:space="preserve"> PAGEREF _Toc22376 \h </w:instrText>
          </w:r>
          <w:r>
            <w:fldChar w:fldCharType="separate"/>
          </w:r>
          <w:r>
            <w:t>77</w:t>
          </w:r>
          <w:r>
            <w:fldChar w:fldCharType="end"/>
          </w:r>
          <w:r>
            <w:fldChar w:fldCharType="end"/>
          </w:r>
        </w:p>
        <w:p w14:paraId="45FE2D5C">
          <w:pPr>
            <w:pStyle w:val="13"/>
            <w:tabs>
              <w:tab w:val="right" w:leader="dot" w:pos="8306"/>
              <w:tab w:val="clear" w:pos="8296"/>
            </w:tabs>
          </w:pPr>
          <w:r>
            <w:fldChar w:fldCharType="begin"/>
          </w:r>
          <w:r>
            <w:instrText xml:space="preserve"> HYPERLINK \l _Toc2537 </w:instrText>
          </w:r>
          <w:r>
            <w:fldChar w:fldCharType="separate"/>
          </w:r>
          <w:r>
            <w:rPr>
              <w:rFonts w:hint="eastAsia" w:ascii="仿宋" w:hAnsi="仿宋" w:eastAsia="仿宋"/>
              <w:bCs w:val="0"/>
              <w:highlight w:val="none"/>
            </w:rPr>
            <w:t>五、</w:t>
          </w:r>
          <w:r>
            <w:rPr>
              <w:rFonts w:hint="eastAsia" w:ascii="仿宋" w:hAnsi="仿宋" w:eastAsia="仿宋"/>
              <w:highlight w:val="none"/>
            </w:rPr>
            <w:t>财</w:t>
          </w:r>
          <w:r>
            <w:rPr>
              <w:rFonts w:hint="eastAsia" w:ascii="仿宋" w:hAnsi="仿宋" w:eastAsia="仿宋"/>
              <w:bCs w:val="0"/>
              <w:highlight w:val="none"/>
            </w:rPr>
            <w:t>政拨款支出决算明细表</w:t>
          </w:r>
          <w:r>
            <w:tab/>
          </w:r>
          <w:r>
            <w:fldChar w:fldCharType="begin"/>
          </w:r>
          <w:r>
            <w:instrText xml:space="preserve"> PAGEREF _Toc2537 \h </w:instrText>
          </w:r>
          <w:r>
            <w:fldChar w:fldCharType="separate"/>
          </w:r>
          <w:r>
            <w:t>77</w:t>
          </w:r>
          <w:r>
            <w:fldChar w:fldCharType="end"/>
          </w:r>
          <w:r>
            <w:fldChar w:fldCharType="end"/>
          </w:r>
        </w:p>
        <w:p w14:paraId="101C00BB">
          <w:pPr>
            <w:pStyle w:val="13"/>
            <w:tabs>
              <w:tab w:val="right" w:leader="dot" w:pos="8306"/>
              <w:tab w:val="clear" w:pos="8296"/>
            </w:tabs>
          </w:pPr>
          <w:r>
            <w:fldChar w:fldCharType="begin"/>
          </w:r>
          <w:r>
            <w:instrText xml:space="preserve"> HYPERLINK \l _Toc27320 </w:instrText>
          </w:r>
          <w:r>
            <w:fldChar w:fldCharType="separate"/>
          </w:r>
          <w:r>
            <w:rPr>
              <w:rFonts w:hint="eastAsia" w:ascii="仿宋" w:hAnsi="仿宋" w:eastAsia="仿宋"/>
              <w:bCs w:val="0"/>
              <w:highlight w:val="none"/>
            </w:rPr>
            <w:t>六、</w:t>
          </w:r>
          <w:r>
            <w:rPr>
              <w:rFonts w:hint="eastAsia" w:ascii="仿宋" w:hAnsi="仿宋" w:eastAsia="仿宋"/>
              <w:highlight w:val="none"/>
            </w:rPr>
            <w:t>一</w:t>
          </w:r>
          <w:r>
            <w:rPr>
              <w:rFonts w:hint="eastAsia" w:ascii="仿宋" w:hAnsi="仿宋" w:eastAsia="仿宋"/>
              <w:bCs w:val="0"/>
              <w:highlight w:val="none"/>
            </w:rPr>
            <w:t>般公共预算财政拨款支出决算表</w:t>
          </w:r>
          <w:r>
            <w:tab/>
          </w:r>
          <w:r>
            <w:fldChar w:fldCharType="begin"/>
          </w:r>
          <w:r>
            <w:instrText xml:space="preserve"> PAGEREF _Toc27320 \h </w:instrText>
          </w:r>
          <w:r>
            <w:fldChar w:fldCharType="separate"/>
          </w:r>
          <w:r>
            <w:t>77</w:t>
          </w:r>
          <w:r>
            <w:fldChar w:fldCharType="end"/>
          </w:r>
          <w:r>
            <w:fldChar w:fldCharType="end"/>
          </w:r>
        </w:p>
        <w:p w14:paraId="716CDEA6">
          <w:pPr>
            <w:pStyle w:val="13"/>
            <w:tabs>
              <w:tab w:val="right" w:leader="dot" w:pos="8306"/>
              <w:tab w:val="clear" w:pos="8296"/>
            </w:tabs>
          </w:pPr>
          <w:r>
            <w:fldChar w:fldCharType="begin"/>
          </w:r>
          <w:r>
            <w:instrText xml:space="preserve"> HYPERLINK \l _Toc8768 </w:instrText>
          </w:r>
          <w:r>
            <w:fldChar w:fldCharType="separate"/>
          </w:r>
          <w:r>
            <w:rPr>
              <w:rFonts w:hint="eastAsia" w:ascii="仿宋" w:hAnsi="仿宋" w:eastAsia="仿宋"/>
              <w:bCs w:val="0"/>
              <w:highlight w:val="none"/>
            </w:rPr>
            <w:t>七、</w:t>
          </w:r>
          <w:r>
            <w:rPr>
              <w:rFonts w:hint="eastAsia" w:ascii="仿宋" w:hAnsi="仿宋" w:eastAsia="仿宋"/>
              <w:highlight w:val="none"/>
            </w:rPr>
            <w:t>一</w:t>
          </w:r>
          <w:r>
            <w:rPr>
              <w:rFonts w:hint="eastAsia" w:ascii="仿宋" w:hAnsi="仿宋" w:eastAsia="仿宋"/>
              <w:bCs w:val="0"/>
              <w:highlight w:val="none"/>
            </w:rPr>
            <w:t>般公共预算财政拨款支出决算明细表</w:t>
          </w:r>
          <w:r>
            <w:tab/>
          </w:r>
          <w:r>
            <w:fldChar w:fldCharType="begin"/>
          </w:r>
          <w:r>
            <w:instrText xml:space="preserve"> PAGEREF _Toc8768 \h </w:instrText>
          </w:r>
          <w:r>
            <w:fldChar w:fldCharType="separate"/>
          </w:r>
          <w:r>
            <w:t>77</w:t>
          </w:r>
          <w:r>
            <w:fldChar w:fldCharType="end"/>
          </w:r>
          <w:r>
            <w:fldChar w:fldCharType="end"/>
          </w:r>
        </w:p>
        <w:p w14:paraId="65A48837">
          <w:pPr>
            <w:pStyle w:val="13"/>
            <w:tabs>
              <w:tab w:val="right" w:leader="dot" w:pos="8306"/>
              <w:tab w:val="clear" w:pos="8296"/>
            </w:tabs>
          </w:pPr>
          <w:r>
            <w:fldChar w:fldCharType="begin"/>
          </w:r>
          <w:r>
            <w:instrText xml:space="preserve"> HYPERLINK \l _Toc25854 </w:instrText>
          </w:r>
          <w:r>
            <w:fldChar w:fldCharType="separate"/>
          </w:r>
          <w:r>
            <w:rPr>
              <w:rFonts w:hint="eastAsia" w:ascii="仿宋" w:hAnsi="仿宋" w:eastAsia="仿宋"/>
              <w:bCs w:val="0"/>
              <w:highlight w:val="none"/>
            </w:rPr>
            <w:t>八、</w:t>
          </w:r>
          <w:r>
            <w:rPr>
              <w:rFonts w:hint="eastAsia" w:ascii="仿宋" w:hAnsi="仿宋" w:eastAsia="仿宋"/>
              <w:highlight w:val="none"/>
            </w:rPr>
            <w:t>一</w:t>
          </w:r>
          <w:r>
            <w:rPr>
              <w:rFonts w:hint="eastAsia" w:ascii="仿宋" w:hAnsi="仿宋" w:eastAsia="仿宋"/>
              <w:bCs w:val="0"/>
              <w:highlight w:val="none"/>
            </w:rPr>
            <w:t>般公共预算财政拨款基本支出决算表</w:t>
          </w:r>
          <w:r>
            <w:tab/>
          </w:r>
          <w:r>
            <w:fldChar w:fldCharType="begin"/>
          </w:r>
          <w:r>
            <w:instrText xml:space="preserve"> PAGEREF _Toc25854 \h </w:instrText>
          </w:r>
          <w:r>
            <w:fldChar w:fldCharType="separate"/>
          </w:r>
          <w:r>
            <w:t>77</w:t>
          </w:r>
          <w:r>
            <w:fldChar w:fldCharType="end"/>
          </w:r>
          <w:r>
            <w:fldChar w:fldCharType="end"/>
          </w:r>
        </w:p>
        <w:p w14:paraId="1F9DDC2F">
          <w:pPr>
            <w:pStyle w:val="13"/>
            <w:tabs>
              <w:tab w:val="right" w:leader="dot" w:pos="8306"/>
              <w:tab w:val="clear" w:pos="8296"/>
            </w:tabs>
          </w:pPr>
          <w:r>
            <w:fldChar w:fldCharType="begin"/>
          </w:r>
          <w:r>
            <w:instrText xml:space="preserve"> HYPERLINK \l _Toc15159 </w:instrText>
          </w:r>
          <w:r>
            <w:fldChar w:fldCharType="separate"/>
          </w:r>
          <w:r>
            <w:rPr>
              <w:rFonts w:hint="eastAsia" w:ascii="仿宋" w:hAnsi="仿宋" w:eastAsia="仿宋"/>
              <w:bCs w:val="0"/>
              <w:highlight w:val="none"/>
            </w:rPr>
            <w:t>九、</w:t>
          </w:r>
          <w:r>
            <w:rPr>
              <w:rFonts w:hint="eastAsia" w:ascii="仿宋" w:hAnsi="仿宋" w:eastAsia="仿宋"/>
              <w:highlight w:val="none"/>
            </w:rPr>
            <w:t>一</w:t>
          </w:r>
          <w:r>
            <w:rPr>
              <w:rFonts w:hint="eastAsia" w:ascii="仿宋" w:hAnsi="仿宋" w:eastAsia="仿宋"/>
              <w:bCs w:val="0"/>
              <w:highlight w:val="none"/>
            </w:rPr>
            <w:t>般公共预算财政拨款项目支出决算表</w:t>
          </w:r>
          <w:r>
            <w:tab/>
          </w:r>
          <w:r>
            <w:fldChar w:fldCharType="begin"/>
          </w:r>
          <w:r>
            <w:instrText xml:space="preserve"> PAGEREF _Toc15159 \h </w:instrText>
          </w:r>
          <w:r>
            <w:fldChar w:fldCharType="separate"/>
          </w:r>
          <w:r>
            <w:t>77</w:t>
          </w:r>
          <w:r>
            <w:fldChar w:fldCharType="end"/>
          </w:r>
          <w:r>
            <w:fldChar w:fldCharType="end"/>
          </w:r>
        </w:p>
        <w:p w14:paraId="3E7C403D">
          <w:pPr>
            <w:pStyle w:val="13"/>
            <w:tabs>
              <w:tab w:val="right" w:leader="dot" w:pos="8306"/>
              <w:tab w:val="clear" w:pos="8296"/>
            </w:tabs>
          </w:pPr>
          <w:r>
            <w:fldChar w:fldCharType="begin"/>
          </w:r>
          <w:r>
            <w:instrText xml:space="preserve"> HYPERLINK \l _Toc3550 </w:instrText>
          </w:r>
          <w:r>
            <w:fldChar w:fldCharType="separate"/>
          </w:r>
          <w:r>
            <w:rPr>
              <w:rFonts w:hint="eastAsia" w:ascii="仿宋" w:hAnsi="仿宋" w:eastAsia="仿宋"/>
              <w:bCs w:val="0"/>
              <w:highlight w:val="none"/>
            </w:rPr>
            <w:t>十、</w:t>
          </w:r>
          <w:r>
            <w:rPr>
              <w:rFonts w:hint="eastAsia" w:ascii="仿宋" w:hAnsi="仿宋" w:eastAsia="仿宋"/>
              <w:highlight w:val="none"/>
            </w:rPr>
            <w:t>政</w:t>
          </w:r>
          <w:r>
            <w:rPr>
              <w:rFonts w:hint="eastAsia" w:ascii="仿宋" w:hAnsi="仿宋" w:eastAsia="仿宋"/>
              <w:bCs w:val="0"/>
              <w:highlight w:val="none"/>
            </w:rPr>
            <w:t>府性基金预算财政拨款收入支出决算表</w:t>
          </w:r>
          <w:r>
            <w:tab/>
          </w:r>
          <w:r>
            <w:fldChar w:fldCharType="begin"/>
          </w:r>
          <w:r>
            <w:instrText xml:space="preserve"> PAGEREF _Toc3550 \h </w:instrText>
          </w:r>
          <w:r>
            <w:fldChar w:fldCharType="separate"/>
          </w:r>
          <w:r>
            <w:t>77</w:t>
          </w:r>
          <w:r>
            <w:fldChar w:fldCharType="end"/>
          </w:r>
          <w:r>
            <w:fldChar w:fldCharType="end"/>
          </w:r>
        </w:p>
        <w:p w14:paraId="00AFA428">
          <w:pPr>
            <w:pStyle w:val="13"/>
            <w:tabs>
              <w:tab w:val="right" w:leader="dot" w:pos="8306"/>
              <w:tab w:val="clear" w:pos="8296"/>
            </w:tabs>
          </w:pPr>
          <w:r>
            <w:fldChar w:fldCharType="begin"/>
          </w:r>
          <w:r>
            <w:instrText xml:space="preserve"> HYPERLINK \l _Toc17378 </w:instrText>
          </w:r>
          <w:r>
            <w:fldChar w:fldCharType="separate"/>
          </w:r>
          <w:r>
            <w:rPr>
              <w:rFonts w:hint="eastAsia" w:ascii="仿宋" w:hAnsi="仿宋" w:eastAsia="仿宋"/>
              <w:bCs w:val="0"/>
              <w:highlight w:val="none"/>
            </w:rPr>
            <w:t>十一、</w:t>
          </w:r>
          <w:r>
            <w:rPr>
              <w:rFonts w:hint="eastAsia" w:ascii="仿宋" w:hAnsi="仿宋" w:eastAsia="仿宋"/>
              <w:highlight w:val="none"/>
            </w:rPr>
            <w:t>国</w:t>
          </w:r>
          <w:r>
            <w:rPr>
              <w:rFonts w:hint="eastAsia" w:ascii="仿宋" w:hAnsi="仿宋" w:eastAsia="仿宋"/>
              <w:bCs w:val="0"/>
              <w:highlight w:val="none"/>
            </w:rPr>
            <w:t>有资本经营预算</w:t>
          </w:r>
          <w:r>
            <w:rPr>
              <w:rFonts w:hint="eastAsia" w:ascii="仿宋" w:hAnsi="仿宋" w:eastAsia="仿宋"/>
              <w:bCs w:val="0"/>
              <w:highlight w:val="none"/>
              <w:lang w:eastAsia="zh-CN"/>
            </w:rPr>
            <w:t>财政拨款收入</w:t>
          </w:r>
          <w:r>
            <w:rPr>
              <w:rFonts w:hint="eastAsia" w:ascii="仿宋" w:hAnsi="仿宋" w:eastAsia="仿宋"/>
              <w:bCs w:val="0"/>
              <w:highlight w:val="none"/>
            </w:rPr>
            <w:t>支出决算表</w:t>
          </w:r>
          <w:r>
            <w:tab/>
          </w:r>
          <w:r>
            <w:fldChar w:fldCharType="begin"/>
          </w:r>
          <w:r>
            <w:instrText xml:space="preserve"> PAGEREF _Toc17378 \h </w:instrText>
          </w:r>
          <w:r>
            <w:fldChar w:fldCharType="separate"/>
          </w:r>
          <w:r>
            <w:t>77</w:t>
          </w:r>
          <w:r>
            <w:fldChar w:fldCharType="end"/>
          </w:r>
          <w:r>
            <w:fldChar w:fldCharType="end"/>
          </w:r>
        </w:p>
        <w:p w14:paraId="33403AFA">
          <w:pPr>
            <w:pStyle w:val="13"/>
            <w:tabs>
              <w:tab w:val="right" w:leader="dot" w:pos="8306"/>
              <w:tab w:val="clear" w:pos="8296"/>
            </w:tabs>
          </w:pPr>
          <w:r>
            <w:fldChar w:fldCharType="begin"/>
          </w:r>
          <w:r>
            <w:instrText xml:space="preserve"> HYPERLINK \l _Toc19999 </w:instrText>
          </w:r>
          <w:r>
            <w:fldChar w:fldCharType="separate"/>
          </w:r>
          <w:r>
            <w:rPr>
              <w:rFonts w:hint="eastAsia" w:ascii="仿宋" w:hAnsi="仿宋" w:eastAsia="仿宋"/>
              <w:bCs w:val="0"/>
              <w:highlight w:val="none"/>
            </w:rPr>
            <w:t>十二、</w:t>
          </w:r>
          <w:r>
            <w:rPr>
              <w:rFonts w:hint="eastAsia" w:ascii="仿宋" w:hAnsi="仿宋" w:eastAsia="仿宋"/>
              <w:bCs w:val="0"/>
              <w:highlight w:val="none"/>
              <w:lang w:eastAsia="zh-CN"/>
            </w:rPr>
            <w:t>国有资本经营预算财政拨款支出决算表</w:t>
          </w:r>
          <w:r>
            <w:tab/>
          </w:r>
          <w:r>
            <w:fldChar w:fldCharType="begin"/>
          </w:r>
          <w:r>
            <w:instrText xml:space="preserve"> PAGEREF _Toc19999 \h </w:instrText>
          </w:r>
          <w:r>
            <w:fldChar w:fldCharType="separate"/>
          </w:r>
          <w:r>
            <w:t>77</w:t>
          </w:r>
          <w:r>
            <w:fldChar w:fldCharType="end"/>
          </w:r>
          <w:r>
            <w:fldChar w:fldCharType="end"/>
          </w:r>
        </w:p>
        <w:p w14:paraId="4DF189AB">
          <w:pPr>
            <w:pStyle w:val="13"/>
            <w:tabs>
              <w:tab w:val="right" w:leader="dot" w:pos="8306"/>
              <w:tab w:val="clear" w:pos="8296"/>
            </w:tabs>
          </w:pPr>
          <w:r>
            <w:fldChar w:fldCharType="begin"/>
          </w:r>
          <w:r>
            <w:instrText xml:space="preserve"> HYPERLINK \l _Toc18430 </w:instrText>
          </w:r>
          <w:r>
            <w:fldChar w:fldCharType="separate"/>
          </w:r>
          <w:r>
            <w:rPr>
              <w:rFonts w:hint="eastAsia" w:ascii="仿宋" w:hAnsi="仿宋" w:eastAsia="仿宋"/>
              <w:bCs w:val="0"/>
              <w:highlight w:val="none"/>
            </w:rPr>
            <w:t>十三、</w:t>
          </w:r>
          <w:r>
            <w:rPr>
              <w:rFonts w:hint="eastAsia" w:ascii="仿宋" w:hAnsi="仿宋" w:eastAsia="仿宋"/>
              <w:bCs w:val="0"/>
              <w:highlight w:val="none"/>
              <w:lang w:eastAsia="zh-CN"/>
            </w:rPr>
            <w:t>财政拨款“三公”经费支出决算表</w:t>
          </w:r>
          <w:r>
            <w:tab/>
          </w:r>
          <w:r>
            <w:fldChar w:fldCharType="begin"/>
          </w:r>
          <w:r>
            <w:instrText xml:space="preserve"> PAGEREF _Toc18430 \h </w:instrText>
          </w:r>
          <w:r>
            <w:fldChar w:fldCharType="separate"/>
          </w:r>
          <w:r>
            <w:t>77</w:t>
          </w:r>
          <w:r>
            <w:fldChar w:fldCharType="end"/>
          </w:r>
          <w:r>
            <w:fldChar w:fldCharType="end"/>
          </w:r>
        </w:p>
        <w:p w14:paraId="3FF4A866">
          <w:pPr>
            <w:rPr>
              <w:b/>
            </w:rPr>
          </w:pPr>
          <w:r>
            <w:fldChar w:fldCharType="end"/>
          </w:r>
        </w:p>
      </w:sdtContent>
    </w:sdt>
    <w:p w14:paraId="5327B465">
      <w:pPr>
        <w:rPr>
          <w:b/>
        </w:rPr>
      </w:pPr>
    </w:p>
    <w:p w14:paraId="29593C1F">
      <w:pPr>
        <w:pStyle w:val="15"/>
        <w:outlineLvl w:val="9"/>
        <w:rPr>
          <w:rFonts w:hint="eastAsia"/>
          <w:color w:val="auto"/>
          <w:highlight w:val="none"/>
        </w:rPr>
      </w:pPr>
    </w:p>
    <w:p w14:paraId="7E559B3A">
      <w:pPr>
        <w:rPr>
          <w:rFonts w:hint="eastAsia"/>
        </w:rPr>
      </w:pPr>
      <w:bookmarkStart w:id="12" w:name="_Toc15377196"/>
      <w:bookmarkStart w:id="13" w:name="_Toc15396599"/>
    </w:p>
    <w:p w14:paraId="25F5D356">
      <w:pPr>
        <w:pStyle w:val="2"/>
        <w:jc w:val="center"/>
        <w:outlineLvl w:val="0"/>
        <w:rPr>
          <w:rFonts w:ascii="黑体" w:eastAsia="黑体"/>
          <w:color w:val="auto"/>
          <w:sz w:val="32"/>
          <w:szCs w:val="32"/>
          <w:highlight w:val="none"/>
        </w:rPr>
      </w:pPr>
      <w:bookmarkStart w:id="14" w:name="_Toc18202"/>
      <w:bookmarkStart w:id="15" w:name="_Toc15849"/>
      <w:r>
        <w:rPr>
          <w:rFonts w:hint="eastAsia" w:ascii="黑体" w:hAnsi="黑体" w:eastAsia="黑体"/>
          <w:b w:val="0"/>
          <w:color w:val="auto"/>
          <w:highlight w:val="none"/>
        </w:rPr>
        <w:t xml:space="preserve">第一部分 </w:t>
      </w:r>
      <w:r>
        <w:rPr>
          <w:rStyle w:val="21"/>
          <w:rFonts w:hint="eastAsia" w:ascii="黑体" w:hAnsi="黑体" w:eastAsia="黑体"/>
          <w:b w:val="0"/>
          <w:bCs w:val="0"/>
          <w:color w:val="auto"/>
          <w:highlight w:val="none"/>
        </w:rPr>
        <w:t>部门概况</w:t>
      </w:r>
      <w:bookmarkEnd w:id="12"/>
      <w:bookmarkEnd w:id="13"/>
      <w:bookmarkEnd w:id="14"/>
      <w:bookmarkEnd w:id="15"/>
    </w:p>
    <w:p w14:paraId="60B558E2">
      <w:pPr>
        <w:pStyle w:val="3"/>
        <w:numPr>
          <w:ilvl w:val="0"/>
          <w:numId w:val="1"/>
        </w:numPr>
        <w:outlineLvl w:val="1"/>
        <w:rPr>
          <w:rFonts w:ascii="仿宋" w:hAnsi="仿宋" w:eastAsia="仿宋"/>
          <w:sz w:val="32"/>
          <w:szCs w:val="32"/>
        </w:rPr>
      </w:pPr>
      <w:bookmarkStart w:id="16" w:name="_Toc7236"/>
      <w:bookmarkStart w:id="17" w:name="_Toc27674"/>
      <w:r>
        <w:rPr>
          <w:rFonts w:hint="eastAsia" w:ascii="黑体" w:hAnsi="黑体" w:eastAsia="黑体"/>
          <w:b w:val="0"/>
          <w:color w:val="auto"/>
          <w:highlight w:val="none"/>
          <w:lang w:eastAsia="zh-CN"/>
        </w:rPr>
        <w:t>部门职责</w:t>
      </w:r>
      <w:bookmarkEnd w:id="16"/>
      <w:bookmarkEnd w:id="17"/>
    </w:p>
    <w:p w14:paraId="4D347FCD">
      <w:pPr>
        <w:ind w:firstLine="640" w:firstLineChars="200"/>
        <w:rPr>
          <w:rFonts w:ascii="仿宋" w:hAnsi="仿宋" w:eastAsia="仿宋"/>
          <w:sz w:val="32"/>
          <w:szCs w:val="32"/>
        </w:rPr>
      </w:pPr>
      <w:r>
        <w:rPr>
          <w:rFonts w:hint="eastAsia" w:ascii="仿宋" w:hAnsi="仿宋" w:eastAsia="仿宋"/>
          <w:sz w:val="32"/>
          <w:szCs w:val="32"/>
        </w:rPr>
        <w:t>1.宣传贯彻执行有关水务工作的</w:t>
      </w:r>
      <w:r>
        <w:rPr>
          <w:rFonts w:hint="eastAsia" w:ascii="仿宋" w:hAnsi="仿宋" w:eastAsia="仿宋"/>
          <w:sz w:val="32"/>
          <w:szCs w:val="32"/>
          <w:lang w:eastAsia="zh-CN"/>
        </w:rPr>
        <w:t>法律法规</w:t>
      </w:r>
      <w:r>
        <w:rPr>
          <w:rFonts w:hint="eastAsia" w:ascii="仿宋" w:hAnsi="仿宋" w:eastAsia="仿宋"/>
          <w:sz w:val="32"/>
          <w:szCs w:val="32"/>
        </w:rPr>
        <w:t>和方针政策；负责拟定全县水务管理规范性文件并组织实施。</w:t>
      </w:r>
    </w:p>
    <w:p w14:paraId="37A641F5">
      <w:pPr>
        <w:ind w:firstLine="640" w:firstLineChars="200"/>
        <w:rPr>
          <w:rFonts w:ascii="仿宋" w:hAnsi="仿宋" w:eastAsia="仿宋"/>
          <w:sz w:val="32"/>
          <w:szCs w:val="32"/>
        </w:rPr>
      </w:pPr>
      <w:r>
        <w:rPr>
          <w:rFonts w:hint="eastAsia" w:ascii="仿宋" w:hAnsi="仿宋" w:eastAsia="仿宋"/>
          <w:sz w:val="32"/>
          <w:szCs w:val="32"/>
        </w:rPr>
        <w:t>2.负责编制全县城乡水务发展规划；拟定全县中长期供水计划和年度供水计划、水量分配方案和旱情紧急情况下水量调度预案，并组织实施。</w:t>
      </w:r>
    </w:p>
    <w:p w14:paraId="1B516FA7">
      <w:pPr>
        <w:ind w:firstLine="640" w:firstLineChars="200"/>
        <w:rPr>
          <w:rFonts w:ascii="仿宋" w:hAnsi="仿宋" w:eastAsia="仿宋"/>
          <w:sz w:val="32"/>
          <w:szCs w:val="32"/>
        </w:rPr>
      </w:pPr>
      <w:r>
        <w:rPr>
          <w:rFonts w:hint="eastAsia" w:ascii="仿宋" w:hAnsi="仿宋" w:eastAsia="仿宋"/>
          <w:sz w:val="32"/>
          <w:szCs w:val="32"/>
        </w:rPr>
        <w:t>3.组织有关全县国民经济发展总体规划、城市规划及重大建设项目的水资源利用和防洪论证工作。</w:t>
      </w:r>
    </w:p>
    <w:p w14:paraId="11B062DC">
      <w:pPr>
        <w:ind w:firstLine="640" w:firstLineChars="200"/>
        <w:rPr>
          <w:rFonts w:ascii="仿宋" w:hAnsi="仿宋" w:eastAsia="仿宋"/>
          <w:sz w:val="32"/>
          <w:szCs w:val="32"/>
        </w:rPr>
      </w:pPr>
      <w:r>
        <w:rPr>
          <w:rFonts w:hint="eastAsia" w:ascii="仿宋" w:hAnsi="仿宋" w:eastAsia="仿宋"/>
          <w:sz w:val="32"/>
          <w:szCs w:val="32"/>
        </w:rPr>
        <w:t>4.负责全县水资源（含空中水、地表水、地下水）的统一管理和监督工作；负责对水资源的动态监测；审核水域纳污能力、向生态环境峨边分局提出限制排污总量的意见；监测江河湖库及饮水区等水域的水质、水量，组织编制全县节约用水、计划用水规划和有关标准，并组织实施。</w:t>
      </w:r>
    </w:p>
    <w:p w14:paraId="5326F46C">
      <w:pPr>
        <w:ind w:firstLine="640" w:firstLineChars="200"/>
        <w:rPr>
          <w:rFonts w:ascii="仿宋" w:hAnsi="仿宋" w:eastAsia="仿宋"/>
          <w:sz w:val="32"/>
          <w:szCs w:val="32"/>
        </w:rPr>
      </w:pPr>
      <w:r>
        <w:rPr>
          <w:rFonts w:hint="eastAsia" w:ascii="仿宋" w:hAnsi="仿宋" w:eastAsia="仿宋"/>
          <w:sz w:val="32"/>
          <w:szCs w:val="32"/>
        </w:rPr>
        <w:t>5.负责组织指导全县水务行政执法工作；负责水务行政复议的受理和行政诉讼的应诉工作；调解处理重大水事纠纷；依法查处水事违法案件。</w:t>
      </w:r>
    </w:p>
    <w:p w14:paraId="19E0A616">
      <w:pPr>
        <w:ind w:firstLine="640" w:firstLineChars="200"/>
        <w:rPr>
          <w:rFonts w:ascii="仿宋" w:hAnsi="仿宋" w:eastAsia="仿宋"/>
          <w:sz w:val="32"/>
          <w:szCs w:val="32"/>
        </w:rPr>
      </w:pPr>
      <w:r>
        <w:rPr>
          <w:rFonts w:hint="eastAsia" w:ascii="仿宋" w:hAnsi="仿宋" w:eastAsia="仿宋"/>
          <w:sz w:val="32"/>
          <w:szCs w:val="32"/>
        </w:rPr>
        <w:t>6.负责组织编制全县供水规划和供水行业管理工作；负责全县供水企业的资质管理；制定全县供水行业的服务标准并实施监督检查；负责全县供水价格测算的组织工作；负责指导、监督全县供水等基础设施建设；负责自备井的管理和指导。</w:t>
      </w:r>
    </w:p>
    <w:p w14:paraId="5E208BF9">
      <w:pPr>
        <w:ind w:firstLine="640" w:firstLineChars="200"/>
        <w:rPr>
          <w:rFonts w:ascii="仿宋" w:hAnsi="仿宋" w:eastAsia="仿宋"/>
          <w:sz w:val="32"/>
          <w:szCs w:val="32"/>
        </w:rPr>
      </w:pPr>
      <w:r>
        <w:rPr>
          <w:rFonts w:hint="eastAsia" w:ascii="仿宋" w:hAnsi="仿宋" w:eastAsia="仿宋"/>
          <w:sz w:val="32"/>
          <w:szCs w:val="32"/>
        </w:rPr>
        <w:t>7.负责拟定水务行业经济调节措施，研究提出水务行业有关价格、税收、信贷、财务等经济调节意见；负责编制全县水务行业建设项目资金计划，对水务资金的使用进行宏观管理、监督和审查。</w:t>
      </w:r>
    </w:p>
    <w:p w14:paraId="759A789B">
      <w:pPr>
        <w:ind w:firstLine="640" w:firstLineChars="200"/>
        <w:rPr>
          <w:rFonts w:ascii="仿宋" w:hAnsi="仿宋" w:eastAsia="仿宋"/>
          <w:sz w:val="32"/>
          <w:szCs w:val="32"/>
        </w:rPr>
      </w:pPr>
      <w:r>
        <w:rPr>
          <w:rFonts w:hint="eastAsia" w:ascii="仿宋" w:hAnsi="仿宋" w:eastAsia="仿宋"/>
          <w:sz w:val="32"/>
          <w:szCs w:val="32"/>
        </w:rPr>
        <w:t>8.组织指导全县水务基本建设，并实施行业监督管理；负责全县水务行业基本建设的质量监督和安全管理工作；负责小型水利工程建设，初审、转报大中型水利基建项目初步设计；组织建设和管理具有控制性或跨乡镇的重要水利工程；组织指导水库、水电站大坝的安全监督。</w:t>
      </w:r>
    </w:p>
    <w:p w14:paraId="23DECA64">
      <w:pPr>
        <w:ind w:firstLine="640" w:firstLineChars="200"/>
        <w:rPr>
          <w:rFonts w:ascii="仿宋" w:hAnsi="仿宋" w:eastAsia="仿宋"/>
          <w:sz w:val="32"/>
          <w:szCs w:val="32"/>
        </w:rPr>
      </w:pPr>
      <w:r>
        <w:rPr>
          <w:rFonts w:hint="eastAsia" w:ascii="仿宋" w:hAnsi="仿宋" w:eastAsia="仿宋"/>
          <w:sz w:val="32"/>
          <w:szCs w:val="32"/>
        </w:rPr>
        <w:t>9.编制全县水土保持规划并组织实施；负责水土保持预防监督、水土流失监测和综合防治工作；组织实施工程建设项目水土保持方案和设施自主验收的备案，征收水土保持补偿费；指导水利绿化工作。</w:t>
      </w:r>
    </w:p>
    <w:p w14:paraId="79C4636D">
      <w:pPr>
        <w:ind w:firstLine="640" w:firstLineChars="200"/>
        <w:rPr>
          <w:rFonts w:ascii="仿宋" w:hAnsi="仿宋" w:eastAsia="仿宋"/>
          <w:sz w:val="32"/>
          <w:szCs w:val="32"/>
        </w:rPr>
      </w:pPr>
      <w:r>
        <w:rPr>
          <w:rFonts w:hint="eastAsia" w:ascii="仿宋" w:hAnsi="仿宋" w:eastAsia="仿宋"/>
          <w:sz w:val="32"/>
          <w:szCs w:val="32"/>
        </w:rPr>
        <w:t>10.对县境内主要江河和重要水利工程实施山洪灾害监测；掌握全县境内的雨情、水情信息，及时传达各有关单位。</w:t>
      </w:r>
    </w:p>
    <w:p w14:paraId="32B73881">
      <w:pPr>
        <w:ind w:firstLine="640" w:firstLineChars="200"/>
        <w:rPr>
          <w:rFonts w:ascii="仿宋" w:hAnsi="仿宋" w:eastAsia="仿宋"/>
          <w:sz w:val="32"/>
          <w:szCs w:val="32"/>
        </w:rPr>
      </w:pPr>
      <w:r>
        <w:rPr>
          <w:rFonts w:hint="eastAsia" w:ascii="仿宋" w:hAnsi="仿宋" w:eastAsia="仿宋"/>
          <w:sz w:val="32"/>
          <w:szCs w:val="32"/>
        </w:rPr>
        <w:t>11.指导全县江河、湖库、滩涂的综合治理与开发；组织实施河道采砂许可制度和征收河道砂石资源费制度。</w:t>
      </w:r>
    </w:p>
    <w:p w14:paraId="6BED8576">
      <w:pPr>
        <w:ind w:firstLine="640" w:firstLineChars="200"/>
        <w:rPr>
          <w:rFonts w:ascii="仿宋" w:hAnsi="仿宋" w:eastAsia="仿宋"/>
          <w:sz w:val="32"/>
          <w:szCs w:val="32"/>
        </w:rPr>
      </w:pPr>
      <w:r>
        <w:rPr>
          <w:rFonts w:hint="eastAsia" w:ascii="仿宋" w:hAnsi="仿宋" w:eastAsia="仿宋"/>
          <w:sz w:val="32"/>
          <w:szCs w:val="32"/>
        </w:rPr>
        <w:t>12.指导全县有关水务等项目的科学研究和技术推广，组织指导全县重大水务项目对外合作和交流。</w:t>
      </w:r>
    </w:p>
    <w:p w14:paraId="439A2246">
      <w:pPr>
        <w:ind w:firstLine="640" w:firstLineChars="200"/>
        <w:rPr>
          <w:rFonts w:ascii="仿宋" w:hAnsi="仿宋" w:eastAsia="仿宋"/>
          <w:sz w:val="32"/>
          <w:szCs w:val="32"/>
        </w:rPr>
      </w:pPr>
      <w:r>
        <w:rPr>
          <w:rFonts w:hint="eastAsia" w:ascii="仿宋" w:hAnsi="仿宋" w:eastAsia="仿宋"/>
          <w:sz w:val="32"/>
          <w:szCs w:val="32"/>
        </w:rPr>
        <w:t>13.指导全县水务行业干部职工队伍建设和服务体系建设；指导水务行业劳动保护和安全生产工作。</w:t>
      </w:r>
    </w:p>
    <w:p w14:paraId="4782B0A6">
      <w:pPr>
        <w:ind w:firstLine="640" w:firstLineChars="200"/>
        <w:rPr>
          <w:rFonts w:ascii="仿宋" w:hAnsi="仿宋" w:eastAsia="仿宋"/>
          <w:sz w:val="32"/>
          <w:szCs w:val="32"/>
        </w:rPr>
      </w:pPr>
      <w:r>
        <w:rPr>
          <w:rFonts w:hint="eastAsia" w:ascii="仿宋" w:hAnsi="仿宋" w:eastAsia="仿宋"/>
          <w:sz w:val="32"/>
          <w:szCs w:val="32"/>
        </w:rPr>
        <w:t>14.负责职责范围内的安全生产和职业健康、生态环境保护、服务便民化工作。</w:t>
      </w:r>
    </w:p>
    <w:p w14:paraId="5C407B23">
      <w:pPr>
        <w:ind w:firstLine="640" w:firstLineChars="200"/>
        <w:rPr>
          <w:rFonts w:ascii="仿宋" w:hAnsi="仿宋" w:eastAsia="仿宋"/>
          <w:sz w:val="32"/>
          <w:szCs w:val="32"/>
        </w:rPr>
      </w:pPr>
      <w:r>
        <w:rPr>
          <w:rFonts w:hint="eastAsia" w:ascii="仿宋" w:hAnsi="仿宋" w:eastAsia="仿宋"/>
          <w:sz w:val="32"/>
          <w:szCs w:val="32"/>
        </w:rPr>
        <w:t>15.负责县总河长办公室的日常工作，贯彻执行上级和县委</w:t>
      </w:r>
      <w:r>
        <w:rPr>
          <w:rFonts w:hint="eastAsia" w:ascii="仿宋" w:hAnsi="仿宋" w:eastAsia="仿宋"/>
          <w:sz w:val="32"/>
          <w:szCs w:val="32"/>
          <w:lang w:eastAsia="zh-CN"/>
        </w:rPr>
        <w:t>、县</w:t>
      </w:r>
      <w:r>
        <w:rPr>
          <w:rFonts w:hint="eastAsia" w:ascii="仿宋" w:hAnsi="仿宋" w:eastAsia="仿宋"/>
          <w:sz w:val="32"/>
          <w:szCs w:val="32"/>
        </w:rPr>
        <w:t>政府河长制工作决策部署，充分发挥参谋助手、综合协调、督办等职能作用，认真履行办文、办会、办事等工作职责，统筹协调督促推进全县河长制工作</w:t>
      </w:r>
    </w:p>
    <w:p w14:paraId="762E11A4">
      <w:pPr>
        <w:ind w:firstLine="640" w:firstLineChars="200"/>
        <w:rPr>
          <w:rFonts w:ascii="仿宋" w:hAnsi="仿宋" w:eastAsia="仿宋"/>
          <w:sz w:val="32"/>
          <w:szCs w:val="32"/>
        </w:rPr>
      </w:pPr>
      <w:r>
        <w:rPr>
          <w:rFonts w:hint="eastAsia" w:ascii="仿宋" w:hAnsi="仿宋" w:eastAsia="仿宋"/>
          <w:sz w:val="32"/>
          <w:szCs w:val="32"/>
        </w:rPr>
        <w:t>16.在自然灾害防救方面的职责分工。县应急局与县自然资源局、县水务局、县林业局等部门要做到各司其职，无缝对接。县应急局负责统一组织、统一指挥、统一协调自然灾害类突发事件应急救援工作，县自然资源局、县水务局、县林业局依法依规承担相关行业领域的灾害监测、预警、防治工作及抢险救援的技术保障工作。</w:t>
      </w:r>
    </w:p>
    <w:p w14:paraId="15E85194">
      <w:pPr>
        <w:ind w:firstLine="640" w:firstLineChars="200"/>
        <w:rPr>
          <w:rFonts w:ascii="仿宋" w:hAnsi="仿宋" w:eastAsia="仿宋"/>
          <w:sz w:val="32"/>
          <w:szCs w:val="32"/>
        </w:rPr>
      </w:pPr>
      <w:r>
        <w:rPr>
          <w:rFonts w:hint="eastAsia" w:ascii="仿宋" w:hAnsi="仿宋" w:eastAsia="仿宋"/>
          <w:sz w:val="32"/>
          <w:szCs w:val="32"/>
        </w:rPr>
        <w:t>（1）县应急局负责牵头组织编制全县综合应急防灾减灾预案和安全生产类、自然灾害类专项预案，承担应急预案衔接工作，组织开展预案演练。按照分级负责的原则，组织、指导自然灾害类应急救援；组织、协调灾害应急救援工作，并按权限作出决定；承担全县应对较大及以上灾害指挥部工作；负责组织较大及以上灾害处理工作。组织编制全县综合防灾减灾规划，指导、协调相关部门森林火灾、水旱灾害、地震和地质灾害等防治工作；会同县自然资源局、县水务局、县林业局等有关部门建立统一的应急管理信息平台，建立监测预警和灾情报告制度，健全自然灾害信息资源获取和共享机制，依法统一发布灾情、发布森林和草原火险信息。组织开展多灾种和灾害链综合监测预警，承担自然灾害综合风险评估工作。</w:t>
      </w:r>
    </w:p>
    <w:p w14:paraId="799EB9E4">
      <w:pPr>
        <w:ind w:firstLine="320" w:firstLineChars="100"/>
        <w:rPr>
          <w:rFonts w:ascii="仿宋" w:hAnsi="仿宋" w:eastAsia="仿宋"/>
          <w:sz w:val="32"/>
          <w:szCs w:val="32"/>
        </w:rPr>
      </w:pPr>
      <w:r>
        <w:rPr>
          <w:rFonts w:hint="eastAsia" w:ascii="仿宋" w:hAnsi="仿宋" w:eastAsia="仿宋"/>
          <w:sz w:val="32"/>
          <w:szCs w:val="32"/>
        </w:rPr>
        <w:t>（2）县水务局负责落实综合防灾减灾规划相关要求，组织编制洪水干旱灾害防治规划和防护标准并指导实施，承担全县水情旱情监测预警工作。组织编制审查全县有防洪功能的水利工程汛期调度运用计划，组织编制、审查全县江河和重要水利工程的防洪抗旱调度方案及应急水量调度方案，按程序报批并组织、监督实施。承担防御洪水应急抢险的技术支撑工作。</w:t>
      </w:r>
    </w:p>
    <w:p w14:paraId="395C473A">
      <w:pPr>
        <w:ind w:firstLine="320" w:firstLineChars="100"/>
        <w:rPr>
          <w:rFonts w:hint="eastAsia" w:ascii="仿宋" w:hAnsi="仿宋" w:eastAsia="仿宋"/>
          <w:sz w:val="32"/>
          <w:szCs w:val="32"/>
        </w:rPr>
      </w:pPr>
      <w:r>
        <w:rPr>
          <w:rFonts w:hint="eastAsia" w:ascii="仿宋" w:hAnsi="仿宋" w:eastAsia="仿宋"/>
          <w:sz w:val="32"/>
          <w:szCs w:val="32"/>
        </w:rPr>
        <w:t>（3）必要时，县水务局可以提请县应急管理局，以县应急指挥机构名义部署相关防治工作。</w:t>
      </w:r>
    </w:p>
    <w:p w14:paraId="7560FFC0">
      <w:pPr>
        <w:pStyle w:val="26"/>
        <w:ind w:firstLine="640" w:firstLineChars="200"/>
        <w:rPr>
          <w:rFonts w:hint="eastAsia" w:ascii="仿宋" w:hAnsi="仿宋" w:eastAsia="仿宋" w:cs="仿宋"/>
          <w:b w:val="0"/>
          <w:bCs w:val="0"/>
          <w:i w:val="0"/>
          <w:iCs w:val="0"/>
          <w:sz w:val="32"/>
          <w:szCs w:val="32"/>
          <w:lang w:val="en-US" w:eastAsia="zh-CN"/>
        </w:rPr>
      </w:pPr>
      <w:r>
        <w:rPr>
          <w:rFonts w:hint="eastAsia" w:ascii="仿宋" w:hAnsi="仿宋" w:eastAsia="仿宋" w:cs="仿宋"/>
          <w:b w:val="0"/>
          <w:bCs w:val="0"/>
          <w:i w:val="0"/>
          <w:iCs w:val="0"/>
          <w:sz w:val="32"/>
          <w:szCs w:val="32"/>
          <w:lang w:val="en-US" w:eastAsia="zh-CN"/>
        </w:rPr>
        <w:t>17.完成原乡村振兴局承担的移民后期扶持工作</w:t>
      </w:r>
    </w:p>
    <w:p w14:paraId="41F47911">
      <w:pPr>
        <w:ind w:firstLine="640" w:firstLineChars="200"/>
        <w:rPr>
          <w:rFonts w:hint="default"/>
          <w:lang w:val="en-US" w:eastAsia="zh-CN"/>
        </w:rPr>
      </w:pPr>
      <w:r>
        <w:rPr>
          <w:rFonts w:hint="eastAsia" w:ascii="仿宋" w:hAnsi="仿宋" w:eastAsia="仿宋"/>
          <w:sz w:val="32"/>
          <w:szCs w:val="32"/>
        </w:rPr>
        <w:t>1</w:t>
      </w:r>
      <w:r>
        <w:rPr>
          <w:rFonts w:hint="eastAsia" w:ascii="仿宋" w:hAnsi="仿宋" w:eastAsia="仿宋"/>
          <w:sz w:val="32"/>
          <w:szCs w:val="32"/>
          <w:lang w:val="en-US" w:eastAsia="zh-CN"/>
        </w:rPr>
        <w:t>8</w:t>
      </w:r>
      <w:r>
        <w:rPr>
          <w:rFonts w:hint="eastAsia" w:ascii="仿宋" w:hAnsi="仿宋" w:eastAsia="仿宋"/>
          <w:sz w:val="32"/>
          <w:szCs w:val="32"/>
        </w:rPr>
        <w:t>.完成县委、县政府交办的</w:t>
      </w:r>
      <w:r>
        <w:rPr>
          <w:rFonts w:hint="eastAsia" w:ascii="仿宋" w:hAnsi="仿宋" w:eastAsia="仿宋"/>
          <w:sz w:val="32"/>
          <w:szCs w:val="32"/>
          <w:lang w:eastAsia="zh-CN"/>
        </w:rPr>
        <w:t>其他</w:t>
      </w:r>
      <w:r>
        <w:rPr>
          <w:rFonts w:hint="eastAsia" w:ascii="仿宋" w:hAnsi="仿宋" w:eastAsia="仿宋"/>
          <w:sz w:val="32"/>
          <w:szCs w:val="32"/>
        </w:rPr>
        <w:t>任务。</w:t>
      </w:r>
    </w:p>
    <w:p w14:paraId="29A1E794">
      <w:pPr>
        <w:pStyle w:val="3"/>
        <w:rPr>
          <w:rStyle w:val="22"/>
          <w:b w:val="0"/>
          <w:bCs w:val="0"/>
          <w:color w:val="auto"/>
          <w:highlight w:val="none"/>
        </w:rPr>
      </w:pPr>
      <w:bookmarkStart w:id="18" w:name="_Toc2263"/>
      <w:bookmarkStart w:id="19" w:name="_Toc15377200"/>
      <w:bookmarkStart w:id="20" w:name="_Toc15396601"/>
      <w:bookmarkStart w:id="21" w:name="_Toc1222"/>
      <w:r>
        <w:rPr>
          <w:rFonts w:hint="eastAsia" w:ascii="黑体" w:eastAsia="黑体"/>
          <w:b w:val="0"/>
          <w:color w:val="auto"/>
          <w:highlight w:val="none"/>
        </w:rPr>
        <w:t>二、</w:t>
      </w:r>
      <w:r>
        <w:rPr>
          <w:rFonts w:hint="eastAsia" w:ascii="黑体" w:hAnsi="黑体" w:eastAsia="黑体"/>
          <w:b w:val="0"/>
          <w:color w:val="auto"/>
          <w:highlight w:val="none"/>
        </w:rPr>
        <w:t>机</w:t>
      </w:r>
      <w:r>
        <w:rPr>
          <w:rStyle w:val="22"/>
          <w:rFonts w:hint="eastAsia" w:ascii="黑体" w:hAnsi="黑体" w:eastAsia="黑体"/>
          <w:b w:val="0"/>
          <w:bCs w:val="0"/>
          <w:color w:val="auto"/>
          <w:highlight w:val="none"/>
        </w:rPr>
        <w:t>构设置</w:t>
      </w:r>
      <w:bookmarkEnd w:id="18"/>
      <w:bookmarkEnd w:id="19"/>
      <w:bookmarkEnd w:id="20"/>
      <w:bookmarkEnd w:id="21"/>
    </w:p>
    <w:p w14:paraId="1774A45B">
      <w:pPr>
        <w:ind w:firstLine="800" w:firstLineChars="250"/>
        <w:rPr>
          <w:rFonts w:ascii="仿宋" w:hAnsi="仿宋" w:eastAsia="仿宋"/>
          <w:color w:val="auto"/>
          <w:sz w:val="32"/>
          <w:szCs w:val="32"/>
          <w:highlight w:val="none"/>
        </w:rPr>
      </w:pPr>
      <w:r>
        <w:rPr>
          <w:rFonts w:hint="eastAsia" w:ascii="仿宋" w:hAnsi="仿宋" w:eastAsia="仿宋"/>
          <w:color w:val="auto"/>
          <w:sz w:val="32"/>
          <w:szCs w:val="32"/>
          <w:highlight w:val="none"/>
          <w:lang w:val="en-US" w:eastAsia="zh-CN"/>
        </w:rPr>
        <w:t>峨边彝族自治县水务局</w:t>
      </w:r>
      <w:r>
        <w:rPr>
          <w:rFonts w:hint="eastAsia" w:ascii="仿宋" w:hAnsi="仿宋" w:eastAsia="仿宋"/>
          <w:color w:val="auto"/>
          <w:sz w:val="32"/>
          <w:szCs w:val="32"/>
          <w:highlight w:val="none"/>
        </w:rPr>
        <w:t>下属二级</w:t>
      </w:r>
      <w:r>
        <w:rPr>
          <w:rFonts w:hint="eastAsia" w:ascii="仿宋" w:hAnsi="仿宋" w:eastAsia="仿宋"/>
          <w:color w:val="auto"/>
          <w:sz w:val="32"/>
          <w:szCs w:val="32"/>
          <w:highlight w:val="none"/>
          <w:lang w:eastAsia="zh-CN"/>
        </w:rPr>
        <w:t>预算</w:t>
      </w:r>
      <w:r>
        <w:rPr>
          <w:rFonts w:hint="eastAsia" w:ascii="仿宋" w:hAnsi="仿宋" w:eastAsia="仿宋"/>
          <w:color w:val="auto"/>
          <w:sz w:val="32"/>
          <w:szCs w:val="32"/>
          <w:highlight w:val="none"/>
        </w:rPr>
        <w:t>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个，其中行政单位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个，参照公务员法管理的事业单位</w:t>
      </w:r>
      <w:r>
        <w:rPr>
          <w:rFonts w:hint="eastAsia" w:ascii="仿宋" w:hAnsi="仿宋" w:eastAsia="仿宋"/>
          <w:bCs/>
          <w:color w:val="auto"/>
          <w:sz w:val="32"/>
          <w:szCs w:val="32"/>
          <w:highlight w:val="none"/>
          <w:lang w:val="en-US" w:eastAsia="zh-CN"/>
        </w:rPr>
        <w:t>0</w:t>
      </w:r>
      <w:r>
        <w:rPr>
          <w:rFonts w:hint="eastAsia" w:ascii="仿宋" w:hAnsi="仿宋" w:eastAsia="仿宋"/>
          <w:color w:val="auto"/>
          <w:sz w:val="32"/>
          <w:szCs w:val="32"/>
          <w:highlight w:val="none"/>
        </w:rPr>
        <w:t>个，其他事业单位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w:t>
      </w:r>
    </w:p>
    <w:p w14:paraId="41795354">
      <w:pPr>
        <w:pStyle w:val="5"/>
        <w:adjustRightInd w:val="0"/>
        <w:snapToGrid w:val="0"/>
        <w:spacing w:before="93" w:line="600" w:lineRule="exact"/>
        <w:ind w:firstLine="672" w:firstLineChars="21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val="en-US" w:eastAsia="zh-CN"/>
        </w:rPr>
        <w:t>没有</w:t>
      </w:r>
      <w:r>
        <w:rPr>
          <w:rFonts w:hint="eastAsia" w:ascii="仿宋" w:hAnsi="仿宋" w:eastAsia="仿宋"/>
          <w:color w:val="auto"/>
          <w:sz w:val="32"/>
          <w:szCs w:val="32"/>
          <w:highlight w:val="none"/>
        </w:rPr>
        <w:t>纳入</w:t>
      </w:r>
      <w:r>
        <w:rPr>
          <w:rFonts w:hint="eastAsia" w:ascii="仿宋" w:hAnsi="仿宋" w:eastAsia="仿宋"/>
          <w:color w:val="auto"/>
          <w:sz w:val="32"/>
          <w:szCs w:val="32"/>
          <w:highlight w:val="none"/>
          <w:lang w:val="en-US" w:eastAsia="zh-CN"/>
        </w:rPr>
        <w:t>峨边彝族自治县水务局</w:t>
      </w: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年度部门决算编制范围的二级预算单位</w:t>
      </w:r>
      <w:r>
        <w:rPr>
          <w:rFonts w:hint="eastAsia" w:ascii="仿宋" w:hAnsi="仿宋" w:eastAsia="仿宋"/>
          <w:color w:val="auto"/>
          <w:sz w:val="32"/>
          <w:szCs w:val="32"/>
          <w:highlight w:val="none"/>
          <w:lang w:eastAsia="zh-CN"/>
        </w:rPr>
        <w:t>。</w:t>
      </w:r>
    </w:p>
    <w:p w14:paraId="5BF6E5F4">
      <w:pPr>
        <w:widowControl/>
        <w:jc w:val="left"/>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14:paraId="22185CA0">
      <w:pPr>
        <w:pStyle w:val="2"/>
        <w:ind w:right="440"/>
        <w:jc w:val="center"/>
        <w:rPr>
          <w:rStyle w:val="21"/>
          <w:rFonts w:ascii="黑体" w:hAnsi="黑体" w:eastAsia="黑体"/>
          <w:b w:val="0"/>
          <w:bCs/>
          <w:color w:val="auto"/>
          <w:highlight w:val="none"/>
        </w:rPr>
      </w:pPr>
      <w:bookmarkStart w:id="22" w:name="_Toc15377204"/>
      <w:bookmarkStart w:id="23" w:name="_Toc23511"/>
      <w:bookmarkStart w:id="24" w:name="_Toc3320"/>
      <w:bookmarkStart w:id="25" w:name="_Toc15396602"/>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2023年度</w:t>
      </w:r>
      <w:r>
        <w:rPr>
          <w:rStyle w:val="21"/>
          <w:rFonts w:hint="eastAsia" w:ascii="黑体" w:hAnsi="黑体" w:eastAsia="黑体"/>
          <w:b w:val="0"/>
          <w:bCs/>
          <w:color w:val="auto"/>
          <w:highlight w:val="none"/>
        </w:rPr>
        <w:t>部门决算情况说明</w:t>
      </w:r>
      <w:bookmarkEnd w:id="22"/>
      <w:bookmarkEnd w:id="23"/>
      <w:bookmarkEnd w:id="24"/>
      <w:bookmarkEnd w:id="25"/>
    </w:p>
    <w:p w14:paraId="56E5B983">
      <w:pPr>
        <w:rPr>
          <w:color w:val="auto"/>
          <w:highlight w:val="none"/>
        </w:rPr>
      </w:pPr>
    </w:p>
    <w:p w14:paraId="576D772C">
      <w:pPr>
        <w:pStyle w:val="23"/>
        <w:numPr>
          <w:ilvl w:val="0"/>
          <w:numId w:val="2"/>
        </w:numPr>
        <w:spacing w:line="600" w:lineRule="exact"/>
        <w:ind w:firstLineChars="0"/>
        <w:outlineLvl w:val="1"/>
        <w:rPr>
          <w:rStyle w:val="22"/>
          <w:rFonts w:ascii="黑体" w:hAnsi="黑体" w:eastAsia="黑体"/>
          <w:b w:val="0"/>
          <w:color w:val="auto"/>
          <w:highlight w:val="none"/>
        </w:rPr>
      </w:pPr>
      <w:bookmarkStart w:id="26" w:name="_Toc15377205"/>
      <w:bookmarkStart w:id="27" w:name="_Toc15396603"/>
      <w:bookmarkStart w:id="28" w:name="_Toc16862"/>
      <w:bookmarkStart w:id="29" w:name="_Toc2545"/>
      <w:r>
        <w:rPr>
          <w:rFonts w:hint="eastAsia" w:ascii="黑体" w:hAnsi="黑体" w:eastAsia="黑体"/>
          <w:color w:val="auto"/>
          <w:sz w:val="32"/>
          <w:szCs w:val="32"/>
          <w:highlight w:val="none"/>
        </w:rPr>
        <w:t>收</w:t>
      </w:r>
      <w:r>
        <w:rPr>
          <w:rStyle w:val="22"/>
          <w:rFonts w:hint="eastAsia" w:ascii="黑体" w:hAnsi="黑体" w:eastAsia="黑体"/>
          <w:b w:val="0"/>
          <w:color w:val="auto"/>
          <w:highlight w:val="none"/>
        </w:rPr>
        <w:t>入支出决算总体情况说明</w:t>
      </w:r>
      <w:bookmarkEnd w:id="26"/>
      <w:bookmarkEnd w:id="27"/>
      <w:bookmarkEnd w:id="28"/>
      <w:bookmarkEnd w:id="29"/>
    </w:p>
    <w:p w14:paraId="401F5896">
      <w:pPr>
        <w:spacing w:line="600" w:lineRule="exact"/>
        <w:ind w:firstLine="640" w:firstLineChars="200"/>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val="en-US" w:eastAsia="zh-CN"/>
        </w:rPr>
        <w:t>5478.24</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年相比，收、支总计减少</w:t>
      </w:r>
      <w:r>
        <w:rPr>
          <w:rFonts w:hint="eastAsia" w:ascii="仿宋" w:hAnsi="仿宋" w:eastAsia="仿宋"/>
          <w:color w:val="auto"/>
          <w:sz w:val="32"/>
          <w:szCs w:val="32"/>
          <w:highlight w:val="none"/>
          <w:lang w:val="en-US" w:eastAsia="zh-CN"/>
        </w:rPr>
        <w:t>1263.88</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15.24</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2023年度人员调整和中央水利发展资金、抗旱资金减少</w:t>
      </w:r>
      <w:r>
        <w:rPr>
          <w:rFonts w:hint="eastAsia" w:ascii="仿宋" w:hAnsi="仿宋" w:eastAsia="仿宋"/>
          <w:color w:val="auto"/>
          <w:sz w:val="32"/>
          <w:szCs w:val="32"/>
          <w:highlight w:val="none"/>
          <w:lang w:eastAsia="zh-CN"/>
        </w:rPr>
        <w:t>。</w:t>
      </w:r>
    </w:p>
    <w:p w14:paraId="55845CCC">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1"/>
        <w:rPr>
          <w:rStyle w:val="22"/>
          <w:rFonts w:ascii="黑体" w:hAnsi="黑体" w:eastAsia="黑体"/>
          <w:b w:val="0"/>
          <w:color w:val="auto"/>
          <w:highlight w:val="none"/>
        </w:rPr>
      </w:pPr>
      <w:bookmarkStart w:id="30" w:name="_Toc14119"/>
      <w:bookmarkStart w:id="31" w:name="_Toc28103"/>
      <w:r>
        <w:rPr>
          <w:rFonts w:hint="eastAsia" w:ascii="仿宋_GB2312" w:eastAsia="仿宋_GB2312"/>
          <w:b/>
          <w:bCs/>
          <w:color w:val="auto"/>
          <w:sz w:val="32"/>
          <w:szCs w:val="32"/>
          <w:highlight w:val="none"/>
          <w:lang w:eastAsia="zh-CN"/>
        </w:rPr>
        <w:drawing>
          <wp:anchor distT="0" distB="0" distL="114300" distR="114300" simplePos="0" relativeHeight="251659264" behindDoc="0" locked="0" layoutInCell="1" allowOverlap="1">
            <wp:simplePos x="0" y="0"/>
            <wp:positionH relativeFrom="column">
              <wp:posOffset>97790</wp:posOffset>
            </wp:positionH>
            <wp:positionV relativeFrom="paragraph">
              <wp:posOffset>365760</wp:posOffset>
            </wp:positionV>
            <wp:extent cx="5225415" cy="2693670"/>
            <wp:effectExtent l="4445" t="4445" r="8890" b="6985"/>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bookmarkStart w:id="32" w:name="_Toc15377206"/>
      <w:bookmarkStart w:id="33" w:name="_Toc15396604"/>
      <w:r>
        <w:rPr>
          <w:rFonts w:hint="eastAsia" w:ascii="黑体" w:hAnsi="黑体" w:eastAsia="黑体" w:cs="黑体"/>
          <w:b/>
          <w:bCs/>
          <w:color w:val="auto"/>
          <w:sz w:val="32"/>
          <w:szCs w:val="32"/>
          <w:highlight w:val="none"/>
          <w:lang w:val="en-US" w:eastAsia="zh-CN"/>
        </w:rPr>
        <w:t>二</w:t>
      </w:r>
      <w:r>
        <w:rPr>
          <w:rFonts w:hint="eastAsia" w:ascii="黑体" w:hAnsi="黑体" w:eastAsia="黑体" w:cs="黑体"/>
          <w:color w:val="auto"/>
          <w:sz w:val="32"/>
          <w:szCs w:val="32"/>
          <w:highlight w:val="none"/>
          <w:lang w:val="en-US" w:eastAsia="zh-CN"/>
        </w:rPr>
        <w:t>、</w:t>
      </w:r>
      <w:r>
        <w:rPr>
          <w:rFonts w:hint="eastAsia" w:ascii="黑体" w:hAnsi="黑体" w:eastAsia="黑体" w:cs="黑体"/>
          <w:color w:val="auto"/>
          <w:sz w:val="32"/>
          <w:szCs w:val="32"/>
          <w:highlight w:val="none"/>
        </w:rPr>
        <w:t>收</w:t>
      </w:r>
      <w:r>
        <w:rPr>
          <w:rStyle w:val="22"/>
          <w:rFonts w:hint="eastAsia" w:ascii="黑体" w:hAnsi="黑体" w:eastAsia="黑体" w:cs="黑体"/>
          <w:b w:val="0"/>
          <w:color w:val="auto"/>
          <w:highlight w:val="none"/>
        </w:rPr>
        <w:t>入决算情况说明</w:t>
      </w:r>
      <w:bookmarkEnd w:id="30"/>
      <w:bookmarkEnd w:id="31"/>
      <w:bookmarkEnd w:id="32"/>
      <w:bookmarkEnd w:id="33"/>
    </w:p>
    <w:p w14:paraId="5BADF270">
      <w:pPr>
        <w:spacing w:line="600" w:lineRule="exact"/>
        <w:ind w:firstLine="640" w:firstLineChars="200"/>
        <w:outlineLvl w:val="9"/>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5478.24</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2352.17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42.94</w:t>
      </w:r>
      <w:r>
        <w:rPr>
          <w:rFonts w:ascii="仿宋" w:hAnsi="仿宋" w:eastAsia="仿宋"/>
          <w:color w:val="auto"/>
          <w:sz w:val="32"/>
          <w:szCs w:val="32"/>
          <w:highlight w:val="none"/>
        </w:rPr>
        <w:t>%</w:t>
      </w:r>
      <w:r>
        <w:rPr>
          <w:rFonts w:hint="eastAsia" w:ascii="仿宋" w:hAnsi="仿宋" w:eastAsia="仿宋"/>
          <w:color w:val="auto"/>
          <w:sz w:val="32"/>
          <w:szCs w:val="32"/>
          <w:highlight w:val="none"/>
        </w:rPr>
        <w:t>；政府性基金预算财政拨款收入</w:t>
      </w:r>
      <w:r>
        <w:rPr>
          <w:rFonts w:hint="eastAsia" w:ascii="仿宋" w:hAnsi="仿宋" w:eastAsia="仿宋"/>
          <w:color w:val="auto"/>
          <w:sz w:val="32"/>
          <w:szCs w:val="32"/>
          <w:highlight w:val="none"/>
          <w:lang w:val="en-US" w:eastAsia="zh-CN"/>
        </w:rPr>
        <w:t>3126.07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57.06</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p>
    <w:p w14:paraId="5F1222F6">
      <w:pPr>
        <w:pStyle w:val="5"/>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Style w:val="22"/>
          <w:rFonts w:hint="eastAsia" w:ascii="黑体" w:hAnsi="黑体" w:eastAsia="黑体" w:cs="黑体"/>
          <w:b w:val="0"/>
          <w:color w:val="auto"/>
          <w:highlight w:val="none"/>
        </w:rPr>
      </w:pPr>
      <w:bookmarkStart w:id="34" w:name="_Toc21476"/>
      <w:bookmarkStart w:id="35" w:name="_Toc8117"/>
      <w:r>
        <w:rPr>
          <w:rFonts w:hint="eastAsia" w:ascii="黑体" w:hAnsi="黑体" w:eastAsia="黑体" w:cs="黑体"/>
          <w:color w:val="auto"/>
          <w:sz w:val="32"/>
          <w:szCs w:val="32"/>
          <w:highlight w:val="none"/>
          <w:lang w:eastAsia="zh-CN"/>
        </w:rPr>
        <w:drawing>
          <wp:anchor distT="0" distB="0" distL="114300" distR="114300" simplePos="0" relativeHeight="251660288" behindDoc="0" locked="0" layoutInCell="1" allowOverlap="1">
            <wp:simplePos x="0" y="0"/>
            <wp:positionH relativeFrom="column">
              <wp:posOffset>-130810</wp:posOffset>
            </wp:positionH>
            <wp:positionV relativeFrom="paragraph">
              <wp:posOffset>-104775</wp:posOffset>
            </wp:positionV>
            <wp:extent cx="5226685" cy="2741930"/>
            <wp:effectExtent l="4445" t="4445" r="7620" b="15875"/>
            <wp:wrapTopAndBottom/>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bookmarkStart w:id="36" w:name="_Toc15377207"/>
      <w:bookmarkStart w:id="37" w:name="_Toc15396605"/>
      <w:r>
        <w:rPr>
          <w:rFonts w:hint="eastAsia" w:ascii="黑体" w:hAnsi="黑体" w:eastAsia="黑体" w:cs="黑体"/>
          <w:color w:val="auto"/>
          <w:sz w:val="32"/>
          <w:szCs w:val="32"/>
          <w:highlight w:val="none"/>
          <w:lang w:val="en-US" w:eastAsia="zh-CN"/>
        </w:rPr>
        <w:t>三、</w:t>
      </w:r>
      <w:r>
        <w:rPr>
          <w:rFonts w:hint="eastAsia" w:ascii="黑体" w:hAnsi="黑体" w:eastAsia="黑体" w:cs="黑体"/>
          <w:color w:val="auto"/>
          <w:sz w:val="32"/>
          <w:szCs w:val="32"/>
          <w:highlight w:val="none"/>
        </w:rPr>
        <w:t>支</w:t>
      </w:r>
      <w:r>
        <w:rPr>
          <w:rStyle w:val="22"/>
          <w:rFonts w:hint="eastAsia" w:ascii="黑体" w:hAnsi="黑体" w:eastAsia="黑体" w:cs="黑体"/>
          <w:b w:val="0"/>
          <w:color w:val="auto"/>
          <w:highlight w:val="none"/>
        </w:rPr>
        <w:t>出决算情况说明</w:t>
      </w:r>
      <w:bookmarkEnd w:id="34"/>
      <w:bookmarkEnd w:id="35"/>
      <w:bookmarkEnd w:id="36"/>
      <w:bookmarkEnd w:id="37"/>
    </w:p>
    <w:p w14:paraId="042EC26B">
      <w:pPr>
        <w:spacing w:line="600" w:lineRule="exact"/>
        <w:ind w:firstLine="640" w:firstLineChars="200"/>
        <w:outlineLvl w:val="9"/>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6843.83</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1093.64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15.98</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lang w:val="en-US" w:eastAsia="zh-CN"/>
        </w:rPr>
        <w:t>项目支出5750.18万元</w:t>
      </w:r>
      <w:r>
        <w:rPr>
          <w:rFonts w:hint="eastAsia" w:ascii="仿宋" w:hAnsi="仿宋" w:eastAsia="仿宋"/>
          <w:color w:val="auto"/>
          <w:sz w:val="32"/>
          <w:szCs w:val="32"/>
          <w:highlight w:val="none"/>
        </w:rPr>
        <w:t>，占</w:t>
      </w:r>
      <w:r>
        <w:rPr>
          <w:rFonts w:hint="eastAsia" w:ascii="仿宋" w:hAnsi="仿宋" w:eastAsia="仿宋"/>
          <w:color w:val="auto"/>
          <w:sz w:val="32"/>
          <w:szCs w:val="32"/>
          <w:highlight w:val="none"/>
          <w:lang w:val="en-US" w:eastAsia="zh-CN"/>
        </w:rPr>
        <w:t>84.02</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p>
    <w:p w14:paraId="6F02AC28">
      <w:pPr>
        <w:numPr>
          <w:ilvl w:val="0"/>
          <w:numId w:val="0"/>
        </w:numPr>
        <w:spacing w:line="600" w:lineRule="exact"/>
        <w:ind w:firstLine="640" w:firstLineChars="200"/>
        <w:outlineLvl w:val="1"/>
      </w:pPr>
      <w:bookmarkStart w:id="38" w:name="_Toc28626"/>
      <w:bookmarkStart w:id="39" w:name="_Toc26760"/>
      <w:r>
        <w:rPr>
          <w:rFonts w:hint="eastAsia" w:ascii="黑体" w:hAnsi="黑体" w:eastAsia="黑体" w:cs="黑体"/>
          <w:color w:val="auto"/>
          <w:sz w:val="32"/>
          <w:szCs w:val="32"/>
          <w:highlight w:val="none"/>
          <w:lang w:eastAsia="zh-CN"/>
        </w:rPr>
        <w:drawing>
          <wp:anchor distT="0" distB="0" distL="114300" distR="114300" simplePos="0" relativeHeight="251661312" behindDoc="0" locked="0" layoutInCell="1" allowOverlap="1">
            <wp:simplePos x="0" y="0"/>
            <wp:positionH relativeFrom="column">
              <wp:posOffset>47625</wp:posOffset>
            </wp:positionH>
            <wp:positionV relativeFrom="paragraph">
              <wp:posOffset>316865</wp:posOffset>
            </wp:positionV>
            <wp:extent cx="5226685" cy="2741930"/>
            <wp:effectExtent l="4445" t="4445" r="7620" b="15875"/>
            <wp:wrapTopAndBottom/>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bookmarkStart w:id="40" w:name="_Toc15377208"/>
      <w:bookmarkStart w:id="41" w:name="_Toc15396606"/>
      <w:r>
        <w:rPr>
          <w:rFonts w:hint="eastAsia" w:ascii="黑体" w:hAnsi="黑体" w:eastAsia="黑体"/>
          <w:color w:val="auto"/>
          <w:sz w:val="32"/>
          <w:szCs w:val="32"/>
          <w:highlight w:val="none"/>
          <w:lang w:val="en-US" w:eastAsia="zh-CN"/>
        </w:rPr>
        <w:t>四、</w:t>
      </w:r>
      <w:r>
        <w:rPr>
          <w:rFonts w:hint="eastAsia" w:ascii="黑体" w:hAnsi="黑体" w:eastAsia="黑体"/>
          <w:color w:val="auto"/>
          <w:sz w:val="32"/>
          <w:szCs w:val="32"/>
          <w:highlight w:val="none"/>
        </w:rPr>
        <w:t>财</w:t>
      </w:r>
      <w:r>
        <w:rPr>
          <w:rStyle w:val="22"/>
          <w:rFonts w:hint="eastAsia" w:ascii="黑体" w:hAnsi="黑体" w:eastAsia="黑体"/>
          <w:b w:val="0"/>
          <w:color w:val="auto"/>
          <w:highlight w:val="none"/>
        </w:rPr>
        <w:t>政拨款收入支出决算总体情况说明</w:t>
      </w:r>
      <w:bookmarkEnd w:id="38"/>
      <w:bookmarkEnd w:id="39"/>
      <w:bookmarkEnd w:id="40"/>
      <w:bookmarkEnd w:id="41"/>
    </w:p>
    <w:p w14:paraId="6B1C1DE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9"/>
      </w:pPr>
      <w:r>
        <w:rPr>
          <w:rFonts w:hint="eastAsia" w:ascii="仿宋" w:hAnsi="仿宋" w:eastAsia="仿宋"/>
          <w:color w:val="auto"/>
          <w:sz w:val="32"/>
          <w:szCs w:val="32"/>
          <w:highlight w:val="none"/>
          <w:lang w:val="en-US" w:eastAsia="zh-CN"/>
        </w:rPr>
        <w:t>2</w:t>
      </w:r>
      <w:r>
        <w:rPr>
          <w:rFonts w:hint="eastAsia" w:ascii="仿宋" w:hAnsi="仿宋" w:eastAsia="仿宋"/>
          <w:color w:val="auto"/>
          <w:sz w:val="32"/>
          <w:szCs w:val="32"/>
          <w:highlight w:val="none"/>
          <w:lang w:eastAsia="zh-CN"/>
        </w:rPr>
        <w:t>023</w:t>
      </w:r>
      <w:r>
        <w:rPr>
          <w:rFonts w:hint="eastAsia" w:ascii="仿宋" w:hAnsi="仿宋" w:eastAsia="仿宋"/>
          <w:color w:val="auto"/>
          <w:sz w:val="32"/>
          <w:szCs w:val="32"/>
          <w:highlight w:val="none"/>
        </w:rPr>
        <w:t>年财政拨款收</w:t>
      </w:r>
      <w:r>
        <w:rPr>
          <w:rFonts w:hint="eastAsia" w:ascii="仿宋" w:hAnsi="仿宋" w:eastAsia="仿宋"/>
          <w:color w:val="auto"/>
          <w:sz w:val="32"/>
          <w:szCs w:val="32"/>
          <w:highlight w:val="none"/>
          <w:lang w:val="en-US" w:eastAsia="zh-CN"/>
        </w:rPr>
        <w:t>入为5478.24万元，</w:t>
      </w:r>
      <w:r>
        <w:rPr>
          <w:rFonts w:hint="eastAsia" w:ascii="仿宋" w:hAnsi="仿宋" w:eastAsia="仿宋"/>
          <w:color w:val="auto"/>
          <w:sz w:val="32"/>
          <w:szCs w:val="32"/>
          <w:highlight w:val="none"/>
        </w:rPr>
        <w:t>支</w:t>
      </w:r>
      <w:r>
        <w:rPr>
          <w:rFonts w:hint="eastAsia" w:ascii="仿宋" w:hAnsi="仿宋" w:eastAsia="仿宋"/>
          <w:color w:val="auto"/>
          <w:sz w:val="32"/>
          <w:szCs w:val="32"/>
          <w:highlight w:val="none"/>
          <w:lang w:eastAsia="zh-CN"/>
        </w:rPr>
        <w:t>出</w:t>
      </w:r>
      <w:r>
        <w:rPr>
          <w:rFonts w:hint="eastAsia" w:ascii="仿宋" w:hAnsi="仿宋" w:eastAsia="仿宋"/>
          <w:color w:val="auto"/>
          <w:sz w:val="32"/>
          <w:szCs w:val="32"/>
          <w:highlight w:val="none"/>
        </w:rPr>
        <w:t>总计</w:t>
      </w:r>
      <w:r>
        <w:rPr>
          <w:rFonts w:hint="eastAsia" w:ascii="仿宋" w:hAnsi="仿宋" w:eastAsia="仿宋"/>
          <w:color w:val="auto"/>
          <w:sz w:val="32"/>
          <w:szCs w:val="32"/>
          <w:highlight w:val="none"/>
          <w:lang w:val="en-US" w:eastAsia="zh-CN"/>
        </w:rPr>
        <w:t>为6843.83</w:t>
      </w:r>
      <w:r>
        <w:rPr>
          <w:rFonts w:hint="eastAsia" w:ascii="仿宋" w:hAnsi="仿宋" w:eastAsia="仿宋"/>
          <w:color w:val="auto"/>
          <w:sz w:val="32"/>
          <w:szCs w:val="32"/>
          <w:highlight w:val="none"/>
        </w:rPr>
        <w:t>万元。与</w:t>
      </w:r>
      <w:r>
        <w:rPr>
          <w:rFonts w:hint="eastAsia" w:ascii="仿宋" w:hAnsi="仿宋" w:eastAsia="仿宋"/>
          <w:b/>
          <w:color w:val="auto"/>
          <w:sz w:val="32"/>
          <w:szCs w:val="32"/>
          <w:highlight w:val="none"/>
          <w:lang w:eastAsia="zh-CN"/>
        </w:rPr>
        <w:drawing>
          <wp:anchor distT="0" distB="0" distL="114300" distR="114300" simplePos="0" relativeHeight="251662336" behindDoc="0" locked="0" layoutInCell="1" allowOverlap="1">
            <wp:simplePos x="0" y="0"/>
            <wp:positionH relativeFrom="column">
              <wp:posOffset>177800</wp:posOffset>
            </wp:positionH>
            <wp:positionV relativeFrom="paragraph">
              <wp:posOffset>1087120</wp:posOffset>
            </wp:positionV>
            <wp:extent cx="5256530" cy="2988310"/>
            <wp:effectExtent l="5080" t="4445" r="15240" b="17145"/>
            <wp:wrapTopAndBottom/>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仿宋" w:hAnsi="仿宋" w:eastAsia="仿宋"/>
          <w:color w:val="auto"/>
          <w:sz w:val="32"/>
          <w:szCs w:val="32"/>
          <w:highlight w:val="none"/>
          <w:lang w:val="en-US" w:eastAsia="zh-CN"/>
        </w:rPr>
        <w:t>2022</w:t>
      </w:r>
      <w:r>
        <w:rPr>
          <w:rFonts w:hint="eastAsia" w:ascii="仿宋" w:hAnsi="仿宋" w:eastAsia="仿宋"/>
          <w:color w:val="auto"/>
          <w:sz w:val="32"/>
          <w:szCs w:val="32"/>
          <w:highlight w:val="none"/>
        </w:rPr>
        <w:t>年相比</w:t>
      </w:r>
      <w:r>
        <w:rPr>
          <w:rFonts w:hint="eastAsia" w:ascii="仿宋" w:hAnsi="仿宋" w:eastAsia="仿宋"/>
          <w:color w:val="auto"/>
          <w:sz w:val="32"/>
          <w:szCs w:val="32"/>
          <w:highlight w:val="none"/>
          <w:lang w:val="en-US" w:eastAsia="zh-CN"/>
        </w:rPr>
        <w:t>收入</w:t>
      </w:r>
      <w:r>
        <w:rPr>
          <w:rFonts w:hint="eastAsia" w:ascii="仿宋" w:hAnsi="仿宋" w:eastAsia="仿宋"/>
          <w:color w:val="auto"/>
          <w:sz w:val="32"/>
          <w:szCs w:val="32"/>
          <w:highlight w:val="none"/>
        </w:rPr>
        <w:t>减少</w:t>
      </w:r>
      <w:r>
        <w:rPr>
          <w:rFonts w:hint="eastAsia" w:ascii="仿宋" w:hAnsi="仿宋" w:eastAsia="仿宋"/>
          <w:color w:val="auto"/>
          <w:sz w:val="32"/>
          <w:szCs w:val="32"/>
          <w:highlight w:val="none"/>
          <w:lang w:val="en-US" w:eastAsia="zh-CN"/>
        </w:rPr>
        <w:t>1263.88</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val="en-US" w:eastAsia="zh-CN"/>
        </w:rPr>
        <w:t>支出减少4195.35万元</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水利发展资金抗旱资金减少</w:t>
      </w:r>
      <w:r>
        <w:rPr>
          <w:rFonts w:hint="eastAsia" w:ascii="仿宋" w:hAnsi="仿宋" w:eastAsia="仿宋"/>
          <w:color w:val="auto"/>
          <w:sz w:val="32"/>
          <w:szCs w:val="32"/>
          <w:highlight w:val="none"/>
          <w:lang w:eastAsia="zh-CN"/>
        </w:rPr>
        <w:t>。</w:t>
      </w:r>
    </w:p>
    <w:p w14:paraId="2BA81B76">
      <w:pPr>
        <w:spacing w:line="600" w:lineRule="exact"/>
        <w:ind w:firstLine="640" w:firstLineChars="200"/>
        <w:outlineLvl w:val="1"/>
        <w:rPr>
          <w:rStyle w:val="22"/>
          <w:rFonts w:ascii="黑体" w:hAnsi="黑体" w:eastAsia="黑体"/>
          <w:b w:val="0"/>
          <w:color w:val="auto"/>
          <w:highlight w:val="none"/>
        </w:rPr>
      </w:pPr>
      <w:bookmarkStart w:id="42" w:name="_Toc19816"/>
      <w:bookmarkStart w:id="43" w:name="_Toc15396607"/>
      <w:bookmarkStart w:id="44" w:name="_Toc19915"/>
      <w:bookmarkStart w:id="45" w:name="_Toc15377209"/>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2"/>
          <w:rFonts w:hint="eastAsia" w:ascii="黑体" w:hAnsi="黑体" w:eastAsia="黑体"/>
          <w:b w:val="0"/>
          <w:color w:val="auto"/>
          <w:highlight w:val="none"/>
        </w:rPr>
        <w:t>般公共预算财政拨款支出决算情况说明</w:t>
      </w:r>
      <w:bookmarkEnd w:id="42"/>
      <w:bookmarkEnd w:id="43"/>
      <w:bookmarkEnd w:id="44"/>
      <w:bookmarkEnd w:id="45"/>
    </w:p>
    <w:p w14:paraId="7B14BDA3">
      <w:pPr>
        <w:spacing w:line="600" w:lineRule="exact"/>
        <w:ind w:firstLine="643" w:firstLineChars="200"/>
        <w:outlineLvl w:val="2"/>
        <w:rPr>
          <w:rFonts w:ascii="仿宋" w:hAnsi="仿宋" w:eastAsia="仿宋"/>
          <w:b/>
          <w:color w:val="auto"/>
          <w:sz w:val="32"/>
          <w:szCs w:val="32"/>
          <w:highlight w:val="none"/>
        </w:rPr>
      </w:pPr>
      <w:bookmarkStart w:id="46" w:name="_Toc15377210"/>
      <w:r>
        <w:rPr>
          <w:rFonts w:hint="eastAsia" w:ascii="仿宋" w:hAnsi="仿宋" w:eastAsia="仿宋"/>
          <w:b/>
          <w:color w:val="auto"/>
          <w:sz w:val="32"/>
          <w:szCs w:val="32"/>
          <w:highlight w:val="none"/>
        </w:rPr>
        <w:t>（一）一般公共预算财政拨款支出决算总体情况</w:t>
      </w:r>
      <w:bookmarkEnd w:id="46"/>
    </w:p>
    <w:p w14:paraId="2237D27F">
      <w:pPr>
        <w:spacing w:line="600" w:lineRule="exact"/>
        <w:ind w:firstLine="640" w:firstLineChars="200"/>
        <w:rPr>
          <w:rFonts w:hint="default"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3490.66</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51.01</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lang w:val="en-US" w:eastAsia="zh-CN"/>
        </w:rPr>
        <w:t>减少</w:t>
      </w:r>
      <w:r>
        <w:rPr>
          <w:rFonts w:hint="eastAsia" w:ascii="仿宋" w:hAnsi="仿宋" w:eastAsia="仿宋"/>
          <w:sz w:val="32"/>
          <w:szCs w:val="32"/>
          <w:lang w:val="en-US" w:eastAsia="zh-CN"/>
        </w:rPr>
        <w:t>6619.46</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189.63</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val="en-US" w:eastAsia="zh-CN"/>
        </w:rPr>
        <w:t>无重大项目支出。</w:t>
      </w:r>
    </w:p>
    <w:p w14:paraId="02E90422">
      <w:pPr>
        <w:pStyle w:val="5"/>
        <w:rPr>
          <w:rFonts w:hint="eastAsia"/>
          <w:lang w:eastAsia="zh-CN"/>
        </w:rPr>
      </w:pPr>
      <w:r>
        <w:rPr>
          <w:rFonts w:hint="eastAsia"/>
          <w:lang w:eastAsia="zh-CN"/>
        </w:rPr>
        <w:drawing>
          <wp:inline distT="0" distB="0" distL="114300" distR="114300">
            <wp:extent cx="5256530" cy="2988310"/>
            <wp:effectExtent l="5080" t="4445" r="15240" b="17145"/>
            <wp:docPr id="9" name="图表 9" descr="7b0a202020202263686172745265734964223a202232303437353532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8AE074C">
      <w:pPr>
        <w:spacing w:line="600" w:lineRule="exact"/>
        <w:ind w:firstLine="643" w:firstLineChars="200"/>
        <w:outlineLvl w:val="2"/>
        <w:rPr>
          <w:rFonts w:ascii="仿宋" w:hAnsi="仿宋" w:eastAsia="仿宋"/>
          <w:b/>
          <w:color w:val="auto"/>
          <w:sz w:val="32"/>
          <w:szCs w:val="32"/>
          <w:highlight w:val="none"/>
        </w:rPr>
      </w:pPr>
      <w:bookmarkStart w:id="47" w:name="_Toc15377211"/>
      <w:r>
        <w:rPr>
          <w:rFonts w:hint="eastAsia" w:ascii="仿宋" w:hAnsi="仿宋" w:eastAsia="仿宋"/>
          <w:b/>
          <w:color w:val="auto"/>
          <w:sz w:val="32"/>
          <w:szCs w:val="32"/>
          <w:highlight w:val="none"/>
        </w:rPr>
        <w:t>（二）一般公共预算财政拨款支出决算结构情况</w:t>
      </w:r>
      <w:bookmarkEnd w:id="47"/>
    </w:p>
    <w:p w14:paraId="7DCF2EAC">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6843.83</w:t>
      </w:r>
      <w:r>
        <w:rPr>
          <w:rFonts w:hint="eastAsia" w:ascii="仿宋" w:hAnsi="仿宋" w:eastAsia="仿宋"/>
          <w:color w:val="auto"/>
          <w:sz w:val="32"/>
          <w:szCs w:val="32"/>
          <w:highlight w:val="none"/>
        </w:rPr>
        <w:t>万元，主要用于以下方面</w:t>
      </w:r>
      <w:r>
        <w:rPr>
          <w:rFonts w:hint="eastAsia" w:ascii="仿宋" w:hAnsi="仿宋" w:eastAsia="仿宋"/>
          <w:color w:val="auto"/>
          <w:sz w:val="32"/>
          <w:szCs w:val="32"/>
          <w:highlight w:val="none"/>
          <w:lang w:eastAsia="zh-CN"/>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b w:val="0"/>
          <w:bCs w:val="0"/>
          <w:color w:val="auto"/>
          <w:sz w:val="32"/>
          <w:szCs w:val="32"/>
          <w:highlight w:val="none"/>
          <w:lang w:val="en-US" w:eastAsia="zh-CN"/>
        </w:rPr>
        <w:t>3363.08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49.14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35.88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0.52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lang w:val="en-US" w:eastAsia="zh-CN"/>
        </w:rPr>
        <w:t>城乡社区支出</w:t>
      </w:r>
      <w:r>
        <w:rPr>
          <w:rFonts w:hint="eastAsia" w:ascii="仿宋" w:hAnsi="仿宋" w:eastAsia="仿宋"/>
          <w:color w:val="auto"/>
          <w:sz w:val="32"/>
          <w:szCs w:val="32"/>
          <w:highlight w:val="none"/>
          <w:lang w:val="en-US" w:eastAsia="zh-CN"/>
        </w:rPr>
        <w:t>157.08万元，占2.30%；</w:t>
      </w:r>
      <w:r>
        <w:rPr>
          <w:rFonts w:hint="eastAsia" w:ascii="仿宋" w:hAnsi="仿宋" w:eastAsia="仿宋"/>
          <w:b/>
          <w:bCs/>
          <w:color w:val="auto"/>
          <w:sz w:val="32"/>
          <w:szCs w:val="32"/>
          <w:highlight w:val="none"/>
        </w:rPr>
        <w:t>农林水</w:t>
      </w:r>
      <w:r>
        <w:rPr>
          <w:rFonts w:hint="eastAsia" w:ascii="仿宋" w:hAnsi="仿宋" w:eastAsia="仿宋"/>
          <w:b/>
          <w:bCs/>
          <w:color w:val="auto"/>
          <w:sz w:val="32"/>
          <w:szCs w:val="32"/>
          <w:highlight w:val="none"/>
          <w:lang w:eastAsia="zh-CN"/>
        </w:rPr>
        <w:t>支出</w:t>
      </w:r>
      <w:r>
        <w:rPr>
          <w:rFonts w:hint="eastAsia" w:ascii="仿宋" w:hAnsi="仿宋" w:eastAsia="仿宋"/>
          <w:color w:val="auto"/>
          <w:sz w:val="32"/>
          <w:szCs w:val="32"/>
          <w:highlight w:val="none"/>
          <w:lang w:val="en-US" w:eastAsia="zh-CN"/>
        </w:rPr>
        <w:t>3220.63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47.06</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lang w:val="en-US" w:eastAsia="zh-CN"/>
        </w:rPr>
        <w:t>67.16</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0.98</w:t>
      </w:r>
      <w:r>
        <w:rPr>
          <w:rFonts w:hint="eastAsia" w:ascii="仿宋" w:hAnsi="仿宋" w:eastAsia="仿宋"/>
          <w:color w:val="auto"/>
          <w:sz w:val="32"/>
          <w:szCs w:val="32"/>
          <w:highlight w:val="none"/>
        </w:rPr>
        <w:t>%。</w:t>
      </w:r>
    </w:p>
    <w:p w14:paraId="0B834AD9">
      <w:pPr>
        <w:pStyle w:val="5"/>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drawing>
          <wp:inline distT="0" distB="0" distL="114300" distR="114300">
            <wp:extent cx="5213985" cy="2939415"/>
            <wp:effectExtent l="4445" t="4445" r="20320" b="8890"/>
            <wp:docPr id="7" name="图表 7" descr="7b0a202020202263686172745265734964223a202232303437353534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2254E3">
      <w:pPr>
        <w:spacing w:line="600" w:lineRule="exact"/>
        <w:ind w:firstLine="643" w:firstLineChars="200"/>
        <w:outlineLvl w:val="2"/>
        <w:rPr>
          <w:rFonts w:ascii="仿宋" w:hAnsi="仿宋" w:eastAsia="仿宋"/>
          <w:b/>
          <w:color w:val="auto"/>
          <w:sz w:val="32"/>
          <w:szCs w:val="32"/>
          <w:highlight w:val="none"/>
        </w:rPr>
      </w:pPr>
      <w:bookmarkStart w:id="48" w:name="_Toc15377212"/>
      <w:r>
        <w:rPr>
          <w:rFonts w:hint="eastAsia" w:ascii="仿宋" w:hAnsi="仿宋" w:eastAsia="仿宋"/>
          <w:b/>
          <w:color w:val="auto"/>
          <w:sz w:val="32"/>
          <w:szCs w:val="32"/>
          <w:highlight w:val="none"/>
        </w:rPr>
        <w:t>（三）一般公共预算财政拨款支出决算具体情况</w:t>
      </w:r>
      <w:bookmarkEnd w:id="48"/>
    </w:p>
    <w:p w14:paraId="39D09B5B">
      <w:pPr>
        <w:spacing w:line="600" w:lineRule="exact"/>
        <w:ind w:firstLine="643" w:firstLineChars="200"/>
        <w:outlineLvl w:val="9"/>
        <w:rPr>
          <w:rStyle w:val="18"/>
          <w:rFonts w:hint="eastAsia" w:ascii="仿宋" w:hAnsi="仿宋" w:eastAsia="仿宋"/>
          <w:bCs/>
          <w:color w:val="auto"/>
          <w:sz w:val="32"/>
          <w:szCs w:val="32"/>
          <w:highlight w:val="none"/>
        </w:rPr>
      </w:pPr>
      <w:bookmarkStart w:id="49" w:name="_Toc15378460"/>
      <w:bookmarkStart w:id="50" w:name="_Toc15377213"/>
      <w:bookmarkStart w:id="51" w:name="_Toc15377444"/>
      <w:r>
        <w:rPr>
          <w:rFonts w:hint="eastAsia" w:ascii="仿宋" w:hAnsi="仿宋" w:eastAsia="仿宋"/>
          <w:b/>
          <w:color w:val="auto"/>
          <w:sz w:val="32"/>
          <w:szCs w:val="32"/>
          <w:highlight w:val="none"/>
          <w:lang w:eastAsia="zh-CN"/>
        </w:rPr>
        <w:t>2023</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3490.66万元</w:t>
      </w:r>
      <w:r>
        <w:rPr>
          <w:rFonts w:hint="eastAsia" w:ascii="仿宋" w:hAnsi="仿宋" w:eastAsia="仿宋"/>
          <w:color w:val="auto"/>
          <w:sz w:val="32"/>
          <w:szCs w:val="32"/>
          <w:highlight w:val="none"/>
        </w:rPr>
        <w:t>，</w:t>
      </w:r>
      <w:r>
        <w:rPr>
          <w:rStyle w:val="18"/>
          <w:rFonts w:hint="eastAsia" w:ascii="仿宋" w:hAnsi="仿宋" w:eastAsia="仿宋"/>
          <w:bCs/>
          <w:color w:val="auto"/>
          <w:sz w:val="32"/>
          <w:szCs w:val="32"/>
          <w:highlight w:val="none"/>
        </w:rPr>
        <w:t>完成预算</w:t>
      </w:r>
      <w:r>
        <w:rPr>
          <w:rStyle w:val="18"/>
          <w:rFonts w:hint="eastAsia" w:ascii="仿宋" w:hAnsi="仿宋" w:eastAsia="仿宋"/>
          <w:bCs/>
          <w:color w:val="auto"/>
          <w:sz w:val="32"/>
          <w:szCs w:val="32"/>
          <w:highlight w:val="none"/>
          <w:lang w:val="en-US" w:eastAsia="zh-CN"/>
        </w:rPr>
        <w:t>100</w:t>
      </w:r>
      <w:r>
        <w:rPr>
          <w:rStyle w:val="18"/>
          <w:rFonts w:ascii="仿宋" w:hAnsi="仿宋" w:eastAsia="仿宋"/>
          <w:bCs/>
          <w:color w:val="auto"/>
          <w:sz w:val="32"/>
          <w:szCs w:val="32"/>
          <w:highlight w:val="none"/>
        </w:rPr>
        <w:t>%</w:t>
      </w:r>
      <w:r>
        <w:rPr>
          <w:rStyle w:val="18"/>
          <w:rFonts w:hint="eastAsia" w:ascii="仿宋" w:hAnsi="仿宋" w:eastAsia="仿宋"/>
          <w:bCs/>
          <w:color w:val="auto"/>
          <w:sz w:val="32"/>
          <w:szCs w:val="32"/>
          <w:highlight w:val="none"/>
        </w:rPr>
        <w:t>。其中：</w:t>
      </w:r>
      <w:bookmarkEnd w:id="49"/>
      <w:bookmarkEnd w:id="50"/>
      <w:bookmarkEnd w:id="51"/>
    </w:p>
    <w:p w14:paraId="57162FA1">
      <w:pPr>
        <w:numPr>
          <w:ilvl w:val="0"/>
          <w:numId w:val="3"/>
        </w:numPr>
        <w:spacing w:line="600" w:lineRule="exact"/>
        <w:ind w:left="-13" w:leftChars="0" w:firstLine="643" w:firstLineChars="0"/>
        <w:outlineLvl w:val="2"/>
        <w:rPr>
          <w:rFonts w:ascii="仿宋" w:hAnsi="仿宋" w:eastAsia="仿宋"/>
          <w:b/>
          <w:color w:val="auto"/>
          <w:sz w:val="32"/>
          <w:szCs w:val="32"/>
          <w:highlight w:val="none"/>
        </w:rPr>
      </w:pPr>
      <w:r>
        <w:rPr>
          <w:rStyle w:val="18"/>
          <w:rFonts w:hint="eastAsia" w:ascii="仿宋" w:hAnsi="仿宋" w:eastAsia="仿宋"/>
          <w:bCs/>
          <w:color w:val="auto"/>
          <w:sz w:val="32"/>
          <w:szCs w:val="32"/>
          <w:highlight w:val="none"/>
        </w:rPr>
        <w:t>社会保障和就业（类）行政事业单位养老支出（款）  机关事业单位基本养老保险缴费支出（项）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94.76</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 w:hAnsi="仿宋" w:eastAsia="仿宋"/>
          <w:color w:val="auto"/>
          <w:kern w:val="2"/>
          <w:sz w:val="32"/>
          <w:lang w:val="en-US"/>
        </w:rPr>
        <w:t>决算数等于预算数</w:t>
      </w:r>
      <w:r>
        <w:rPr>
          <w:rStyle w:val="18"/>
          <w:rFonts w:hint="eastAsia" w:ascii="仿宋" w:hAnsi="仿宋" w:eastAsia="仿宋"/>
          <w:b w:val="0"/>
          <w:bCs/>
          <w:color w:val="auto"/>
          <w:sz w:val="32"/>
          <w:szCs w:val="32"/>
          <w:highlight w:val="none"/>
        </w:rPr>
        <w:t>。</w:t>
      </w:r>
    </w:p>
    <w:p w14:paraId="33F8FE16">
      <w:pPr>
        <w:numPr>
          <w:ilvl w:val="0"/>
          <w:numId w:val="3"/>
        </w:numPr>
        <w:spacing w:line="600" w:lineRule="exact"/>
        <w:ind w:left="-13" w:leftChars="0" w:firstLine="643" w:firstLineChars="0"/>
        <w:outlineLvl w:val="2"/>
        <w:rPr>
          <w:rFonts w:ascii="仿宋" w:hAnsi="仿宋" w:eastAsia="仿宋"/>
          <w:b/>
          <w:color w:val="auto"/>
          <w:sz w:val="32"/>
          <w:szCs w:val="32"/>
          <w:highlight w:val="none"/>
        </w:rPr>
      </w:pPr>
      <w:r>
        <w:rPr>
          <w:rStyle w:val="18"/>
          <w:rFonts w:hint="eastAsia" w:ascii="仿宋" w:hAnsi="仿宋" w:eastAsia="仿宋"/>
          <w:bCs/>
          <w:color w:val="auto"/>
          <w:sz w:val="32"/>
          <w:szCs w:val="32"/>
          <w:highlight w:val="none"/>
        </w:rPr>
        <w:t>社会保障和就业（类）行政事业单位养老支出（款）    机关事业单位职业年金缴费支出（项）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47.38</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 w:hAnsi="仿宋" w:eastAsia="仿宋"/>
          <w:color w:val="auto"/>
          <w:kern w:val="2"/>
          <w:sz w:val="32"/>
          <w:lang w:val="en-US"/>
        </w:rPr>
        <w:t>决算数等于预算数</w:t>
      </w:r>
      <w:r>
        <w:rPr>
          <w:rStyle w:val="18"/>
          <w:rFonts w:hint="eastAsia" w:ascii="仿宋" w:hAnsi="仿宋" w:eastAsia="仿宋"/>
          <w:b w:val="0"/>
          <w:bCs/>
          <w:color w:val="auto"/>
          <w:sz w:val="32"/>
          <w:szCs w:val="32"/>
          <w:highlight w:val="none"/>
        </w:rPr>
        <w:t>。</w:t>
      </w:r>
    </w:p>
    <w:p w14:paraId="00E62BE3">
      <w:pPr>
        <w:numPr>
          <w:ilvl w:val="0"/>
          <w:numId w:val="3"/>
        </w:numPr>
        <w:spacing w:line="600" w:lineRule="exact"/>
        <w:ind w:left="-13" w:leftChars="0" w:firstLine="643" w:firstLineChars="0"/>
        <w:outlineLvl w:val="2"/>
        <w:rPr>
          <w:rFonts w:ascii="仿宋" w:hAnsi="仿宋" w:eastAsia="仿宋"/>
          <w:b/>
          <w:color w:val="auto"/>
          <w:sz w:val="32"/>
          <w:szCs w:val="32"/>
          <w:highlight w:val="none"/>
        </w:rPr>
      </w:pPr>
      <w:r>
        <w:rPr>
          <w:rStyle w:val="18"/>
          <w:rFonts w:hint="eastAsia" w:ascii="仿宋" w:hAnsi="仿宋" w:eastAsia="仿宋"/>
          <w:bCs/>
          <w:color w:val="auto"/>
          <w:sz w:val="32"/>
          <w:szCs w:val="32"/>
          <w:highlight w:val="none"/>
        </w:rPr>
        <w:t>社会保障和就业（类）</w:t>
      </w:r>
      <w:r>
        <w:rPr>
          <w:rStyle w:val="18"/>
          <w:rFonts w:hint="eastAsia" w:ascii="仿宋" w:hAnsi="仿宋" w:eastAsia="仿宋"/>
          <w:bCs/>
          <w:color w:val="auto"/>
          <w:sz w:val="32"/>
          <w:szCs w:val="32"/>
          <w:highlight w:val="none"/>
          <w:lang w:val="en-US" w:eastAsia="zh-CN"/>
        </w:rPr>
        <w:t>抚恤</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val="en-US" w:eastAsia="zh-CN"/>
        </w:rPr>
        <w:t>死亡抚恤</w:t>
      </w:r>
      <w:r>
        <w:rPr>
          <w:rStyle w:val="18"/>
          <w:rFonts w:hint="eastAsia" w:ascii="仿宋" w:hAnsi="仿宋" w:eastAsia="仿宋"/>
          <w:bCs/>
          <w:color w:val="auto"/>
          <w:sz w:val="32"/>
          <w:szCs w:val="32"/>
          <w:highlight w:val="none"/>
        </w:rPr>
        <w:t>（项）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4.54</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 w:hAnsi="仿宋" w:eastAsia="仿宋"/>
          <w:color w:val="auto"/>
          <w:kern w:val="2"/>
          <w:sz w:val="32"/>
          <w:lang w:val="en-US"/>
        </w:rPr>
        <w:t>决算数等于预算数</w:t>
      </w:r>
      <w:r>
        <w:rPr>
          <w:rStyle w:val="18"/>
          <w:rFonts w:hint="eastAsia" w:ascii="仿宋" w:hAnsi="仿宋" w:eastAsia="仿宋"/>
          <w:b w:val="0"/>
          <w:bCs/>
          <w:color w:val="auto"/>
          <w:sz w:val="32"/>
          <w:szCs w:val="32"/>
          <w:highlight w:val="none"/>
        </w:rPr>
        <w:t>。</w:t>
      </w:r>
    </w:p>
    <w:p w14:paraId="02670B29">
      <w:pPr>
        <w:numPr>
          <w:ilvl w:val="0"/>
          <w:numId w:val="3"/>
        </w:numPr>
        <w:spacing w:line="600" w:lineRule="exact"/>
        <w:ind w:left="-13" w:leftChars="0" w:firstLine="638" w:firstLineChars="0"/>
        <w:outlineLvl w:val="2"/>
        <w:rPr>
          <w:rStyle w:val="18"/>
          <w:rFonts w:hint="eastAsia" w:ascii="仿宋" w:hAnsi="仿宋" w:eastAsia="仿宋"/>
          <w:b w:val="0"/>
          <w:bCs/>
          <w:color w:val="auto"/>
          <w:sz w:val="32"/>
          <w:szCs w:val="32"/>
          <w:highlight w:val="none"/>
        </w:rPr>
      </w:pPr>
      <w:r>
        <w:rPr>
          <w:rFonts w:hint="eastAsia"/>
          <w:lang w:val="en-US" w:eastAsia="zh-CN"/>
        </w:rPr>
        <w:t xml:space="preserve"> </w:t>
      </w:r>
      <w:r>
        <w:rPr>
          <w:rStyle w:val="18"/>
          <w:rFonts w:hint="eastAsia" w:ascii="仿宋" w:hAnsi="仿宋" w:eastAsia="仿宋"/>
          <w:bCs/>
          <w:color w:val="auto"/>
          <w:sz w:val="32"/>
          <w:szCs w:val="32"/>
          <w:highlight w:val="none"/>
        </w:rPr>
        <w:t>社会保障和就业（类）其他社会保障和就业支出（款）      其他社会保障和就业支出（项）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20.32</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 w:hAnsi="仿宋" w:eastAsia="仿宋"/>
          <w:color w:val="auto"/>
          <w:kern w:val="2"/>
          <w:sz w:val="32"/>
          <w:lang w:val="en-US"/>
        </w:rPr>
        <w:t>决算数等于预算数</w:t>
      </w:r>
      <w:r>
        <w:rPr>
          <w:rStyle w:val="18"/>
          <w:rFonts w:hint="eastAsia" w:ascii="仿宋" w:hAnsi="仿宋" w:eastAsia="仿宋"/>
          <w:b w:val="0"/>
          <w:bCs/>
          <w:color w:val="auto"/>
          <w:sz w:val="32"/>
          <w:szCs w:val="32"/>
          <w:highlight w:val="none"/>
        </w:rPr>
        <w:t>。</w:t>
      </w:r>
    </w:p>
    <w:p w14:paraId="153E63BD">
      <w:pPr>
        <w:numPr>
          <w:ilvl w:val="0"/>
          <w:numId w:val="3"/>
        </w:numPr>
        <w:spacing w:line="600" w:lineRule="exact"/>
        <w:ind w:left="-13" w:leftChars="0" w:firstLine="643" w:firstLineChars="0"/>
        <w:outlineLvl w:val="2"/>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rPr>
        <w:t>卫生健康</w:t>
      </w:r>
      <w:r>
        <w:rPr>
          <w:rStyle w:val="18"/>
          <w:rFonts w:hint="eastAsia" w:ascii="仿宋" w:hAnsi="仿宋" w:eastAsia="仿宋"/>
          <w:bCs/>
          <w:color w:val="auto"/>
          <w:sz w:val="32"/>
          <w:szCs w:val="32"/>
          <w:highlight w:val="none"/>
        </w:rPr>
        <w:t>（类）行政事业单位医疗（款）行政单位医疗（项）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31.32</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r>
        <w:rPr>
          <w:rFonts w:hint="eastAsia" w:ascii="仿宋" w:hAnsi="仿宋" w:eastAsia="仿宋"/>
          <w:color w:val="auto"/>
          <w:kern w:val="2"/>
          <w:sz w:val="32"/>
          <w:lang w:val="en-US"/>
        </w:rPr>
        <w:t>决算数等于预算数</w:t>
      </w:r>
      <w:r>
        <w:rPr>
          <w:rStyle w:val="18"/>
          <w:rFonts w:hint="eastAsia" w:ascii="仿宋" w:hAnsi="仿宋" w:eastAsia="仿宋"/>
          <w:b w:val="0"/>
          <w:bCs/>
          <w:color w:val="auto"/>
          <w:sz w:val="32"/>
          <w:szCs w:val="32"/>
          <w:highlight w:val="none"/>
        </w:rPr>
        <w:t>。</w:t>
      </w:r>
    </w:p>
    <w:p w14:paraId="7FE7846E">
      <w:pPr>
        <w:pStyle w:val="5"/>
        <w:numPr>
          <w:ilvl w:val="0"/>
          <w:numId w:val="4"/>
        </w:numPr>
        <w:ind w:left="0" w:leftChars="0" w:firstLine="643" w:firstLineChars="200"/>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rPr>
        <w:t>卫生健康</w:t>
      </w:r>
      <w:r>
        <w:rPr>
          <w:rStyle w:val="18"/>
          <w:rFonts w:hint="eastAsia" w:ascii="仿宋" w:hAnsi="仿宋" w:eastAsia="仿宋"/>
          <w:bCs/>
          <w:color w:val="auto"/>
          <w:sz w:val="32"/>
          <w:szCs w:val="32"/>
          <w:highlight w:val="none"/>
        </w:rPr>
        <w:t>（类）行政事业单位医疗（款）公务员医疗补助（项）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4.56</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 w:hAnsi="仿宋" w:eastAsia="仿宋"/>
          <w:color w:val="auto"/>
          <w:kern w:val="2"/>
          <w:sz w:val="32"/>
          <w:lang w:val="en-US"/>
        </w:rPr>
        <w:t>决算数等于预算数</w:t>
      </w:r>
      <w:r>
        <w:rPr>
          <w:rStyle w:val="18"/>
          <w:rFonts w:hint="eastAsia" w:ascii="仿宋" w:hAnsi="仿宋" w:eastAsia="仿宋"/>
          <w:b w:val="0"/>
          <w:bCs/>
          <w:color w:val="auto"/>
          <w:sz w:val="32"/>
          <w:szCs w:val="32"/>
          <w:highlight w:val="none"/>
          <w:lang w:eastAsia="zh-CN"/>
        </w:rPr>
        <w:t>。</w:t>
      </w:r>
    </w:p>
    <w:p w14:paraId="0275C06B">
      <w:pPr>
        <w:pStyle w:val="5"/>
        <w:numPr>
          <w:ilvl w:val="0"/>
          <w:numId w:val="5"/>
        </w:numPr>
        <w:ind w:left="-13" w:leftChars="0" w:firstLine="643" w:firstLineChars="0"/>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（类）水利（款）行政运行（项）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460.48</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 w:hAnsi="仿宋" w:eastAsia="仿宋"/>
          <w:color w:val="auto"/>
          <w:kern w:val="2"/>
          <w:sz w:val="32"/>
          <w:lang w:val="en-US"/>
        </w:rPr>
        <w:t>决算数等于预算数</w:t>
      </w:r>
      <w:r>
        <w:rPr>
          <w:rStyle w:val="18"/>
          <w:rFonts w:hint="eastAsia" w:ascii="仿宋" w:hAnsi="仿宋" w:eastAsia="仿宋"/>
          <w:b w:val="0"/>
          <w:bCs/>
          <w:color w:val="auto"/>
          <w:sz w:val="32"/>
          <w:szCs w:val="32"/>
          <w:highlight w:val="none"/>
          <w:lang w:eastAsia="zh-CN"/>
        </w:rPr>
        <w:t>。</w:t>
      </w:r>
    </w:p>
    <w:p w14:paraId="671A1A4C">
      <w:pPr>
        <w:pStyle w:val="5"/>
        <w:numPr>
          <w:ilvl w:val="0"/>
          <w:numId w:val="5"/>
        </w:numPr>
        <w:ind w:left="-13" w:leftChars="0" w:firstLine="643" w:firstLineChars="0"/>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（类）水利（款）水利行业业务管理（项）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464.67</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 w:hAnsi="仿宋" w:eastAsia="仿宋"/>
          <w:color w:val="auto"/>
          <w:kern w:val="2"/>
          <w:sz w:val="32"/>
          <w:lang w:val="en-US"/>
        </w:rPr>
        <w:t>决算数等于预算数</w:t>
      </w:r>
      <w:r>
        <w:rPr>
          <w:rStyle w:val="18"/>
          <w:rFonts w:hint="eastAsia" w:ascii="仿宋" w:hAnsi="仿宋" w:eastAsia="仿宋"/>
          <w:b w:val="0"/>
          <w:bCs/>
          <w:color w:val="auto"/>
          <w:sz w:val="32"/>
          <w:szCs w:val="32"/>
          <w:highlight w:val="none"/>
          <w:lang w:eastAsia="zh-CN"/>
        </w:rPr>
        <w:t>。</w:t>
      </w:r>
    </w:p>
    <w:p w14:paraId="06E48EEA">
      <w:pPr>
        <w:pStyle w:val="5"/>
        <w:numPr>
          <w:ilvl w:val="0"/>
          <w:numId w:val="5"/>
        </w:numPr>
        <w:ind w:left="-13" w:leftChars="0" w:firstLine="643" w:firstLineChars="0"/>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（类）水利（款）防汛（项）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20</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 w:hAnsi="仿宋" w:eastAsia="仿宋"/>
          <w:color w:val="auto"/>
          <w:kern w:val="2"/>
          <w:sz w:val="32"/>
          <w:lang w:val="en-US"/>
        </w:rPr>
        <w:t>决算数等于预算数</w:t>
      </w:r>
      <w:r>
        <w:rPr>
          <w:rStyle w:val="18"/>
          <w:rFonts w:hint="eastAsia" w:ascii="仿宋" w:hAnsi="仿宋" w:eastAsia="仿宋"/>
          <w:b w:val="0"/>
          <w:bCs/>
          <w:color w:val="auto"/>
          <w:sz w:val="32"/>
          <w:szCs w:val="32"/>
          <w:highlight w:val="none"/>
          <w:lang w:eastAsia="zh-CN"/>
        </w:rPr>
        <w:t>。</w:t>
      </w:r>
    </w:p>
    <w:p w14:paraId="739B3DEF">
      <w:pPr>
        <w:pStyle w:val="5"/>
        <w:numPr>
          <w:ilvl w:val="0"/>
          <w:numId w:val="5"/>
        </w:numPr>
        <w:ind w:left="-13" w:leftChars="0" w:firstLine="643" w:firstLineChars="0"/>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（类）水利（款）抗旱（项）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312.12</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 w:hAnsi="仿宋" w:eastAsia="仿宋"/>
          <w:color w:val="auto"/>
          <w:kern w:val="2"/>
          <w:sz w:val="32"/>
          <w:lang w:val="en-US"/>
        </w:rPr>
        <w:t>决算数等于预算数</w:t>
      </w:r>
      <w:r>
        <w:rPr>
          <w:rStyle w:val="18"/>
          <w:rFonts w:hint="eastAsia" w:ascii="仿宋" w:hAnsi="仿宋" w:eastAsia="仿宋"/>
          <w:b w:val="0"/>
          <w:bCs/>
          <w:color w:val="auto"/>
          <w:sz w:val="32"/>
          <w:szCs w:val="32"/>
          <w:highlight w:val="none"/>
          <w:lang w:eastAsia="zh-CN"/>
        </w:rPr>
        <w:t>。</w:t>
      </w:r>
    </w:p>
    <w:p w14:paraId="1DC40195">
      <w:pPr>
        <w:pStyle w:val="5"/>
        <w:numPr>
          <w:ilvl w:val="0"/>
          <w:numId w:val="5"/>
        </w:numPr>
        <w:ind w:left="-13" w:leftChars="0" w:firstLine="643" w:firstLineChars="0"/>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（类）水利（款）大中型水库移民后期扶持专项支出（项）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335.50</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 w:hAnsi="仿宋" w:eastAsia="仿宋"/>
          <w:color w:val="auto"/>
          <w:kern w:val="2"/>
          <w:sz w:val="32"/>
          <w:lang w:val="en-US"/>
        </w:rPr>
        <w:t>决算数等于预算数</w:t>
      </w:r>
      <w:r>
        <w:rPr>
          <w:rStyle w:val="18"/>
          <w:rFonts w:hint="eastAsia" w:ascii="仿宋" w:hAnsi="仿宋" w:eastAsia="仿宋"/>
          <w:b w:val="0"/>
          <w:bCs/>
          <w:color w:val="auto"/>
          <w:sz w:val="32"/>
          <w:szCs w:val="32"/>
          <w:highlight w:val="none"/>
          <w:lang w:eastAsia="zh-CN"/>
        </w:rPr>
        <w:t>。</w:t>
      </w:r>
    </w:p>
    <w:p w14:paraId="2CAE3B2B">
      <w:pPr>
        <w:pStyle w:val="5"/>
        <w:numPr>
          <w:ilvl w:val="0"/>
          <w:numId w:val="5"/>
        </w:numPr>
        <w:ind w:left="-13" w:leftChars="0" w:firstLine="643" w:firstLineChars="0"/>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w:t>
      </w:r>
      <w:r>
        <w:rPr>
          <w:rStyle w:val="18"/>
          <w:rFonts w:hint="eastAsia" w:ascii="仿宋" w:hAnsi="仿宋" w:eastAsia="仿宋"/>
          <w:bCs/>
          <w:color w:val="auto"/>
          <w:sz w:val="32"/>
          <w:szCs w:val="32"/>
          <w:highlight w:val="none"/>
          <w:lang w:val="en-US" w:eastAsia="zh-CN"/>
        </w:rPr>
        <w:t>农村供水</w:t>
      </w:r>
      <w:r>
        <w:rPr>
          <w:rStyle w:val="18"/>
          <w:rFonts w:hint="eastAsia" w:ascii="仿宋" w:hAnsi="仿宋" w:eastAsia="仿宋"/>
          <w:bCs/>
          <w:color w:val="auto"/>
          <w:sz w:val="32"/>
          <w:szCs w:val="32"/>
          <w:highlight w:val="none"/>
        </w:rPr>
        <w:t>（项）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21.21</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 w:hAnsi="仿宋" w:eastAsia="仿宋"/>
          <w:color w:val="auto"/>
          <w:kern w:val="2"/>
          <w:sz w:val="32"/>
          <w:lang w:val="en-US"/>
        </w:rPr>
        <w:t>决算数等于预算数</w:t>
      </w:r>
      <w:r>
        <w:rPr>
          <w:rStyle w:val="18"/>
          <w:rFonts w:hint="eastAsia" w:ascii="仿宋" w:hAnsi="仿宋" w:eastAsia="仿宋"/>
          <w:b w:val="0"/>
          <w:bCs/>
          <w:color w:val="auto"/>
          <w:sz w:val="32"/>
          <w:szCs w:val="32"/>
          <w:highlight w:val="none"/>
          <w:lang w:eastAsia="zh-CN"/>
        </w:rPr>
        <w:t>。</w:t>
      </w:r>
    </w:p>
    <w:p w14:paraId="4F83A5E4">
      <w:pPr>
        <w:pStyle w:val="5"/>
        <w:numPr>
          <w:ilvl w:val="0"/>
          <w:numId w:val="5"/>
        </w:numPr>
        <w:ind w:left="-13" w:leftChars="0" w:firstLine="643" w:firstLineChars="0"/>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（类）水利（款）其他水利支出（项）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961.39</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 w:hAnsi="仿宋" w:eastAsia="仿宋"/>
          <w:color w:val="auto"/>
          <w:kern w:val="2"/>
          <w:sz w:val="32"/>
          <w:lang w:val="en-US"/>
        </w:rPr>
        <w:t>决算数等于预算数</w:t>
      </w:r>
      <w:r>
        <w:rPr>
          <w:rStyle w:val="18"/>
          <w:rFonts w:hint="eastAsia" w:ascii="仿宋" w:hAnsi="仿宋" w:eastAsia="仿宋"/>
          <w:b w:val="0"/>
          <w:bCs/>
          <w:color w:val="auto"/>
          <w:sz w:val="32"/>
          <w:szCs w:val="32"/>
          <w:highlight w:val="none"/>
          <w:lang w:eastAsia="zh-CN"/>
        </w:rPr>
        <w:t>。</w:t>
      </w:r>
    </w:p>
    <w:p w14:paraId="6BBBB7F2">
      <w:pPr>
        <w:pStyle w:val="5"/>
        <w:numPr>
          <w:ilvl w:val="0"/>
          <w:numId w:val="5"/>
        </w:numPr>
        <w:ind w:left="-13" w:leftChars="0" w:firstLine="643" w:firstLineChars="0"/>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（类）巩固脱贫衔接乡村振兴（款）其他巩固脱贫衔接乡村振兴支出（项）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645.26</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 w:hAnsi="仿宋" w:eastAsia="仿宋"/>
          <w:color w:val="auto"/>
          <w:kern w:val="2"/>
          <w:sz w:val="32"/>
          <w:lang w:val="en-US"/>
        </w:rPr>
        <w:t>决算数等于预算数</w:t>
      </w:r>
      <w:r>
        <w:rPr>
          <w:rStyle w:val="18"/>
          <w:rFonts w:hint="eastAsia" w:ascii="仿宋" w:hAnsi="仿宋" w:eastAsia="仿宋"/>
          <w:b w:val="0"/>
          <w:bCs/>
          <w:color w:val="auto"/>
          <w:sz w:val="32"/>
          <w:szCs w:val="32"/>
          <w:highlight w:val="none"/>
          <w:lang w:eastAsia="zh-CN"/>
        </w:rPr>
        <w:t>。</w:t>
      </w:r>
    </w:p>
    <w:p w14:paraId="7CC14EB0">
      <w:pPr>
        <w:pStyle w:val="5"/>
        <w:numPr>
          <w:ilvl w:val="0"/>
          <w:numId w:val="5"/>
        </w:numPr>
        <w:ind w:left="-13" w:leftChars="0" w:firstLine="643" w:firstLineChars="0"/>
        <w:rPr>
          <w:rFonts w:ascii="仿宋" w:hAnsi="仿宋" w:eastAsia="仿宋"/>
          <w:color w:val="auto"/>
          <w:sz w:val="32"/>
          <w:szCs w:val="32"/>
          <w:highlight w:val="none"/>
        </w:rPr>
      </w:pPr>
      <w:r>
        <w:rPr>
          <w:rFonts w:hint="eastAsia" w:ascii="仿宋" w:hAnsi="仿宋" w:eastAsia="仿宋"/>
          <w:b/>
          <w:bCs/>
          <w:color w:val="auto"/>
          <w:sz w:val="32"/>
          <w:szCs w:val="32"/>
          <w:highlight w:val="none"/>
        </w:rPr>
        <w:t>住房保障支出</w:t>
      </w:r>
      <w:r>
        <w:rPr>
          <w:rStyle w:val="18"/>
          <w:rFonts w:hint="eastAsia" w:ascii="仿宋" w:hAnsi="仿宋" w:eastAsia="仿宋"/>
          <w:bCs/>
          <w:color w:val="auto"/>
          <w:sz w:val="32"/>
          <w:szCs w:val="32"/>
          <w:highlight w:val="none"/>
        </w:rPr>
        <w:t>（类）住房改革支出（款）住房公积金（项）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67.16</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lang w:eastAsia="zh-CN"/>
        </w:rPr>
        <w:t>，</w:t>
      </w:r>
      <w:r>
        <w:rPr>
          <w:rFonts w:hint="eastAsia" w:ascii="仿宋" w:hAnsi="仿宋" w:eastAsia="仿宋"/>
          <w:color w:val="auto"/>
          <w:kern w:val="2"/>
          <w:sz w:val="32"/>
          <w:lang w:val="en-US"/>
        </w:rPr>
        <w:t>决算数等于预算数</w:t>
      </w:r>
      <w:r>
        <w:rPr>
          <w:rStyle w:val="18"/>
          <w:rFonts w:hint="eastAsia" w:ascii="仿宋" w:hAnsi="仿宋" w:eastAsia="仿宋"/>
          <w:b w:val="0"/>
          <w:bCs/>
          <w:color w:val="auto"/>
          <w:sz w:val="32"/>
          <w:szCs w:val="32"/>
          <w:highlight w:val="none"/>
          <w:lang w:eastAsia="zh-CN"/>
        </w:rPr>
        <w:t>。</w:t>
      </w:r>
    </w:p>
    <w:p w14:paraId="4CCCCB52">
      <w:pPr>
        <w:tabs>
          <w:tab w:val="right" w:pos="8306"/>
        </w:tabs>
        <w:spacing w:line="600" w:lineRule="exact"/>
        <w:ind w:firstLine="640"/>
        <w:outlineLvl w:val="1"/>
        <w:rPr>
          <w:rStyle w:val="22"/>
          <w:color w:val="auto"/>
          <w:highlight w:val="none"/>
        </w:rPr>
      </w:pPr>
      <w:bookmarkStart w:id="52" w:name="_Toc15377214"/>
      <w:bookmarkStart w:id="53" w:name="_Toc17926"/>
      <w:bookmarkStart w:id="54" w:name="_Toc3885"/>
      <w:bookmarkStart w:id="55" w:name="_Toc1539660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2"/>
          <w:rFonts w:hint="eastAsia" w:ascii="黑体" w:hAnsi="黑体" w:eastAsia="黑体"/>
          <w:b w:val="0"/>
          <w:color w:val="auto"/>
          <w:highlight w:val="none"/>
        </w:rPr>
        <w:t>般公共预算财政拨款基本支出决算情况说明</w:t>
      </w:r>
      <w:bookmarkEnd w:id="52"/>
      <w:bookmarkEnd w:id="53"/>
      <w:bookmarkEnd w:id="54"/>
      <w:bookmarkEnd w:id="55"/>
      <w:r>
        <w:rPr>
          <w:rStyle w:val="22"/>
          <w:rFonts w:ascii="黑体" w:hAnsi="黑体" w:eastAsia="黑体"/>
          <w:b w:val="0"/>
          <w:color w:val="auto"/>
          <w:highlight w:val="none"/>
        </w:rPr>
        <w:tab/>
      </w:r>
    </w:p>
    <w:p w14:paraId="7B74313F">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1093.64</w:t>
      </w:r>
      <w:r>
        <w:rPr>
          <w:rFonts w:hint="eastAsia" w:ascii="仿宋" w:hAnsi="仿宋" w:eastAsia="仿宋"/>
          <w:color w:val="auto"/>
          <w:sz w:val="32"/>
          <w:szCs w:val="32"/>
          <w:highlight w:val="none"/>
        </w:rPr>
        <w:t>万元，其中：</w:t>
      </w:r>
    </w:p>
    <w:p w14:paraId="5AD4A894">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944.23</w:t>
      </w:r>
      <w:r>
        <w:rPr>
          <w:rFonts w:hint="eastAsia" w:ascii="仿宋" w:hAnsi="仿宋" w:eastAsia="仿宋"/>
          <w:color w:val="auto"/>
          <w:sz w:val="32"/>
          <w:szCs w:val="32"/>
          <w:highlight w:val="none"/>
        </w:rPr>
        <w:t>万元，主要包括：基本工资、津贴补贴、奖金、伙食补助费、绩效工资、机关事业单位基本养老保险缴费、职业年金缴费、</w:t>
      </w:r>
      <w:r>
        <w:rPr>
          <w:rFonts w:hint="eastAsia" w:ascii="仿宋" w:hAnsi="仿宋" w:eastAsia="仿宋"/>
          <w:color w:val="auto"/>
          <w:sz w:val="32"/>
          <w:szCs w:val="32"/>
          <w:highlight w:val="none"/>
          <w:lang w:val="en-US" w:eastAsia="zh-CN"/>
        </w:rPr>
        <w:t>公务员医疗补助缴费、职工基本医疗保险缴费、</w:t>
      </w:r>
      <w:r>
        <w:rPr>
          <w:rFonts w:hint="eastAsia" w:ascii="仿宋" w:hAnsi="仿宋" w:eastAsia="仿宋"/>
          <w:color w:val="auto"/>
          <w:sz w:val="32"/>
          <w:szCs w:val="32"/>
          <w:highlight w:val="none"/>
        </w:rPr>
        <w:t>其他社会保障缴费、</w:t>
      </w:r>
      <w:r>
        <w:rPr>
          <w:rFonts w:hint="eastAsia" w:ascii="仿宋" w:hAnsi="仿宋" w:eastAsia="仿宋"/>
          <w:color w:val="auto"/>
          <w:sz w:val="32"/>
          <w:szCs w:val="32"/>
          <w:highlight w:val="none"/>
          <w:lang w:val="en-US" w:eastAsia="zh-CN"/>
        </w:rPr>
        <w:t>住房公积金、</w:t>
      </w:r>
      <w:r>
        <w:rPr>
          <w:rFonts w:hint="eastAsia" w:ascii="仿宋" w:hAnsi="仿宋" w:eastAsia="仿宋"/>
          <w:color w:val="auto"/>
          <w:sz w:val="32"/>
          <w:szCs w:val="32"/>
          <w:highlight w:val="none"/>
        </w:rPr>
        <w:t>其他工资福利支出、生活补助。</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w:t>
      </w:r>
      <w:r>
        <w:rPr>
          <w:rFonts w:hint="eastAsia" w:ascii="仿宋" w:hAnsi="仿宋" w:eastAsia="仿宋"/>
          <w:color w:val="auto"/>
          <w:sz w:val="32"/>
          <w:szCs w:val="32"/>
          <w:highlight w:val="none"/>
          <w:lang w:val="en-US" w:eastAsia="zh-CN"/>
        </w:rPr>
        <w:t>149.41</w:t>
      </w:r>
      <w:r>
        <w:rPr>
          <w:rFonts w:hint="eastAsia" w:ascii="仿宋" w:hAnsi="仿宋" w:eastAsia="仿宋"/>
          <w:color w:val="auto"/>
          <w:sz w:val="32"/>
          <w:szCs w:val="32"/>
          <w:highlight w:val="none"/>
        </w:rPr>
        <w:t>万元，主要包括：办公费、印刷费、水费、电费、邮电费、差旅费、维修（护）费、培训费、公务接待费、劳务费、委托业务费、工会经费、福利费、其他交通费、其他商品和服务支出、办公设备购置。</w:t>
      </w:r>
    </w:p>
    <w:p w14:paraId="644D8A49">
      <w:pPr>
        <w:spacing w:line="600" w:lineRule="exact"/>
        <w:ind w:firstLine="640"/>
        <w:outlineLvl w:val="1"/>
        <w:rPr>
          <w:rStyle w:val="22"/>
          <w:rFonts w:ascii="黑体" w:hAnsi="黑体" w:eastAsia="黑体"/>
          <w:b w:val="0"/>
          <w:color w:val="auto"/>
          <w:highlight w:val="none"/>
        </w:rPr>
      </w:pPr>
      <w:bookmarkStart w:id="56" w:name="_Toc28816"/>
      <w:bookmarkStart w:id="57" w:name="_Toc15377215"/>
      <w:bookmarkStart w:id="58" w:name="_Toc11614"/>
      <w:bookmarkStart w:id="59" w:name="_Toc15396609"/>
      <w:r>
        <w:rPr>
          <w:rFonts w:hint="eastAsia" w:ascii="黑体" w:eastAsia="黑体"/>
          <w:color w:val="auto"/>
          <w:sz w:val="32"/>
          <w:szCs w:val="32"/>
          <w:highlight w:val="none"/>
        </w:rPr>
        <w:t>七、</w:t>
      </w:r>
      <w:r>
        <w:rPr>
          <w:rStyle w:val="22"/>
          <w:rFonts w:hint="eastAsia" w:ascii="黑体" w:hAnsi="黑体" w:eastAsia="黑体"/>
          <w:b w:val="0"/>
          <w:color w:val="auto"/>
          <w:highlight w:val="none"/>
        </w:rPr>
        <w:t>财政拨款</w:t>
      </w:r>
      <w:r>
        <w:rPr>
          <w:rStyle w:val="22"/>
          <w:rFonts w:hint="eastAsia" w:ascii="黑体" w:hAnsi="黑体" w:eastAsia="黑体"/>
          <w:color w:val="auto"/>
          <w:highlight w:val="none"/>
        </w:rPr>
        <w:t>“</w:t>
      </w:r>
      <w:r>
        <w:rPr>
          <w:rStyle w:val="22"/>
          <w:rFonts w:hint="eastAsia" w:ascii="黑体" w:hAnsi="黑体" w:eastAsia="黑体"/>
          <w:b w:val="0"/>
          <w:color w:val="auto"/>
          <w:highlight w:val="none"/>
        </w:rPr>
        <w:t>三公”经费支出决算情况说明</w:t>
      </w:r>
      <w:bookmarkEnd w:id="56"/>
      <w:bookmarkEnd w:id="57"/>
      <w:bookmarkEnd w:id="58"/>
      <w:bookmarkEnd w:id="59"/>
    </w:p>
    <w:p w14:paraId="3466A2EF">
      <w:pPr>
        <w:spacing w:line="600" w:lineRule="exact"/>
        <w:ind w:firstLine="640"/>
        <w:outlineLvl w:val="2"/>
        <w:rPr>
          <w:rFonts w:ascii="仿宋" w:hAnsi="仿宋" w:eastAsia="仿宋"/>
          <w:b/>
          <w:color w:val="auto"/>
          <w:sz w:val="32"/>
          <w:szCs w:val="32"/>
          <w:highlight w:val="none"/>
        </w:rPr>
      </w:pPr>
      <w:bookmarkStart w:id="60" w:name="_Toc15377216"/>
      <w:r>
        <w:rPr>
          <w:rFonts w:hint="eastAsia" w:ascii="仿宋" w:hAnsi="仿宋" w:eastAsia="仿宋"/>
          <w:b/>
          <w:color w:val="auto"/>
          <w:sz w:val="32"/>
          <w:szCs w:val="32"/>
          <w:highlight w:val="none"/>
        </w:rPr>
        <w:t>（一）“三公”经费财政拨款支出决算总体情况说明</w:t>
      </w:r>
      <w:bookmarkEnd w:id="60"/>
    </w:p>
    <w:p w14:paraId="6D181439">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5.37</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36.28</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较上年增加</w:t>
      </w:r>
      <w:r>
        <w:rPr>
          <w:rFonts w:hint="eastAsia" w:ascii="仿宋" w:hAnsi="仿宋" w:eastAsia="仿宋"/>
          <w:color w:val="auto"/>
          <w:sz w:val="32"/>
          <w:szCs w:val="32"/>
          <w:highlight w:val="none"/>
          <w:lang w:val="en-US" w:eastAsia="zh-CN"/>
        </w:rPr>
        <w:t>1.03万元，增长23.73%。</w:t>
      </w:r>
      <w:r>
        <w:rPr>
          <w:rFonts w:hint="eastAsia" w:ascii="仿宋" w:hAnsi="仿宋" w:eastAsia="仿宋"/>
          <w:color w:val="auto"/>
          <w:sz w:val="32"/>
          <w:szCs w:val="32"/>
          <w:highlight w:val="none"/>
        </w:rPr>
        <w:t>决算数小于预算数的主要原因是</w:t>
      </w:r>
      <w:r>
        <w:rPr>
          <w:rFonts w:hint="eastAsia" w:ascii="仿宋" w:hAnsi="仿宋" w:eastAsia="仿宋"/>
          <w:color w:val="auto"/>
          <w:sz w:val="32"/>
          <w:szCs w:val="32"/>
          <w:highlight w:val="none"/>
          <w:lang w:val="en-US" w:eastAsia="zh-CN"/>
        </w:rPr>
        <w:t>严格控制</w:t>
      </w:r>
      <w:r>
        <w:rPr>
          <w:rFonts w:hint="eastAsia" w:ascii="仿宋" w:hAnsi="仿宋" w:eastAsia="仿宋"/>
          <w:color w:val="auto"/>
          <w:sz w:val="32"/>
          <w:szCs w:val="32"/>
          <w:highlight w:val="none"/>
        </w:rPr>
        <w:t>“三公”</w:t>
      </w:r>
      <w:r>
        <w:rPr>
          <w:rFonts w:hint="eastAsia" w:ascii="仿宋" w:hAnsi="仿宋" w:eastAsia="仿宋"/>
          <w:color w:val="auto"/>
          <w:sz w:val="32"/>
          <w:szCs w:val="32"/>
          <w:highlight w:val="none"/>
          <w:lang w:val="en-US" w:eastAsia="zh-CN"/>
        </w:rPr>
        <w:t>经费支出</w:t>
      </w:r>
      <w:r>
        <w:rPr>
          <w:rFonts w:hint="eastAsia" w:ascii="仿宋" w:hAnsi="仿宋" w:eastAsia="仿宋"/>
          <w:color w:val="auto"/>
          <w:sz w:val="32"/>
          <w:szCs w:val="32"/>
          <w:highlight w:val="none"/>
        </w:rPr>
        <w:t>。</w:t>
      </w:r>
    </w:p>
    <w:p w14:paraId="456BCCE6">
      <w:pPr>
        <w:spacing w:line="600" w:lineRule="exact"/>
        <w:ind w:firstLine="640"/>
        <w:outlineLvl w:val="2"/>
        <w:rPr>
          <w:rFonts w:ascii="仿宋" w:hAnsi="仿宋" w:eastAsia="仿宋"/>
          <w:b/>
          <w:color w:val="auto"/>
          <w:sz w:val="32"/>
          <w:szCs w:val="32"/>
          <w:highlight w:val="none"/>
        </w:rPr>
      </w:pPr>
      <w:bookmarkStart w:id="61" w:name="_Toc15377217"/>
      <w:r>
        <w:rPr>
          <w:rFonts w:hint="eastAsia" w:ascii="仿宋" w:hAnsi="仿宋" w:eastAsia="仿宋"/>
          <w:b/>
          <w:color w:val="auto"/>
          <w:sz w:val="32"/>
          <w:szCs w:val="32"/>
          <w:highlight w:val="none"/>
        </w:rPr>
        <w:t>（二）“三公”经费财政拨款支出决算具体情况说明</w:t>
      </w:r>
      <w:bookmarkEnd w:id="61"/>
    </w:p>
    <w:p w14:paraId="3CD05067">
      <w:pPr>
        <w:spacing w:line="600" w:lineRule="exact"/>
        <w:ind w:firstLine="640"/>
        <w:rPr>
          <w:rFonts w:hint="eastAsia" w:ascii="仿宋" w:hAnsi="仿宋" w:eastAsia="仿宋"/>
          <w:color w:val="auto"/>
          <w:sz w:val="32"/>
          <w:szCs w:val="32"/>
          <w:highlight w:val="none"/>
        </w:rPr>
      </w:pP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5.37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4BE76B2F">
      <w:pPr>
        <w:pStyle w:val="5"/>
        <w:rPr>
          <w:rFonts w:hint="eastAsia" w:eastAsia="仿宋"/>
          <w:lang w:eastAsia="zh-CN"/>
        </w:rPr>
      </w:pPr>
      <w:r>
        <w:rPr>
          <w:rFonts w:hint="eastAsia" w:eastAsia="仿宋"/>
          <w:lang w:eastAsia="zh-CN"/>
        </w:rPr>
        <w:drawing>
          <wp:inline distT="0" distB="0" distL="114300" distR="114300">
            <wp:extent cx="5080000" cy="3810000"/>
            <wp:effectExtent l="4445" t="4445" r="20955" b="1460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BD26D9">
      <w:pPr>
        <w:spacing w:line="600" w:lineRule="exact"/>
        <w:ind w:firstLine="640"/>
        <w:rPr>
          <w:rFonts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（图7：“三公”经费财政拨款支出结构）（饼状图）</w:t>
      </w:r>
    </w:p>
    <w:p w14:paraId="51DA6C85">
      <w:pPr>
        <w:spacing w:line="600" w:lineRule="exact"/>
        <w:ind w:firstLine="640"/>
        <w:rPr>
          <w:rFonts w:ascii="仿宋_GB2312" w:eastAsia="仿宋_GB2312"/>
          <w:b/>
          <w:color w:val="auto"/>
          <w:sz w:val="32"/>
          <w:szCs w:val="32"/>
          <w:highlight w:val="none"/>
        </w:rPr>
      </w:pPr>
      <w:r>
        <w:rPr>
          <w:rFonts w:ascii="仿宋_GB2312" w:eastAsia="仿宋_GB2312"/>
          <w:b/>
          <w:color w:val="auto"/>
          <w:sz w:val="32"/>
          <w:szCs w:val="32"/>
          <w:highlight w:val="none"/>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8"/>
          <w:rFonts w:hint="eastAsia" w:ascii="仿宋" w:hAnsi="仿宋" w:eastAsia="仿宋"/>
          <w:b w:val="0"/>
          <w:bCs/>
          <w:color w:val="auto"/>
          <w:sz w:val="32"/>
          <w:szCs w:val="32"/>
          <w:highlight w:val="none"/>
        </w:rPr>
        <w:t>完成预算</w:t>
      </w:r>
      <w:r>
        <w:rPr>
          <w:rStyle w:val="18"/>
          <w:rFonts w:hint="eastAsia" w:ascii="仿宋" w:hAnsi="仿宋" w:eastAsia="仿宋"/>
          <w:b w:val="0"/>
          <w:bCs/>
          <w:color w:val="auto"/>
          <w:sz w:val="32"/>
          <w:szCs w:val="32"/>
          <w:highlight w:val="none"/>
          <w:lang w:val="en-US" w:eastAsia="zh-CN"/>
        </w:rPr>
        <w:t>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全年安排因公出国（境）团组</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次，出国（境）</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人。因公出国（境）支出决算</w:t>
      </w:r>
      <w:r>
        <w:rPr>
          <w:rFonts w:hint="eastAsia" w:ascii="仿宋_GB2312" w:eastAsia="仿宋_GB2312"/>
          <w:color w:val="auto"/>
          <w:sz w:val="32"/>
          <w:szCs w:val="32"/>
          <w:highlight w:val="none"/>
          <w:lang w:val="en-US" w:eastAsia="zh-CN"/>
        </w:rPr>
        <w:t>与</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持平</w:t>
      </w:r>
      <w:r>
        <w:rPr>
          <w:rFonts w:hint="eastAsia" w:ascii="仿宋_GB2312" w:eastAsia="仿宋_GB2312"/>
          <w:color w:val="auto"/>
          <w:sz w:val="32"/>
          <w:szCs w:val="32"/>
          <w:highlight w:val="none"/>
        </w:rPr>
        <w:t>。</w:t>
      </w:r>
    </w:p>
    <w:p w14:paraId="13A8C906">
      <w:pPr>
        <w:spacing w:line="600" w:lineRule="exact"/>
        <w:ind w:firstLine="640"/>
        <w:rPr>
          <w:rFonts w:hint="eastAsia" w:ascii="仿宋_GB2312" w:eastAsia="仿宋_GB2312"/>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Style w:val="18"/>
          <w:rFonts w:hint="eastAsia" w:ascii="仿宋" w:hAnsi="仿宋" w:eastAsia="仿宋"/>
          <w:b w:val="0"/>
          <w:bCs/>
          <w:color w:val="auto"/>
          <w:sz w:val="32"/>
          <w:szCs w:val="32"/>
          <w:highlight w:val="none"/>
        </w:rPr>
        <w:t>完成预算</w:t>
      </w:r>
      <w:r>
        <w:rPr>
          <w:rStyle w:val="18"/>
          <w:rFonts w:hint="eastAsia" w:ascii="仿宋" w:hAnsi="仿宋" w:eastAsia="仿宋"/>
          <w:b w:val="0"/>
          <w:bCs/>
          <w:color w:val="auto"/>
          <w:sz w:val="32"/>
          <w:szCs w:val="32"/>
          <w:highlight w:val="none"/>
          <w:lang w:val="en-US" w:eastAsia="zh-CN"/>
        </w:rPr>
        <w:t>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w:t>
      </w:r>
      <w:r>
        <w:rPr>
          <w:rFonts w:hint="eastAsia" w:ascii="仿宋_GB2312" w:eastAsia="仿宋_GB2312"/>
          <w:color w:val="auto"/>
          <w:sz w:val="32"/>
          <w:szCs w:val="32"/>
          <w:highlight w:val="none"/>
          <w:lang w:val="en-US" w:eastAsia="zh-CN"/>
        </w:rPr>
        <w:t>与</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持平</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val="en-US" w:eastAsia="zh-CN"/>
        </w:rPr>
        <w:t>峨边彝族自治县水务局未购置和拥有公务车辆</w:t>
      </w:r>
      <w:r>
        <w:rPr>
          <w:rFonts w:hint="eastAsia" w:ascii="仿宋_GB2312" w:eastAsia="仿宋_GB2312"/>
          <w:color w:val="auto"/>
          <w:sz w:val="32"/>
          <w:szCs w:val="32"/>
          <w:highlight w:val="none"/>
        </w:rPr>
        <w:t>。</w:t>
      </w:r>
    </w:p>
    <w:p w14:paraId="1351AA56">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5.37</w:t>
      </w:r>
      <w:r>
        <w:rPr>
          <w:rFonts w:hint="eastAsia" w:ascii="仿宋_GB2312" w:eastAsia="仿宋_GB2312"/>
          <w:color w:val="auto"/>
          <w:sz w:val="32"/>
          <w:szCs w:val="32"/>
          <w:highlight w:val="none"/>
        </w:rPr>
        <w:t>万元，</w:t>
      </w:r>
      <w:r>
        <w:rPr>
          <w:rStyle w:val="18"/>
          <w:rFonts w:hint="eastAsia" w:ascii="仿宋" w:hAnsi="仿宋" w:eastAsia="仿宋"/>
          <w:b w:val="0"/>
          <w:bCs/>
          <w:color w:val="auto"/>
          <w:sz w:val="32"/>
          <w:szCs w:val="32"/>
          <w:highlight w:val="none"/>
        </w:rPr>
        <w:t>完成预算</w:t>
      </w:r>
      <w:r>
        <w:rPr>
          <w:rStyle w:val="18"/>
          <w:rFonts w:hint="eastAsia" w:ascii="仿宋" w:hAnsi="仿宋" w:eastAsia="仿宋"/>
          <w:b w:val="0"/>
          <w:bCs/>
          <w:color w:val="auto"/>
          <w:sz w:val="32"/>
          <w:szCs w:val="32"/>
          <w:highlight w:val="none"/>
          <w:lang w:val="en-US" w:eastAsia="zh-CN"/>
        </w:rPr>
        <w:t>36.28</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1.03</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23.73</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上级检查移民项目、水利发展资金项目和河长制工作次数增加</w:t>
      </w:r>
      <w:r>
        <w:rPr>
          <w:rFonts w:hint="eastAsia" w:ascii="仿宋_GB2312" w:eastAsia="仿宋_GB2312"/>
          <w:color w:val="auto"/>
          <w:sz w:val="32"/>
          <w:szCs w:val="32"/>
          <w:highlight w:val="none"/>
        </w:rPr>
        <w:t>。其中：</w:t>
      </w:r>
    </w:p>
    <w:p w14:paraId="66C405B4">
      <w:pPr>
        <w:spacing w:line="600" w:lineRule="exact"/>
        <w:ind w:firstLine="640"/>
        <w:rPr>
          <w:rFonts w:ascii="仿宋_GB2312" w:eastAsia="仿宋_GB2312"/>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5.37</w:t>
      </w:r>
      <w:r>
        <w:rPr>
          <w:rFonts w:hint="eastAsia" w:ascii="仿宋_GB2312" w:eastAsia="仿宋_GB2312"/>
          <w:color w:val="auto"/>
          <w:sz w:val="32"/>
          <w:szCs w:val="32"/>
          <w:highlight w:val="none"/>
        </w:rPr>
        <w:t>万元，主要用于</w:t>
      </w:r>
      <w:r>
        <w:rPr>
          <w:rFonts w:hint="eastAsia" w:ascii="仿宋_GB2312" w:eastAsia="仿宋_GB2312"/>
          <w:color w:val="auto"/>
          <w:sz w:val="32"/>
          <w:szCs w:val="32"/>
          <w:highlight w:val="none"/>
          <w:lang w:val="en-US" w:eastAsia="zh-CN"/>
        </w:rPr>
        <w:t>上级检查移民项目、水利发展资金项目、河长制工作、</w:t>
      </w:r>
      <w:r>
        <w:rPr>
          <w:rFonts w:hint="eastAsia" w:ascii="仿宋_GB2312" w:eastAsia="仿宋_GB2312"/>
          <w:color w:val="auto"/>
          <w:sz w:val="32"/>
          <w:szCs w:val="32"/>
          <w:highlight w:val="none"/>
        </w:rPr>
        <w:t>开展业务活动开支的用餐费。国内公务接待</w:t>
      </w:r>
      <w:r>
        <w:rPr>
          <w:rFonts w:hint="eastAsia" w:ascii="仿宋_GB2312" w:eastAsia="仿宋_GB2312"/>
          <w:color w:val="auto"/>
          <w:sz w:val="32"/>
          <w:szCs w:val="32"/>
          <w:highlight w:val="none"/>
          <w:lang w:val="en-US" w:eastAsia="zh-CN"/>
        </w:rPr>
        <w:t>61</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545</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5.37</w:t>
      </w:r>
      <w:r>
        <w:rPr>
          <w:rFonts w:hint="eastAsia" w:ascii="仿宋_GB2312" w:eastAsia="仿宋_GB2312"/>
          <w:color w:val="auto"/>
          <w:sz w:val="32"/>
          <w:szCs w:val="32"/>
          <w:highlight w:val="none"/>
        </w:rPr>
        <w:t>万元，具体内容包括：</w:t>
      </w:r>
      <w:r>
        <w:rPr>
          <w:rFonts w:hint="eastAsia" w:ascii="仿宋_GB2312" w:eastAsia="仿宋_GB2312"/>
          <w:color w:val="auto"/>
          <w:sz w:val="32"/>
          <w:szCs w:val="32"/>
          <w:highlight w:val="none"/>
          <w:lang w:val="en-US" w:eastAsia="zh-CN"/>
        </w:rPr>
        <w:t>检查移民项目、水利发展资金、河长制工作项目</w:t>
      </w:r>
      <w:r>
        <w:rPr>
          <w:rFonts w:hint="eastAsia" w:ascii="仿宋_GB2312" w:eastAsia="仿宋_GB2312"/>
          <w:color w:val="auto"/>
          <w:sz w:val="32"/>
          <w:szCs w:val="32"/>
          <w:highlight w:val="none"/>
        </w:rPr>
        <w:t>。</w:t>
      </w:r>
    </w:p>
    <w:p w14:paraId="63B3C914">
      <w:pPr>
        <w:spacing w:line="600" w:lineRule="exact"/>
        <w:ind w:firstLine="643" w:firstLineChars="200"/>
        <w:rPr>
          <w:rFonts w:ascii="黑体" w:eastAsia="黑体"/>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bookmarkStart w:id="62" w:name="_Toc15396610"/>
      <w:bookmarkStart w:id="63" w:name="_Toc15377218"/>
    </w:p>
    <w:p w14:paraId="60873228">
      <w:pPr>
        <w:spacing w:line="600" w:lineRule="exact"/>
        <w:ind w:firstLine="640"/>
        <w:outlineLvl w:val="1"/>
        <w:rPr>
          <w:rStyle w:val="22"/>
          <w:rFonts w:ascii="黑体" w:hAnsi="黑体" w:eastAsia="黑体"/>
          <w:color w:val="auto"/>
          <w:highlight w:val="none"/>
        </w:rPr>
      </w:pPr>
      <w:bookmarkStart w:id="64" w:name="_Toc6702"/>
      <w:bookmarkStart w:id="65" w:name="_Toc19005"/>
      <w:r>
        <w:rPr>
          <w:rFonts w:hint="eastAsia" w:ascii="黑体" w:eastAsia="黑体"/>
          <w:color w:val="auto"/>
          <w:sz w:val="32"/>
          <w:szCs w:val="32"/>
          <w:highlight w:val="none"/>
        </w:rPr>
        <w:t>八、</w:t>
      </w:r>
      <w:r>
        <w:rPr>
          <w:rStyle w:val="22"/>
          <w:rFonts w:hint="eastAsia" w:ascii="黑体" w:hAnsi="黑体" w:eastAsia="黑体"/>
          <w:b w:val="0"/>
          <w:color w:val="auto"/>
          <w:highlight w:val="none"/>
        </w:rPr>
        <w:t>政府性基金预算支出决算情况说明</w:t>
      </w:r>
      <w:bookmarkEnd w:id="62"/>
      <w:bookmarkEnd w:id="63"/>
      <w:bookmarkEnd w:id="64"/>
      <w:bookmarkEnd w:id="65"/>
    </w:p>
    <w:p w14:paraId="56883CA1">
      <w:pPr>
        <w:spacing w:line="600" w:lineRule="exact"/>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3353.17</w:t>
      </w:r>
      <w:r>
        <w:rPr>
          <w:rFonts w:hint="eastAsia" w:ascii="仿宋_GB2312" w:eastAsia="仿宋_GB2312"/>
          <w:color w:val="auto"/>
          <w:sz w:val="32"/>
          <w:szCs w:val="32"/>
          <w:highlight w:val="none"/>
        </w:rPr>
        <w:t>万元。</w:t>
      </w:r>
    </w:p>
    <w:p w14:paraId="5CBCD279">
      <w:pPr>
        <w:numPr>
          <w:ilvl w:val="0"/>
          <w:numId w:val="6"/>
        </w:numPr>
        <w:spacing w:line="600" w:lineRule="exact"/>
        <w:ind w:firstLine="640"/>
        <w:outlineLvl w:val="1"/>
        <w:rPr>
          <w:rStyle w:val="22"/>
          <w:rFonts w:ascii="黑体" w:hAnsi="黑体" w:eastAsia="黑体"/>
          <w:b w:val="0"/>
          <w:color w:val="auto"/>
          <w:highlight w:val="none"/>
        </w:rPr>
      </w:pPr>
      <w:bookmarkStart w:id="66" w:name="_Toc15396611"/>
      <w:bookmarkStart w:id="67" w:name="_Toc15377219"/>
      <w:bookmarkStart w:id="68" w:name="_Toc26494"/>
      <w:bookmarkStart w:id="69" w:name="_Toc14545"/>
      <w:r>
        <w:rPr>
          <w:rStyle w:val="22"/>
          <w:rFonts w:hint="eastAsia" w:ascii="黑体" w:hAnsi="黑体" w:eastAsia="黑体"/>
          <w:b w:val="0"/>
          <w:color w:val="auto"/>
          <w:highlight w:val="none"/>
        </w:rPr>
        <w:t>国有资本经营预算支出决算情况说明</w:t>
      </w:r>
      <w:bookmarkEnd w:id="66"/>
      <w:bookmarkEnd w:id="67"/>
      <w:bookmarkEnd w:id="68"/>
      <w:bookmarkEnd w:id="69"/>
    </w:p>
    <w:p w14:paraId="0580831B">
      <w:pPr>
        <w:spacing w:line="600" w:lineRule="exact"/>
        <w:ind w:firstLine="640"/>
        <w:rPr>
          <w:rFonts w:ascii="方正小标宋简体" w:hAnsi="方正小标宋简体" w:eastAsia="方正小标宋简体" w:cs="方正小标宋简体"/>
          <w:color w:val="auto"/>
          <w:sz w:val="44"/>
          <w:szCs w:val="44"/>
          <w:highlight w:val="none"/>
        </w:rPr>
      </w:pP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27A8A409">
      <w:pPr>
        <w:numPr>
          <w:ilvl w:val="0"/>
          <w:numId w:val="6"/>
        </w:numPr>
        <w:spacing w:line="600" w:lineRule="exact"/>
        <w:ind w:firstLine="640"/>
        <w:outlineLvl w:val="1"/>
        <w:rPr>
          <w:rStyle w:val="22"/>
          <w:rFonts w:hint="eastAsia" w:ascii="黑体" w:hAnsi="黑体" w:eastAsia="黑体"/>
          <w:b w:val="0"/>
          <w:color w:val="auto"/>
          <w:highlight w:val="none"/>
        </w:rPr>
      </w:pPr>
      <w:bookmarkStart w:id="70" w:name="_Toc26001"/>
      <w:bookmarkStart w:id="71" w:name="_Toc1252"/>
      <w:bookmarkStart w:id="72" w:name="_Toc15377221"/>
      <w:bookmarkStart w:id="73" w:name="_Toc15396612"/>
      <w:r>
        <w:rPr>
          <w:rStyle w:val="22"/>
          <w:rFonts w:hint="eastAsia" w:ascii="黑体" w:hAnsi="黑体" w:eastAsia="黑体"/>
          <w:b w:val="0"/>
          <w:color w:val="auto"/>
          <w:highlight w:val="none"/>
        </w:rPr>
        <w:t>其他重要事项的情况说明</w:t>
      </w:r>
      <w:bookmarkEnd w:id="70"/>
      <w:bookmarkEnd w:id="71"/>
      <w:bookmarkEnd w:id="72"/>
      <w:bookmarkEnd w:id="73"/>
    </w:p>
    <w:p w14:paraId="4294B7DD">
      <w:pPr>
        <w:spacing w:line="600" w:lineRule="exact"/>
        <w:ind w:firstLine="643" w:firstLineChars="200"/>
        <w:outlineLvl w:val="2"/>
        <w:rPr>
          <w:rFonts w:ascii="仿宋" w:hAnsi="仿宋" w:eastAsia="仿宋"/>
          <w:color w:val="auto"/>
          <w:sz w:val="32"/>
          <w:szCs w:val="32"/>
          <w:highlight w:val="none"/>
        </w:rPr>
      </w:pPr>
      <w:bookmarkStart w:id="74" w:name="_Toc15377222"/>
      <w:r>
        <w:rPr>
          <w:rFonts w:hint="eastAsia" w:ascii="仿宋" w:hAnsi="仿宋" w:eastAsia="仿宋"/>
          <w:b/>
          <w:color w:val="auto"/>
          <w:sz w:val="32"/>
          <w:szCs w:val="32"/>
          <w:highlight w:val="none"/>
        </w:rPr>
        <w:t>（一）机关运行经费支出情况</w:t>
      </w:r>
      <w:bookmarkEnd w:id="74"/>
    </w:p>
    <w:p w14:paraId="177353F1">
      <w:pPr>
        <w:spacing w:line="600" w:lineRule="exact"/>
        <w:ind w:firstLine="640" w:firstLineChars="200"/>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峨边彝族自治县水务局</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149.41</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4.06</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2.65</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压缩了机关运行费支出</w:t>
      </w:r>
      <w:r>
        <w:rPr>
          <w:rFonts w:hint="eastAsia" w:ascii="仿宋_GB2312" w:eastAsia="仿宋_GB2312"/>
          <w:color w:val="auto"/>
          <w:sz w:val="32"/>
          <w:szCs w:val="32"/>
          <w:highlight w:val="none"/>
          <w:lang w:eastAsia="zh-CN"/>
        </w:rPr>
        <w:t>。</w:t>
      </w:r>
    </w:p>
    <w:p w14:paraId="2F824744">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75" w:name="_Toc15377223"/>
      <w:r>
        <w:rPr>
          <w:rFonts w:hint="eastAsia" w:ascii="仿宋" w:hAnsi="仿宋" w:eastAsia="仿宋"/>
          <w:b/>
          <w:color w:val="auto"/>
          <w:sz w:val="32"/>
          <w:szCs w:val="32"/>
          <w:highlight w:val="none"/>
        </w:rPr>
        <w:t>（二）政府采购支出情况</w:t>
      </w:r>
      <w:bookmarkEnd w:id="75"/>
    </w:p>
    <w:p w14:paraId="590736FA">
      <w:pPr>
        <w:spacing w:line="600" w:lineRule="exact"/>
        <w:ind w:firstLine="640" w:firstLineChars="200"/>
        <w:rPr>
          <w:rFonts w:ascii="仿宋" w:hAnsi="仿宋" w:eastAsia="仿宋"/>
          <w:b/>
          <w:color w:val="auto"/>
          <w:sz w:val="32"/>
          <w:szCs w:val="32"/>
          <w:highlight w:val="none"/>
        </w:rPr>
      </w:pP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峨边彝族自治县水务局</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75.2690</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0.2690</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75</w:t>
      </w:r>
      <w:r>
        <w:rPr>
          <w:rFonts w:hint="eastAsia" w:ascii="仿宋_GB2312" w:eastAsia="仿宋_GB2312"/>
          <w:color w:val="auto"/>
          <w:sz w:val="32"/>
          <w:szCs w:val="32"/>
          <w:highlight w:val="none"/>
        </w:rPr>
        <w:t>万元。主要用于</w:t>
      </w:r>
      <w:r>
        <w:rPr>
          <w:rFonts w:hint="eastAsia" w:ascii="仿宋_GB2312" w:eastAsia="仿宋_GB2312"/>
          <w:color w:val="auto"/>
          <w:sz w:val="32"/>
          <w:szCs w:val="32"/>
          <w:highlight w:val="none"/>
          <w:lang w:val="en-US" w:eastAsia="zh-CN"/>
        </w:rPr>
        <w:t>购买空调及采购大渡河、官料河等八条河流河湖健康评价及一河一策一图环境应急响应方案编制项目</w:t>
      </w:r>
      <w:r>
        <w:rPr>
          <w:rFonts w:hint="eastAsia" w:ascii="仿宋_GB2312" w:eastAsia="仿宋_GB2312"/>
          <w:color w:val="auto"/>
          <w:sz w:val="32"/>
          <w:szCs w:val="32"/>
          <w:highlight w:val="none"/>
        </w:rPr>
        <w:t>。授予中小企业合同金额</w:t>
      </w:r>
      <w:r>
        <w:rPr>
          <w:rFonts w:hint="eastAsia" w:ascii="仿宋_GB2312" w:eastAsia="仿宋_GB2312"/>
          <w:color w:val="auto"/>
          <w:sz w:val="32"/>
          <w:szCs w:val="32"/>
          <w:highlight w:val="none"/>
          <w:lang w:val="en-US" w:eastAsia="zh-CN"/>
        </w:rPr>
        <w:t>75.2690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100</w:t>
      </w:r>
      <w:r>
        <w:rPr>
          <w:rFonts w:ascii="仿宋_GB2312" w:eastAsia="仿宋_GB2312"/>
          <w:color w:val="auto"/>
          <w:sz w:val="32"/>
          <w:szCs w:val="32"/>
          <w:highlight w:val="none"/>
        </w:rPr>
        <w:t>%</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p>
    <w:p w14:paraId="2EFF76A3">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76" w:name="_Toc15377224"/>
      <w:r>
        <w:rPr>
          <w:rFonts w:hint="eastAsia" w:ascii="仿宋" w:hAnsi="仿宋" w:eastAsia="仿宋"/>
          <w:b/>
          <w:color w:val="auto"/>
          <w:sz w:val="32"/>
          <w:szCs w:val="32"/>
          <w:highlight w:val="none"/>
        </w:rPr>
        <w:t>（三）国有资产占有使用情况</w:t>
      </w:r>
      <w:bookmarkEnd w:id="76"/>
    </w:p>
    <w:p w14:paraId="5465378D">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hint="eastAsia" w:ascii="仿宋_GB2312" w:eastAsia="仿宋_GB2312"/>
          <w:color w:val="auto"/>
          <w:sz w:val="32"/>
          <w:szCs w:val="32"/>
          <w:highlight w:val="none"/>
          <w:lang w:eastAsia="zh-CN"/>
        </w:rPr>
        <w:t>2023</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峨边彝族自治县水务局</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辆，其中：主要领导干部用车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辆、机要通信用车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辆、应急保障用车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辆、其他用车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7E0FFB27">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（四）预算绩效管理情况</w:t>
      </w:r>
    </w:p>
    <w:p w14:paraId="027B7CF1">
      <w:pPr>
        <w:widowControl/>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根据预算绩效管理要求，本部门在</w:t>
      </w:r>
      <w:r>
        <w:rPr>
          <w:rFonts w:hint="eastAsia" w:ascii="仿宋_GB2312" w:hAnsi="仿宋_GB2312" w:eastAsia="仿宋_GB2312" w:cs="仿宋_GB2312"/>
          <w:color w:val="auto"/>
          <w:sz w:val="32"/>
          <w:szCs w:val="32"/>
          <w:highlight w:val="none"/>
          <w:lang w:eastAsia="zh-CN"/>
        </w:rPr>
        <w:t>2023</w:t>
      </w:r>
      <w:r>
        <w:rPr>
          <w:rFonts w:hint="eastAsia" w:ascii="仿宋_GB2312" w:hAnsi="仿宋_GB2312" w:eastAsia="仿宋_GB2312" w:cs="仿宋_GB2312"/>
          <w:color w:val="auto"/>
          <w:sz w:val="32"/>
          <w:szCs w:val="32"/>
          <w:highlight w:val="none"/>
        </w:rPr>
        <w:t>年度预算编制阶段，组织</w:t>
      </w: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个项目开展了预算事前绩效评估，对</w:t>
      </w: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个项目开展绩效监控。</w:t>
      </w:r>
    </w:p>
    <w:p w14:paraId="084636B3">
      <w:pPr>
        <w:widowControl/>
        <w:ind w:firstLine="640" w:firstLineChars="200"/>
        <w:jc w:val="left"/>
        <w:rPr>
          <w:rFonts w:ascii="仿宋_GB2312" w:eastAsia="仿宋_GB2312"/>
          <w:b/>
          <w:color w:val="auto"/>
          <w:sz w:val="32"/>
          <w:szCs w:val="32"/>
          <w:highlight w:val="none"/>
        </w:rPr>
      </w:pPr>
      <w:r>
        <w:rPr>
          <w:rFonts w:hint="eastAsia" w:ascii="仿宋_GB2312" w:hAnsi="仿宋_GB2312" w:eastAsia="仿宋_GB2312" w:cs="仿宋_GB2312"/>
          <w:color w:val="auto"/>
          <w:sz w:val="32"/>
          <w:szCs w:val="32"/>
          <w:highlight w:val="none"/>
        </w:rPr>
        <w:t>组织对</w:t>
      </w:r>
      <w:r>
        <w:rPr>
          <w:rFonts w:hint="eastAsia" w:ascii="仿宋_GB2312" w:hAnsi="仿宋_GB2312" w:eastAsia="仿宋_GB2312" w:cs="仿宋_GB2312"/>
          <w:color w:val="auto"/>
          <w:sz w:val="32"/>
          <w:szCs w:val="32"/>
          <w:highlight w:val="none"/>
          <w:lang w:eastAsia="zh-CN"/>
        </w:rPr>
        <w:t>2023</w:t>
      </w:r>
      <w:r>
        <w:rPr>
          <w:rFonts w:hint="eastAsia" w:ascii="仿宋_GB2312" w:hAnsi="仿宋_GB2312" w:eastAsia="仿宋_GB2312" w:cs="仿宋_GB2312"/>
          <w:color w:val="auto"/>
          <w:sz w:val="32"/>
          <w:szCs w:val="32"/>
          <w:highlight w:val="none"/>
        </w:rPr>
        <w:t>年度一般公共预算、政府性基金预算、国有资本经营预算、社会保险基金预算以及资本资产、债券资金等全面开展绩效自评，形成</w:t>
      </w:r>
      <w:r>
        <w:rPr>
          <w:rFonts w:hint="eastAsia" w:ascii="仿宋_GB2312" w:hAnsi="仿宋_GB2312" w:eastAsia="仿宋_GB2312" w:cs="仿宋_GB2312"/>
          <w:color w:val="auto"/>
          <w:sz w:val="32"/>
          <w:szCs w:val="32"/>
          <w:highlight w:val="none"/>
          <w:lang w:val="en-US" w:eastAsia="zh-CN"/>
        </w:rPr>
        <w:t>峨边彝族自治县水务局</w:t>
      </w:r>
      <w:r>
        <w:rPr>
          <w:rFonts w:hint="eastAsia" w:ascii="仿宋_GB2312" w:hAnsi="仿宋_GB2312" w:eastAsia="仿宋_GB2312" w:cs="仿宋_GB2312"/>
          <w:color w:val="auto"/>
          <w:sz w:val="32"/>
          <w:szCs w:val="32"/>
          <w:highlight w:val="none"/>
        </w:rPr>
        <w:t>部门整体（含部门预算项目）绩效自评报告、</w:t>
      </w:r>
      <w:r>
        <w:rPr>
          <w:rFonts w:hint="eastAsia" w:ascii="仿宋_GB2312" w:hAnsi="仿宋_GB2312" w:eastAsia="仿宋_GB2312" w:cs="仿宋_GB2312"/>
          <w:color w:val="auto"/>
          <w:sz w:val="32"/>
          <w:szCs w:val="32"/>
          <w:highlight w:val="none"/>
          <w:lang w:val="en-US" w:eastAsia="zh-CN"/>
        </w:rPr>
        <w:t>川财农〔2022〕183号－关于下达2023年提前批中央和省级水利发展资金的通知（32万元）32万元、峨边彝族自治县水务局2023年乡村振兴补助资金项目（省级）100.45万元、峨边彝族自治县水务局2023年乡村振兴补助资金项目（县级）165.6万元、峨边彝族自治县水务局2023年乡村振兴补助资金项目（市级）56万元、小型水利项目前期经费40万元、防洪河道保护专项经费20万元、水土资源保护经费75万元、川财农〔2022〕181号关于提前下达2023年中央大中型水库移民后期扶持资金的通知（移民直补）603.20万元、川财农〔2022〕181号关于提前下达2023年中央大中型水库移民后期扶持资金的通知（后扶项目880万元）727.48万元、川财农〔2023〕79号－四川省财政厅四川省水利厅关于下达2023年中央大中型水库移民后期扶持资金预算的通知463万元、政府批示〔2022〕79-80号峨边彝族自治县白沙河、白杨河河湖健康评价37.9万元、政府批示〔2023〕42号关于解决峨边彝族自治县2017年山洪灾害防治非工程措施项目资金的请示59.18万元</w:t>
      </w:r>
      <w:r>
        <w:rPr>
          <w:rFonts w:hint="eastAsia" w:ascii="仿宋_GB2312" w:hAnsi="仿宋_GB2312" w:eastAsia="仿宋_GB2312" w:cs="仿宋_GB2312"/>
          <w:color w:val="auto"/>
          <w:sz w:val="32"/>
          <w:szCs w:val="32"/>
          <w:highlight w:val="none"/>
        </w:rPr>
        <w:t>，其中，</w:t>
      </w:r>
      <w:r>
        <w:rPr>
          <w:rFonts w:hint="eastAsia" w:ascii="仿宋_GB2312" w:hAnsi="仿宋_GB2312" w:eastAsia="仿宋_GB2312" w:cs="仿宋_GB2312"/>
          <w:color w:val="auto"/>
          <w:sz w:val="32"/>
          <w:szCs w:val="32"/>
          <w:highlight w:val="none"/>
          <w:lang w:val="en-US" w:eastAsia="zh-CN"/>
        </w:rPr>
        <w:t>峨边彝族自治县水务局</w:t>
      </w:r>
      <w:r>
        <w:rPr>
          <w:rFonts w:hint="eastAsia" w:ascii="仿宋_GB2312" w:hAnsi="仿宋_GB2312" w:eastAsia="仿宋_GB2312" w:cs="仿宋_GB2312"/>
          <w:color w:val="auto"/>
          <w:sz w:val="32"/>
          <w:szCs w:val="32"/>
          <w:highlight w:val="none"/>
        </w:rPr>
        <w:t>部门整体（含部门预算项目）绩效自评得分为</w:t>
      </w:r>
      <w:r>
        <w:rPr>
          <w:rFonts w:hint="eastAsia" w:ascii="仿宋_GB2312" w:hAnsi="仿宋_GB2312" w:eastAsia="仿宋_GB2312" w:cs="仿宋_GB2312"/>
          <w:color w:val="auto"/>
          <w:sz w:val="32"/>
          <w:szCs w:val="32"/>
          <w:highlight w:val="none"/>
          <w:lang w:val="en-US" w:eastAsia="zh-CN"/>
        </w:rPr>
        <w:t>95</w:t>
      </w:r>
      <w:r>
        <w:rPr>
          <w:rFonts w:hint="eastAsia" w:ascii="仿宋_GB2312" w:hAnsi="仿宋_GB2312" w:eastAsia="仿宋_GB2312" w:cs="仿宋_GB2312"/>
          <w:color w:val="auto"/>
          <w:sz w:val="32"/>
          <w:szCs w:val="32"/>
          <w:highlight w:val="none"/>
        </w:rPr>
        <w:t>分，绩效自评综述：</w:t>
      </w:r>
      <w:r>
        <w:rPr>
          <w:rFonts w:hint="eastAsia" w:ascii="仿宋_GB2312" w:hAnsi="仿宋_GB2312" w:eastAsia="仿宋_GB2312" w:cs="仿宋_GB2312"/>
          <w:color w:val="auto"/>
          <w:sz w:val="32"/>
          <w:szCs w:val="32"/>
          <w:highlight w:val="none"/>
          <w:lang w:val="en-US" w:eastAsia="zh-CN"/>
        </w:rPr>
        <w:t>峨边彝族自治县</w:t>
      </w:r>
      <w:r>
        <w:rPr>
          <w:rFonts w:hint="eastAsia" w:ascii="仿宋_GB2312" w:hAnsi="仿宋_GB2312" w:eastAsia="仿宋_GB2312" w:cs="仿宋_GB2312"/>
          <w:color w:val="auto"/>
          <w:sz w:val="32"/>
          <w:szCs w:val="32"/>
          <w:highlight w:val="none"/>
        </w:rPr>
        <w:t>水务部门全面完成年初下达的各项目标任务，通过绩效自评公开，部门职责履行结果良好、重点项目绩效评价良好，服务对象满意度为9</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％以上，达到年初预算绩效目标。</w:t>
      </w:r>
      <w:r>
        <w:rPr>
          <w:rFonts w:ascii="仿宋_GB2312" w:eastAsia="仿宋_GB2312"/>
          <w:b/>
          <w:color w:val="auto"/>
          <w:sz w:val="32"/>
          <w:szCs w:val="32"/>
          <w:highlight w:val="none"/>
        </w:rPr>
        <w:br w:type="page"/>
      </w:r>
    </w:p>
    <w:p w14:paraId="207284F7">
      <w:pPr>
        <w:numPr>
          <w:ilvl w:val="0"/>
          <w:numId w:val="7"/>
        </w:numPr>
        <w:spacing w:line="600" w:lineRule="exact"/>
        <w:ind w:firstLine="660" w:firstLineChars="150"/>
        <w:jc w:val="center"/>
        <w:outlineLvl w:val="0"/>
        <w:rPr>
          <w:rStyle w:val="21"/>
          <w:rFonts w:ascii="黑体" w:hAnsi="黑体" w:eastAsia="黑体"/>
          <w:b w:val="0"/>
          <w:color w:val="auto"/>
          <w:highlight w:val="none"/>
        </w:rPr>
      </w:pPr>
      <w:bookmarkStart w:id="77" w:name="_Toc31078"/>
      <w:bookmarkStart w:id="78" w:name="_Toc15377225"/>
      <w:bookmarkStart w:id="79" w:name="_Toc5506"/>
      <w:bookmarkStart w:id="80" w:name="_Toc15396613"/>
      <w:r>
        <w:rPr>
          <w:rFonts w:hint="eastAsia" w:ascii="黑体" w:hAnsi="黑体" w:eastAsia="黑体"/>
          <w:color w:val="auto"/>
          <w:sz w:val="44"/>
          <w:szCs w:val="44"/>
          <w:highlight w:val="none"/>
        </w:rPr>
        <w:t>名</w:t>
      </w:r>
      <w:r>
        <w:rPr>
          <w:rStyle w:val="21"/>
          <w:rFonts w:hint="eastAsia" w:ascii="黑体" w:hAnsi="黑体" w:eastAsia="黑体"/>
          <w:b w:val="0"/>
          <w:color w:val="auto"/>
          <w:highlight w:val="none"/>
        </w:rPr>
        <w:t>词解释</w:t>
      </w:r>
      <w:bookmarkEnd w:id="77"/>
      <w:bookmarkEnd w:id="78"/>
      <w:bookmarkEnd w:id="79"/>
      <w:bookmarkEnd w:id="80"/>
    </w:p>
    <w:p w14:paraId="7E13D357">
      <w:pPr>
        <w:spacing w:line="600" w:lineRule="exact"/>
        <w:jc w:val="left"/>
        <w:rPr>
          <w:rFonts w:ascii="宋体"/>
          <w:b/>
          <w:color w:val="auto"/>
          <w:sz w:val="44"/>
          <w:szCs w:val="44"/>
          <w:highlight w:val="none"/>
        </w:rPr>
      </w:pPr>
    </w:p>
    <w:p w14:paraId="7FF20030">
      <w:pPr>
        <w:numPr>
          <w:ilvl w:val="0"/>
          <w:numId w:val="8"/>
        </w:numPr>
        <w:spacing w:line="600" w:lineRule="exact"/>
        <w:ind w:firstLine="643" w:firstLineChars="200"/>
        <w:outlineLvl w:val="9"/>
        <w:rPr>
          <w:rFonts w:ascii="仿宋_GB2312" w:eastAsia="仿宋_GB2312"/>
          <w:color w:val="auto"/>
          <w:sz w:val="32"/>
          <w:szCs w:val="32"/>
          <w:highlight w:val="none"/>
        </w:rPr>
      </w:pPr>
      <w:r>
        <w:rPr>
          <w:rFonts w:hint="eastAsia" w:ascii="仿宋_GB2312" w:eastAsia="仿宋_GB2312"/>
          <w:b/>
          <w:bCs/>
          <w:color w:val="auto"/>
          <w:sz w:val="32"/>
          <w:szCs w:val="32"/>
          <w:highlight w:val="none"/>
        </w:rPr>
        <w:t>财政拨款收入</w:t>
      </w:r>
      <w:r>
        <w:rPr>
          <w:rFonts w:hint="eastAsia" w:ascii="仿宋_GB2312" w:eastAsia="仿宋_GB2312"/>
          <w:color w:val="auto"/>
          <w:sz w:val="32"/>
          <w:szCs w:val="32"/>
          <w:highlight w:val="none"/>
        </w:rPr>
        <w:t>：指单位从同级财政部门取得的财政预算资金。</w:t>
      </w:r>
      <w:r>
        <w:rPr>
          <w:rFonts w:ascii="仿宋_GB2312" w:eastAsia="仿宋_GB2312"/>
          <w:color w:val="auto"/>
          <w:sz w:val="32"/>
          <w:szCs w:val="32"/>
          <w:highlight w:val="none"/>
        </w:rPr>
        <w:t xml:space="preserve"> </w:t>
      </w:r>
    </w:p>
    <w:p w14:paraId="7163AE2E">
      <w:pPr>
        <w:numPr>
          <w:ilvl w:val="0"/>
          <w:numId w:val="8"/>
        </w:numPr>
        <w:spacing w:line="600" w:lineRule="exact"/>
        <w:ind w:left="0" w:leftChars="0" w:firstLine="643" w:firstLineChars="200"/>
        <w:outlineLvl w:val="9"/>
        <w:rPr>
          <w:rFonts w:hint="eastAsia" w:ascii="仿宋_GB2312" w:eastAsia="仿宋_GB2312"/>
          <w:color w:val="auto"/>
          <w:sz w:val="32"/>
          <w:szCs w:val="32"/>
          <w:highlight w:val="none"/>
        </w:rPr>
      </w:pPr>
      <w:r>
        <w:rPr>
          <w:rFonts w:hint="eastAsia" w:ascii="仿宋_GB2312" w:eastAsia="仿宋_GB2312"/>
          <w:b/>
          <w:bCs/>
          <w:color w:val="auto"/>
          <w:sz w:val="32"/>
          <w:szCs w:val="32"/>
          <w:highlight w:val="none"/>
        </w:rPr>
        <w:t>年初结转和结余</w:t>
      </w:r>
      <w:r>
        <w:rPr>
          <w:rFonts w:hint="eastAsia" w:ascii="仿宋_GB2312" w:eastAsia="仿宋_GB2312"/>
          <w:color w:val="auto"/>
          <w:sz w:val="32"/>
          <w:szCs w:val="32"/>
          <w:highlight w:val="none"/>
        </w:rPr>
        <w:t>：指以前年度尚未完成、结转到本年按有关规定继续使用的资金。</w:t>
      </w:r>
    </w:p>
    <w:p w14:paraId="4F11DEC3">
      <w:pPr>
        <w:numPr>
          <w:ilvl w:val="0"/>
          <w:numId w:val="8"/>
        </w:numPr>
        <w:spacing w:line="600" w:lineRule="exact"/>
        <w:ind w:left="0" w:leftChars="0" w:firstLine="643" w:firstLineChars="200"/>
        <w:outlineLvl w:val="9"/>
        <w:rPr>
          <w:rFonts w:ascii="仿宋" w:hAnsi="仿宋" w:eastAsia="仿宋"/>
          <w:b/>
          <w:color w:val="auto"/>
          <w:sz w:val="32"/>
          <w:szCs w:val="32"/>
          <w:highlight w:val="none"/>
        </w:rPr>
      </w:pPr>
      <w:r>
        <w:rPr>
          <w:rFonts w:hint="eastAsia" w:ascii="仿宋_GB2312" w:eastAsia="仿宋_GB2312"/>
          <w:b/>
          <w:bCs/>
          <w:color w:val="auto"/>
          <w:sz w:val="32"/>
          <w:szCs w:val="32"/>
          <w:highlight w:val="none"/>
        </w:rPr>
        <w:t>年初结转和结余</w:t>
      </w:r>
      <w:r>
        <w:rPr>
          <w:rFonts w:hint="eastAsia" w:ascii="仿宋_GB2312" w:eastAsia="仿宋_GB2312"/>
          <w:color w:val="auto"/>
          <w:sz w:val="32"/>
          <w:szCs w:val="32"/>
          <w:highlight w:val="none"/>
        </w:rPr>
        <w:t>：指以前年度尚未完成、结转到本年按有关规定继续使用的资金。</w:t>
      </w:r>
    </w:p>
    <w:p w14:paraId="43A4DCEB">
      <w:pPr>
        <w:numPr>
          <w:ilvl w:val="0"/>
          <w:numId w:val="8"/>
        </w:numPr>
        <w:spacing w:line="600" w:lineRule="exact"/>
        <w:ind w:left="0" w:leftChars="0" w:firstLine="643" w:firstLineChars="200"/>
        <w:outlineLvl w:val="2"/>
        <w:rPr>
          <w:rFonts w:ascii="仿宋" w:hAnsi="仿宋" w:eastAsia="仿宋"/>
          <w:b/>
          <w:color w:val="auto"/>
          <w:sz w:val="32"/>
          <w:szCs w:val="32"/>
          <w:highlight w:val="none"/>
        </w:rPr>
      </w:pPr>
      <w:r>
        <w:rPr>
          <w:rStyle w:val="18"/>
          <w:rFonts w:hint="eastAsia" w:ascii="仿宋" w:hAnsi="仿宋" w:eastAsia="仿宋"/>
          <w:bCs/>
          <w:color w:val="auto"/>
          <w:sz w:val="32"/>
          <w:szCs w:val="32"/>
          <w:highlight w:val="none"/>
        </w:rPr>
        <w:t>社会保障和就业（类）行政事业单位养老支出（款）  机关事业单位基本养老保险缴费支出（项）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Fonts w:ascii="仿宋_GB2312" w:hAnsi="宋体" w:eastAsia="仿宋_GB2312" w:cs="仿宋_GB2312"/>
          <w:b w:val="0"/>
          <w:i w:val="0"/>
          <w:caps w:val="0"/>
          <w:color w:val="auto"/>
          <w:spacing w:val="0"/>
          <w:sz w:val="32"/>
          <w:szCs w:val="32"/>
          <w:highlight w:val="none"/>
        </w:rPr>
        <w:t>指反映</w:t>
      </w:r>
      <w:r>
        <w:rPr>
          <w:rFonts w:hint="eastAsia" w:ascii="仿宋_GB2312" w:hAnsi="宋体" w:eastAsia="仿宋_GB2312" w:cs="仿宋_GB2312"/>
          <w:b w:val="0"/>
          <w:i w:val="0"/>
          <w:caps w:val="0"/>
          <w:color w:val="auto"/>
          <w:spacing w:val="0"/>
          <w:sz w:val="32"/>
          <w:szCs w:val="32"/>
          <w:highlight w:val="none"/>
          <w:lang w:eastAsia="zh-CN"/>
        </w:rPr>
        <w:t>机关事业单位实施养老保险制度由单位缴纳的基本养老保险保险费支出</w:t>
      </w:r>
      <w:r>
        <w:rPr>
          <w:rStyle w:val="18"/>
          <w:rFonts w:hint="eastAsia" w:ascii="仿宋" w:hAnsi="仿宋" w:eastAsia="仿宋"/>
          <w:b w:val="0"/>
          <w:bCs/>
          <w:color w:val="auto"/>
          <w:sz w:val="32"/>
          <w:szCs w:val="32"/>
          <w:highlight w:val="none"/>
        </w:rPr>
        <w:t>。</w:t>
      </w:r>
    </w:p>
    <w:p w14:paraId="197997A1">
      <w:pPr>
        <w:numPr>
          <w:ilvl w:val="0"/>
          <w:numId w:val="3"/>
        </w:numPr>
        <w:spacing w:line="600" w:lineRule="exact"/>
        <w:ind w:left="-13" w:leftChars="0" w:firstLine="643" w:firstLineChars="0"/>
        <w:outlineLvl w:val="2"/>
        <w:rPr>
          <w:rFonts w:ascii="仿宋" w:hAnsi="仿宋" w:eastAsia="仿宋"/>
          <w:b/>
          <w:color w:val="auto"/>
          <w:sz w:val="32"/>
          <w:szCs w:val="32"/>
          <w:highlight w:val="none"/>
        </w:rPr>
      </w:pPr>
      <w:r>
        <w:rPr>
          <w:rStyle w:val="18"/>
          <w:rFonts w:hint="eastAsia" w:ascii="仿宋" w:hAnsi="仿宋" w:eastAsia="仿宋"/>
          <w:bCs/>
          <w:color w:val="auto"/>
          <w:sz w:val="32"/>
          <w:szCs w:val="32"/>
          <w:highlight w:val="none"/>
        </w:rPr>
        <w:t>社会保障和就业（类）行政事业单位养老支出（款）    机关事业单位职业年金缴费支出（项）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指部门实施养老保险制度由单位实际缴纳的职业年金支出。</w:t>
      </w:r>
    </w:p>
    <w:p w14:paraId="54214CF9">
      <w:pPr>
        <w:numPr>
          <w:ilvl w:val="0"/>
          <w:numId w:val="3"/>
        </w:numPr>
        <w:spacing w:line="600" w:lineRule="exact"/>
        <w:ind w:left="-13" w:leftChars="0" w:firstLine="638" w:firstLineChars="0"/>
        <w:outlineLvl w:val="2"/>
        <w:rPr>
          <w:rStyle w:val="18"/>
          <w:rFonts w:hint="eastAsia" w:ascii="仿宋" w:hAnsi="仿宋" w:eastAsia="仿宋"/>
          <w:b w:val="0"/>
          <w:bCs/>
          <w:color w:val="auto"/>
          <w:sz w:val="32"/>
          <w:szCs w:val="32"/>
          <w:highlight w:val="none"/>
        </w:rPr>
      </w:pPr>
      <w:r>
        <w:rPr>
          <w:rFonts w:hint="eastAsia"/>
          <w:color w:val="auto"/>
          <w:highlight w:val="none"/>
          <w:lang w:val="en-US" w:eastAsia="zh-CN"/>
        </w:rPr>
        <w:t xml:space="preserve"> </w:t>
      </w:r>
      <w:r>
        <w:rPr>
          <w:rStyle w:val="18"/>
          <w:rFonts w:hint="eastAsia" w:ascii="仿宋" w:hAnsi="仿宋" w:eastAsia="仿宋"/>
          <w:bCs/>
          <w:color w:val="auto"/>
          <w:sz w:val="32"/>
          <w:szCs w:val="32"/>
          <w:highlight w:val="none"/>
        </w:rPr>
        <w:t>社会保障和就业（类）其他社会保障和就业支出（款）      其他社会保障和就业支出（项）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color w:val="auto"/>
          <w:sz w:val="32"/>
          <w:szCs w:val="32"/>
          <w:highlight w:val="none"/>
        </w:rPr>
        <w:t xml:space="preserve"> </w:t>
      </w:r>
      <w:r>
        <w:rPr>
          <w:rStyle w:val="18"/>
          <w:rFonts w:hint="eastAsia" w:ascii="仿宋" w:hAnsi="仿宋" w:eastAsia="仿宋"/>
          <w:b w:val="0"/>
          <w:bCs/>
          <w:color w:val="auto"/>
          <w:sz w:val="32"/>
          <w:szCs w:val="32"/>
          <w:highlight w:val="none"/>
        </w:rPr>
        <w:t>指用于机关事业单位工伤保险</w:t>
      </w:r>
      <w:r>
        <w:rPr>
          <w:rStyle w:val="18"/>
          <w:rFonts w:hint="eastAsia" w:ascii="仿宋" w:hAnsi="仿宋" w:eastAsia="仿宋"/>
          <w:b w:val="0"/>
          <w:bCs/>
          <w:color w:val="auto"/>
          <w:sz w:val="32"/>
          <w:szCs w:val="32"/>
          <w:highlight w:val="none"/>
          <w:lang w:val="en-US" w:eastAsia="zh-CN"/>
        </w:rPr>
        <w:t>和失业</w:t>
      </w:r>
      <w:r>
        <w:rPr>
          <w:rStyle w:val="18"/>
          <w:rFonts w:hint="eastAsia" w:ascii="仿宋" w:hAnsi="仿宋" w:eastAsia="仿宋"/>
          <w:b w:val="0"/>
          <w:bCs/>
          <w:color w:val="auto"/>
          <w:sz w:val="32"/>
          <w:szCs w:val="32"/>
          <w:highlight w:val="none"/>
        </w:rPr>
        <w:t>缴费支出。</w:t>
      </w:r>
    </w:p>
    <w:p w14:paraId="0AE01F4E">
      <w:pPr>
        <w:keepNext w:val="0"/>
        <w:keepLines w:val="0"/>
        <w:widowControl/>
        <w:suppressLineNumbers w:val="0"/>
        <w:jc w:val="left"/>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rPr>
        <w:t>卫生健康</w:t>
      </w:r>
      <w:r>
        <w:rPr>
          <w:rStyle w:val="18"/>
          <w:rFonts w:hint="eastAsia" w:ascii="仿宋" w:hAnsi="仿宋" w:eastAsia="仿宋"/>
          <w:bCs/>
          <w:color w:val="auto"/>
          <w:sz w:val="32"/>
          <w:szCs w:val="32"/>
          <w:highlight w:val="none"/>
        </w:rPr>
        <w:t>（类）行政事业单位医疗（款）行政单位医疗（项）</w:t>
      </w:r>
      <w:r>
        <w:rPr>
          <w:rStyle w:val="18"/>
          <w:rFonts w:hint="eastAsia" w:ascii="仿宋" w:hAnsi="仿宋" w:eastAsia="仿宋"/>
          <w:bCs/>
          <w:color w:val="auto"/>
          <w:sz w:val="32"/>
          <w:szCs w:val="32"/>
          <w:highlight w:val="none"/>
          <w:lang w:eastAsia="zh-CN"/>
        </w:rPr>
        <w:t>：</w:t>
      </w:r>
      <w:r>
        <w:rPr>
          <w:rFonts w:ascii="仿宋_GB2312" w:hAnsi="宋体" w:eastAsia="仿宋_GB2312" w:cs="仿宋_GB2312"/>
          <w:color w:val="auto"/>
          <w:kern w:val="0"/>
          <w:sz w:val="32"/>
          <w:szCs w:val="32"/>
          <w:highlight w:val="none"/>
          <w:lang w:val="en-US" w:eastAsia="zh-CN" w:bidi="ar"/>
        </w:rPr>
        <w:t xml:space="preserve">反映财政部门集中安排的事业单位基本医 </w:t>
      </w:r>
      <w:r>
        <w:rPr>
          <w:rFonts w:hint="default" w:ascii="仿宋_GB2312" w:hAnsi="宋体" w:eastAsia="仿宋_GB2312" w:cs="仿宋_GB2312"/>
          <w:color w:val="auto"/>
          <w:kern w:val="0"/>
          <w:sz w:val="32"/>
          <w:szCs w:val="32"/>
          <w:highlight w:val="none"/>
          <w:lang w:val="en-US" w:eastAsia="zh-CN" w:bidi="ar"/>
        </w:rPr>
        <w:t>疗保险缴费经费，未参加医疗保险的事业单位的公费医疗经费，按国家规定享受离休人员待遇人员的医疗经费</w:t>
      </w:r>
      <w:r>
        <w:rPr>
          <w:rStyle w:val="18"/>
          <w:rFonts w:hint="eastAsia" w:ascii="仿宋" w:hAnsi="仿宋" w:eastAsia="仿宋"/>
          <w:b w:val="0"/>
          <w:bCs/>
          <w:color w:val="auto"/>
          <w:sz w:val="32"/>
          <w:szCs w:val="32"/>
          <w:highlight w:val="none"/>
        </w:rPr>
        <w:t>。</w:t>
      </w:r>
    </w:p>
    <w:p w14:paraId="1E061CBF">
      <w:pPr>
        <w:keepNext w:val="0"/>
        <w:keepLines w:val="0"/>
        <w:widowControl/>
        <w:numPr>
          <w:ilvl w:val="0"/>
          <w:numId w:val="3"/>
        </w:numPr>
        <w:suppressLineNumbers w:val="0"/>
        <w:ind w:left="-13" w:leftChars="0" w:firstLine="638" w:firstLineChars="0"/>
        <w:jc w:val="left"/>
        <w:rPr>
          <w:rStyle w:val="18"/>
          <w:rFonts w:hint="eastAsia" w:ascii="仿宋" w:hAnsi="仿宋" w:eastAsia="仿宋"/>
          <w:bCs/>
          <w:color w:val="auto"/>
          <w:sz w:val="32"/>
          <w:szCs w:val="32"/>
          <w:highlight w:val="none"/>
          <w:lang w:eastAsia="zh-CN"/>
        </w:rPr>
      </w:pPr>
      <w:r>
        <w:rPr>
          <w:rFonts w:hint="eastAsia" w:ascii="仿宋" w:hAnsi="仿宋" w:eastAsia="仿宋"/>
          <w:b/>
          <w:bCs/>
          <w:color w:val="auto"/>
          <w:sz w:val="32"/>
          <w:szCs w:val="32"/>
          <w:highlight w:val="none"/>
        </w:rPr>
        <w:t>卫生健康</w:t>
      </w:r>
      <w:r>
        <w:rPr>
          <w:rStyle w:val="18"/>
          <w:rFonts w:hint="eastAsia" w:ascii="仿宋" w:hAnsi="仿宋" w:eastAsia="仿宋"/>
          <w:bCs/>
          <w:color w:val="auto"/>
          <w:sz w:val="32"/>
          <w:szCs w:val="32"/>
          <w:highlight w:val="none"/>
        </w:rPr>
        <w:t>（类）行政事业单位医疗（款）公务员医疗补助（项）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val="0"/>
          <w:color w:val="auto"/>
          <w:sz w:val="32"/>
          <w:szCs w:val="32"/>
          <w:highlight w:val="none"/>
        </w:rPr>
        <w:t>反映财政部门安排的公务员医疗补助经费</w:t>
      </w:r>
      <w:r>
        <w:rPr>
          <w:rStyle w:val="18"/>
          <w:rFonts w:hint="eastAsia" w:ascii="仿宋" w:hAnsi="仿宋" w:eastAsia="仿宋"/>
          <w:bCs/>
          <w:color w:val="auto"/>
          <w:sz w:val="32"/>
          <w:szCs w:val="32"/>
          <w:highlight w:val="none"/>
          <w:lang w:eastAsia="zh-CN"/>
        </w:rPr>
        <w:t>。</w:t>
      </w:r>
    </w:p>
    <w:p w14:paraId="7373B76D">
      <w:pPr>
        <w:keepNext w:val="0"/>
        <w:keepLines w:val="0"/>
        <w:widowControl/>
        <w:numPr>
          <w:ilvl w:val="0"/>
          <w:numId w:val="3"/>
        </w:numPr>
        <w:suppressLineNumbers w:val="0"/>
        <w:ind w:left="-13" w:leftChars="0" w:firstLine="638" w:firstLineChars="0"/>
        <w:jc w:val="left"/>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（类）林业和草原（款）林业草原防灾减灾（项）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val="0"/>
          <w:color w:val="auto"/>
          <w:sz w:val="32"/>
          <w:szCs w:val="32"/>
          <w:highlight w:val="none"/>
          <w:lang w:val="en-US" w:eastAsia="zh-CN"/>
        </w:rPr>
        <w:t>反映</w:t>
      </w:r>
      <w:r>
        <w:rPr>
          <w:rStyle w:val="18"/>
          <w:rFonts w:ascii="仿宋" w:hAnsi="仿宋" w:eastAsia="仿宋"/>
          <w:b w:val="0"/>
          <w:bCs w:val="0"/>
          <w:color w:val="auto"/>
          <w:sz w:val="32"/>
          <w:szCs w:val="32"/>
          <w:highlight w:val="none"/>
        </w:rPr>
        <w:t>病虫害等有害生物灾害、野生动物疫病灾害等方面支出</w:t>
      </w:r>
      <w:r>
        <w:rPr>
          <w:rStyle w:val="18"/>
          <w:rFonts w:hint="eastAsia" w:ascii="仿宋" w:hAnsi="仿宋" w:eastAsia="仿宋"/>
          <w:b w:val="0"/>
          <w:bCs w:val="0"/>
          <w:color w:val="auto"/>
          <w:sz w:val="32"/>
          <w:szCs w:val="32"/>
          <w:highlight w:val="none"/>
          <w:lang w:eastAsia="zh-CN"/>
        </w:rPr>
        <w:t>。</w:t>
      </w:r>
    </w:p>
    <w:p w14:paraId="0A189EC1">
      <w:pPr>
        <w:keepNext w:val="0"/>
        <w:keepLines w:val="0"/>
        <w:widowControl/>
        <w:numPr>
          <w:ilvl w:val="0"/>
          <w:numId w:val="3"/>
        </w:numPr>
        <w:suppressLineNumbers w:val="0"/>
        <w:ind w:left="-13" w:leftChars="0" w:firstLine="638" w:firstLineChars="0"/>
        <w:jc w:val="left"/>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（类）水利（款）行政运行（项）</w:t>
      </w:r>
      <w:r>
        <w:rPr>
          <w:rStyle w:val="18"/>
          <w:rFonts w:hint="eastAsia" w:ascii="仿宋" w:hAnsi="仿宋" w:eastAsia="仿宋"/>
          <w:bCs/>
          <w:color w:val="auto"/>
          <w:sz w:val="32"/>
          <w:szCs w:val="32"/>
          <w:highlight w:val="none"/>
          <w:lang w:eastAsia="zh-CN"/>
        </w:rPr>
        <w:t>：</w:t>
      </w:r>
      <w:r>
        <w:rPr>
          <w:rFonts w:ascii="仿宋_GB2312" w:hAnsi="宋体" w:eastAsia="仿宋_GB2312" w:cs="仿宋_GB2312"/>
          <w:b w:val="0"/>
          <w:i w:val="0"/>
          <w:caps w:val="0"/>
          <w:color w:val="auto"/>
          <w:spacing w:val="0"/>
          <w:sz w:val="32"/>
          <w:szCs w:val="32"/>
          <w:highlight w:val="none"/>
        </w:rPr>
        <w:t>反映行政单位（包括实行公务员管理的事业单位）的基本支出</w:t>
      </w:r>
      <w:r>
        <w:rPr>
          <w:rStyle w:val="18"/>
          <w:rFonts w:hint="eastAsia" w:ascii="仿宋" w:hAnsi="仿宋" w:eastAsia="仿宋"/>
          <w:b w:val="0"/>
          <w:bCs/>
          <w:color w:val="auto"/>
          <w:sz w:val="32"/>
          <w:szCs w:val="32"/>
          <w:highlight w:val="none"/>
          <w:lang w:eastAsia="zh-CN"/>
        </w:rPr>
        <w:t>。</w:t>
      </w:r>
    </w:p>
    <w:p w14:paraId="127E7C0B">
      <w:pPr>
        <w:pStyle w:val="5"/>
        <w:numPr>
          <w:ilvl w:val="0"/>
          <w:numId w:val="0"/>
        </w:numPr>
        <w:ind w:firstLine="643" w:firstLineChars="200"/>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lang w:val="en-US" w:eastAsia="zh-CN"/>
        </w:rPr>
        <w:t>10.</w:t>
      </w: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（类）水利（款）水利行业业务管理（项）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Cs/>
          <w:color w:val="auto"/>
          <w:sz w:val="32"/>
          <w:szCs w:val="32"/>
          <w:highlight w:val="none"/>
          <w:lang w:val="en-US" w:eastAsia="zh-CN"/>
        </w:rPr>
        <w:t xml:space="preserve">     </w:t>
      </w:r>
    </w:p>
    <w:p w14:paraId="44B53D66">
      <w:pPr>
        <w:pStyle w:val="5"/>
        <w:numPr>
          <w:ilvl w:val="0"/>
          <w:numId w:val="0"/>
        </w:numPr>
        <w:ind w:firstLine="640" w:firstLineChars="200"/>
        <w:rPr>
          <w:rFonts w:ascii="仿宋_GB2312" w:hAnsi="宋体" w:eastAsia="仿宋_GB2312" w:cs="仿宋_GB2312"/>
          <w:b w:val="0"/>
          <w:i w:val="0"/>
          <w:caps w:val="0"/>
          <w:color w:val="auto"/>
          <w:spacing w:val="0"/>
          <w:sz w:val="32"/>
          <w:szCs w:val="32"/>
          <w:highlight w:val="none"/>
        </w:rPr>
      </w:pPr>
      <w:r>
        <w:rPr>
          <w:rFonts w:ascii="仿宋_GB2312" w:hAnsi="宋体" w:eastAsia="仿宋_GB2312" w:cs="仿宋_GB2312"/>
          <w:b w:val="0"/>
          <w:i w:val="0"/>
          <w:caps w:val="0"/>
          <w:color w:val="auto"/>
          <w:spacing w:val="0"/>
          <w:sz w:val="32"/>
          <w:szCs w:val="32"/>
          <w:highlight w:val="none"/>
        </w:rPr>
        <w:t>反映用于水利行业业务管理方面的支出。有关业务包括制定政策、法规及行业标准、规程规范、进行水利宣传、审计监督检查、精神文明建设以及农田水利管理、水利重大活动、水利工程质量监督、水利资金监督管理、水利国有资产监管、行政许可及监督管理等。</w:t>
      </w:r>
    </w:p>
    <w:p w14:paraId="4EF7CDF9">
      <w:pPr>
        <w:pStyle w:val="5"/>
        <w:numPr>
          <w:ilvl w:val="0"/>
          <w:numId w:val="0"/>
        </w:numPr>
        <w:ind w:firstLine="643" w:firstLineChars="200"/>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lang w:val="en-US" w:eastAsia="zh-CN"/>
        </w:rPr>
        <w:t>11.</w:t>
      </w: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（类）水利（款）水利执法监督（项）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val="0"/>
          <w:color w:val="auto"/>
          <w:sz w:val="32"/>
          <w:szCs w:val="32"/>
          <w:highlight w:val="none"/>
        </w:rPr>
        <w:t>反映水利系统纳入预算管理的事业单位开展水利执法监督活动的支出。</w:t>
      </w:r>
    </w:p>
    <w:p w14:paraId="532C471A">
      <w:pPr>
        <w:ind w:firstLine="643" w:firstLineChars="200"/>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lang w:val="en-US" w:eastAsia="zh-CN"/>
        </w:rPr>
        <w:t>12.</w:t>
      </w: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（类）水利（款）水土保持（项）</w:t>
      </w:r>
      <w:r>
        <w:rPr>
          <w:rStyle w:val="18"/>
          <w:rFonts w:hint="eastAsia" w:ascii="仿宋" w:hAnsi="仿宋" w:eastAsia="仿宋"/>
          <w:bCs/>
          <w:color w:val="auto"/>
          <w:sz w:val="32"/>
          <w:szCs w:val="32"/>
          <w:highlight w:val="none"/>
          <w:lang w:eastAsia="zh-CN"/>
        </w:rPr>
        <w:t>：</w:t>
      </w:r>
      <w:r>
        <w:rPr>
          <w:rFonts w:ascii="仿宋_GB2312" w:hAnsi="宋体" w:eastAsia="仿宋_GB2312" w:cs="仿宋_GB2312"/>
          <w:b w:val="0"/>
          <w:i w:val="0"/>
          <w:caps w:val="0"/>
          <w:color w:val="auto"/>
          <w:spacing w:val="0"/>
          <w:sz w:val="32"/>
          <w:szCs w:val="32"/>
          <w:highlight w:val="none"/>
        </w:rPr>
        <w:t>反映水利系统纳入预算管理的水土保持事业单位的支出，包括规划制定和实施，治理、生态修复、预防监测、调查协调、综合治理、开发技术的示范、监督执法等支出以及水土保持生态工程措施和各项管理保护的支出</w:t>
      </w:r>
      <w:r>
        <w:rPr>
          <w:rFonts w:hint="eastAsia" w:ascii="仿宋_GB2312" w:hAnsi="宋体" w:eastAsia="仿宋_GB2312" w:cs="仿宋_GB2312"/>
          <w:b w:val="0"/>
          <w:i w:val="0"/>
          <w:caps w:val="0"/>
          <w:color w:val="auto"/>
          <w:spacing w:val="0"/>
          <w:sz w:val="32"/>
          <w:szCs w:val="32"/>
          <w:highlight w:val="none"/>
          <w:lang w:eastAsia="zh-CN"/>
        </w:rPr>
        <w:t>。</w:t>
      </w:r>
    </w:p>
    <w:p w14:paraId="607B255C">
      <w:pPr>
        <w:pStyle w:val="5"/>
        <w:numPr>
          <w:ilvl w:val="0"/>
          <w:numId w:val="0"/>
        </w:numPr>
        <w:ind w:firstLine="643" w:firstLineChars="200"/>
        <w:rPr>
          <w:rStyle w:val="18"/>
          <w:rFonts w:hint="eastAsia" w:ascii="仿宋" w:hAnsi="仿宋" w:eastAsia="仿宋"/>
          <w:b w:val="0"/>
          <w:bCs/>
          <w:color w:val="auto"/>
          <w:sz w:val="32"/>
          <w:szCs w:val="32"/>
          <w:highlight w:val="none"/>
        </w:rPr>
      </w:pPr>
      <w:r>
        <w:rPr>
          <w:rFonts w:hint="eastAsia" w:ascii="仿宋" w:hAnsi="仿宋" w:eastAsia="仿宋"/>
          <w:b/>
          <w:bCs/>
          <w:color w:val="auto"/>
          <w:sz w:val="32"/>
          <w:szCs w:val="32"/>
          <w:highlight w:val="none"/>
          <w:lang w:val="en-US" w:eastAsia="zh-CN"/>
        </w:rPr>
        <w:t>13.</w:t>
      </w: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（类）水利（款）水质监测（项）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反映水利系统纳入预算管理的水质监测事业单位的支出</w:t>
      </w:r>
      <w:r>
        <w:rPr>
          <w:rStyle w:val="18"/>
          <w:rFonts w:hint="eastAsia" w:ascii="仿宋" w:hAnsi="仿宋" w:eastAsia="仿宋"/>
          <w:b w:val="0"/>
          <w:bCs/>
          <w:color w:val="auto"/>
          <w:sz w:val="32"/>
          <w:szCs w:val="32"/>
          <w:highlight w:val="none"/>
          <w:lang w:eastAsia="zh-CN"/>
        </w:rPr>
        <w:t>。</w:t>
      </w:r>
    </w:p>
    <w:p w14:paraId="13693AA9">
      <w:pPr>
        <w:ind w:firstLine="643" w:firstLineChars="200"/>
        <w:rPr>
          <w:rFonts w:hint="eastAsia" w:ascii="仿宋_GB2312" w:hAnsi="宋体" w:eastAsia="仿宋_GB2312" w:cs="仿宋_GB2312"/>
          <w:b w:val="0"/>
          <w:bCs w:val="0"/>
          <w:i w:val="0"/>
          <w:caps w:val="0"/>
          <w:color w:val="auto"/>
          <w:spacing w:val="0"/>
          <w:sz w:val="32"/>
          <w:szCs w:val="32"/>
          <w:highlight w:val="none"/>
          <w:lang w:eastAsia="zh-CN"/>
        </w:rPr>
      </w:pPr>
      <w:r>
        <w:rPr>
          <w:rFonts w:hint="eastAsia" w:ascii="仿宋" w:hAnsi="仿宋" w:eastAsia="仿宋"/>
          <w:b/>
          <w:bCs/>
          <w:color w:val="auto"/>
          <w:sz w:val="32"/>
          <w:szCs w:val="32"/>
          <w:highlight w:val="none"/>
          <w:lang w:val="en-US" w:eastAsia="zh-CN"/>
        </w:rPr>
        <w:t>14.</w:t>
      </w: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（类）水利（款）防汛（项）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val="0"/>
          <w:color w:val="auto"/>
          <w:sz w:val="32"/>
          <w:szCs w:val="32"/>
          <w:highlight w:val="none"/>
        </w:rPr>
        <w:t>反映防汛业务支出。有关事项包括防汛物资购置管护，防汛通信设施设备、网络系统、车船设备运行维护，防汛值班、水情报汛、防汛指挥系统运行维护、水毁修复以及防汛组织（如防汛预案编制、检查、演习、宣传、会议等），防汛调用民工及劳动保护，水利设施灾后重建，退田还湖，蓄滞洪区补偿、水情、雨情、决策支持，防汛视频会商，山洪灾害防治等</w:t>
      </w:r>
      <w:r>
        <w:rPr>
          <w:rStyle w:val="18"/>
          <w:rFonts w:hint="eastAsia" w:ascii="仿宋" w:hAnsi="仿宋" w:eastAsia="仿宋"/>
          <w:b w:val="0"/>
          <w:bCs w:val="0"/>
          <w:color w:val="auto"/>
          <w:sz w:val="32"/>
          <w:szCs w:val="32"/>
          <w:highlight w:val="none"/>
          <w:lang w:eastAsia="zh-CN"/>
        </w:rPr>
        <w:t>。</w:t>
      </w:r>
    </w:p>
    <w:p w14:paraId="2966A03F">
      <w:pPr>
        <w:ind w:firstLine="643" w:firstLineChars="200"/>
        <w:rPr>
          <w:rStyle w:val="18"/>
          <w:rFonts w:hint="eastAsia" w:ascii="仿宋" w:hAnsi="仿宋" w:eastAsia="仿宋"/>
          <w:b w:val="0"/>
          <w:bCs/>
          <w:color w:val="auto"/>
          <w:sz w:val="32"/>
          <w:szCs w:val="32"/>
          <w:highlight w:val="none"/>
          <w:lang w:eastAsia="zh-CN"/>
        </w:rPr>
      </w:pPr>
      <w:r>
        <w:rPr>
          <w:rFonts w:hint="eastAsia" w:ascii="仿宋" w:hAnsi="仿宋" w:eastAsia="仿宋"/>
          <w:b/>
          <w:bCs/>
          <w:color w:val="auto"/>
          <w:sz w:val="32"/>
          <w:szCs w:val="32"/>
          <w:highlight w:val="none"/>
          <w:lang w:val="en-US" w:eastAsia="zh-CN"/>
        </w:rPr>
        <w:t>15.</w:t>
      </w: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（类）水利（款）抗旱（项）</w:t>
      </w:r>
      <w:r>
        <w:rPr>
          <w:rStyle w:val="18"/>
          <w:rFonts w:hint="eastAsia" w:ascii="仿宋" w:hAnsi="仿宋" w:eastAsia="仿宋"/>
          <w:bCs/>
          <w:color w:val="auto"/>
          <w:sz w:val="32"/>
          <w:szCs w:val="32"/>
          <w:highlight w:val="none"/>
          <w:lang w:eastAsia="zh-CN"/>
        </w:rPr>
        <w:t>：指</w:t>
      </w:r>
      <w:r>
        <w:rPr>
          <w:rStyle w:val="18"/>
          <w:rFonts w:hint="eastAsia" w:ascii="仿宋" w:hAnsi="仿宋" w:eastAsia="仿宋"/>
          <w:b w:val="0"/>
          <w:bCs/>
          <w:color w:val="auto"/>
          <w:sz w:val="32"/>
          <w:szCs w:val="32"/>
          <w:highlight w:val="none"/>
        </w:rPr>
        <w:t>反映抗旱业务支出，有关事项包括旱情监测及报旱，抗旱预案编制修订，抗旱物资购置管护，抗旱设施设备运行维护，抗旱应急水源建设以及对各级抗旱服务组织的补助等</w:t>
      </w:r>
      <w:r>
        <w:rPr>
          <w:rStyle w:val="18"/>
          <w:rFonts w:hint="eastAsia" w:ascii="仿宋" w:hAnsi="仿宋" w:eastAsia="仿宋"/>
          <w:b w:val="0"/>
          <w:bCs/>
          <w:color w:val="auto"/>
          <w:sz w:val="32"/>
          <w:szCs w:val="32"/>
          <w:highlight w:val="none"/>
          <w:lang w:eastAsia="zh-CN"/>
        </w:rPr>
        <w:t>。</w:t>
      </w:r>
    </w:p>
    <w:p w14:paraId="1375609C">
      <w:pPr>
        <w:ind w:firstLine="643" w:firstLineChars="200"/>
        <w:rPr>
          <w:rStyle w:val="18"/>
          <w:rFonts w:ascii="仿宋" w:hAnsi="仿宋" w:eastAsia="仿宋"/>
          <w:b w:val="0"/>
          <w:bCs w:val="0"/>
          <w:color w:val="auto"/>
          <w:sz w:val="32"/>
          <w:szCs w:val="32"/>
          <w:highlight w:val="none"/>
        </w:rPr>
      </w:pPr>
      <w:r>
        <w:rPr>
          <w:rFonts w:hint="eastAsia" w:ascii="仿宋" w:hAnsi="仿宋" w:eastAsia="仿宋"/>
          <w:b/>
          <w:bCs/>
          <w:color w:val="auto"/>
          <w:sz w:val="32"/>
          <w:szCs w:val="32"/>
          <w:highlight w:val="none"/>
          <w:lang w:val="en-US" w:eastAsia="zh-CN"/>
        </w:rPr>
        <w:t>16.</w:t>
      </w: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（类）水利（款）大中型水库移民后期扶持专项支出（项）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val="0"/>
          <w:color w:val="auto"/>
          <w:sz w:val="32"/>
          <w:szCs w:val="32"/>
          <w:highlight w:val="none"/>
        </w:rPr>
        <w:t>反映中央财政划拨大中型水库移民后期扶持基金的支出，包括对销售电量加价部分征收的增值税返还以及用于解决水库移民遗留问题的定额补助。</w:t>
      </w:r>
    </w:p>
    <w:p w14:paraId="64B02120">
      <w:pPr>
        <w:ind w:firstLine="643" w:firstLineChars="200"/>
        <w:rPr>
          <w:rStyle w:val="18"/>
          <w:rFonts w:hint="eastAsia" w:ascii="仿宋" w:hAnsi="仿宋" w:eastAsia="仿宋"/>
          <w:b w:val="0"/>
          <w:bCs/>
          <w:color w:val="auto"/>
          <w:sz w:val="32"/>
          <w:szCs w:val="32"/>
          <w:highlight w:val="none"/>
          <w:lang w:eastAsia="zh-CN"/>
        </w:rPr>
      </w:pPr>
      <w:r>
        <w:rPr>
          <w:rFonts w:hint="eastAsia" w:ascii="仿宋" w:hAnsi="仿宋" w:eastAsia="仿宋"/>
          <w:b/>
          <w:bCs/>
          <w:color w:val="auto"/>
          <w:sz w:val="32"/>
          <w:szCs w:val="32"/>
          <w:highlight w:val="none"/>
          <w:lang w:val="en-US" w:eastAsia="zh-CN"/>
        </w:rPr>
        <w:t>17.</w:t>
      </w: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（类）水利（款）水利安全监督（项）</w:t>
      </w:r>
      <w:r>
        <w:rPr>
          <w:rStyle w:val="18"/>
          <w:rFonts w:hint="eastAsia" w:ascii="仿宋" w:hAnsi="仿宋" w:eastAsia="仿宋"/>
          <w:bCs/>
          <w:color w:val="auto"/>
          <w:sz w:val="32"/>
          <w:szCs w:val="32"/>
          <w:highlight w:val="none"/>
          <w:lang w:eastAsia="zh-CN"/>
        </w:rPr>
        <w:t>：</w:t>
      </w:r>
      <w:r>
        <w:rPr>
          <w:rFonts w:ascii="仿宋" w:hAnsi="仿宋" w:eastAsia="仿宋" w:cs="仿宋"/>
          <w:i w:val="0"/>
          <w:iCs w:val="0"/>
          <w:caps w:val="0"/>
          <w:color w:val="auto"/>
          <w:spacing w:val="0"/>
          <w:sz w:val="32"/>
          <w:szCs w:val="32"/>
          <w:highlight w:val="none"/>
          <w:shd w:val="clear" w:fill="FFFFFF"/>
        </w:rPr>
        <w:t>反映水利系统纳入预算管理的事业单位开展水利安全生产监督和水利建设项目稽查业务支出</w:t>
      </w:r>
      <w:r>
        <w:rPr>
          <w:rStyle w:val="18"/>
          <w:rFonts w:hint="eastAsia" w:ascii="仿宋" w:hAnsi="仿宋" w:eastAsia="仿宋"/>
          <w:b w:val="0"/>
          <w:bCs/>
          <w:color w:val="auto"/>
          <w:sz w:val="32"/>
          <w:szCs w:val="32"/>
          <w:highlight w:val="none"/>
          <w:lang w:eastAsia="zh-CN"/>
        </w:rPr>
        <w:t>。</w:t>
      </w:r>
    </w:p>
    <w:p w14:paraId="12EC9249">
      <w:pPr>
        <w:ind w:firstLine="643" w:firstLineChars="200"/>
        <w:rPr>
          <w:rStyle w:val="18"/>
          <w:rFonts w:hint="eastAsia" w:ascii="仿宋" w:hAnsi="仿宋" w:eastAsia="仿宋"/>
          <w:b w:val="0"/>
          <w:bCs/>
          <w:color w:val="auto"/>
          <w:sz w:val="32"/>
          <w:szCs w:val="32"/>
          <w:highlight w:val="none"/>
          <w:lang w:eastAsia="zh-CN"/>
        </w:rPr>
      </w:pPr>
      <w:r>
        <w:rPr>
          <w:rFonts w:hint="eastAsia" w:ascii="仿宋" w:hAnsi="仿宋" w:eastAsia="仿宋"/>
          <w:b/>
          <w:bCs/>
          <w:color w:val="auto"/>
          <w:sz w:val="32"/>
          <w:szCs w:val="32"/>
          <w:highlight w:val="none"/>
          <w:lang w:val="en-US" w:eastAsia="zh-CN"/>
        </w:rPr>
        <w:t>18.</w:t>
      </w: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（类）水利（款）其他水利支出（项）</w:t>
      </w:r>
      <w:r>
        <w:rPr>
          <w:rStyle w:val="18"/>
          <w:rFonts w:hint="eastAsia" w:ascii="仿宋" w:hAnsi="仿宋" w:eastAsia="仿宋"/>
          <w:bCs/>
          <w:color w:val="auto"/>
          <w:sz w:val="32"/>
          <w:szCs w:val="32"/>
          <w:highlight w:val="none"/>
          <w:lang w:eastAsia="zh-CN"/>
        </w:rPr>
        <w:t>：</w:t>
      </w:r>
      <w:r>
        <w:rPr>
          <w:rFonts w:ascii="仿宋" w:hAnsi="仿宋" w:eastAsia="仿宋" w:cs="仿宋"/>
          <w:i w:val="0"/>
          <w:iCs w:val="0"/>
          <w:caps w:val="0"/>
          <w:color w:val="auto"/>
          <w:spacing w:val="0"/>
          <w:sz w:val="32"/>
          <w:szCs w:val="32"/>
          <w:highlight w:val="none"/>
          <w:shd w:val="clear" w:fill="FFFFFF"/>
        </w:rPr>
        <w:t>反映除上述项目以外其他用于水利方面的支出</w:t>
      </w:r>
      <w:r>
        <w:rPr>
          <w:rStyle w:val="18"/>
          <w:rFonts w:hint="eastAsia" w:ascii="仿宋" w:hAnsi="仿宋" w:eastAsia="仿宋"/>
          <w:b w:val="0"/>
          <w:bCs/>
          <w:color w:val="auto"/>
          <w:sz w:val="32"/>
          <w:szCs w:val="32"/>
          <w:highlight w:val="none"/>
          <w:lang w:eastAsia="zh-CN"/>
        </w:rPr>
        <w:t>。</w:t>
      </w:r>
    </w:p>
    <w:p w14:paraId="0F43CC01">
      <w:pPr>
        <w:ind w:firstLine="643" w:firstLineChars="200"/>
        <w:rPr>
          <w:rStyle w:val="18"/>
          <w:rFonts w:hint="eastAsia" w:ascii="仿宋" w:hAnsi="仿宋" w:eastAsia="仿宋"/>
          <w:b w:val="0"/>
          <w:bCs w:val="0"/>
          <w:color w:val="auto"/>
          <w:sz w:val="32"/>
          <w:szCs w:val="32"/>
          <w:highlight w:val="none"/>
          <w:lang w:eastAsia="zh-CN"/>
        </w:rPr>
      </w:pPr>
      <w:r>
        <w:rPr>
          <w:rFonts w:hint="eastAsia" w:ascii="仿宋" w:hAnsi="仿宋" w:eastAsia="仿宋"/>
          <w:b/>
          <w:bCs/>
          <w:color w:val="auto"/>
          <w:sz w:val="32"/>
          <w:szCs w:val="32"/>
          <w:highlight w:val="none"/>
          <w:lang w:val="en-US" w:eastAsia="zh-CN"/>
        </w:rPr>
        <w:t>19.</w:t>
      </w:r>
      <w:r>
        <w:rPr>
          <w:rFonts w:hint="eastAsia" w:ascii="仿宋" w:hAnsi="仿宋" w:eastAsia="仿宋"/>
          <w:b/>
          <w:bCs/>
          <w:color w:val="auto"/>
          <w:sz w:val="32"/>
          <w:szCs w:val="32"/>
          <w:highlight w:val="none"/>
        </w:rPr>
        <w:t>农林水支出</w:t>
      </w:r>
      <w:r>
        <w:rPr>
          <w:rStyle w:val="18"/>
          <w:rFonts w:hint="eastAsia" w:ascii="仿宋" w:hAnsi="仿宋" w:eastAsia="仿宋"/>
          <w:bCs/>
          <w:color w:val="auto"/>
          <w:sz w:val="32"/>
          <w:szCs w:val="32"/>
          <w:highlight w:val="none"/>
        </w:rPr>
        <w:t>（类）巩固</w:t>
      </w:r>
      <w:r>
        <w:rPr>
          <w:rStyle w:val="18"/>
          <w:rFonts w:hint="eastAsia" w:ascii="仿宋" w:hAnsi="仿宋" w:eastAsia="仿宋"/>
          <w:bCs/>
          <w:color w:val="auto"/>
          <w:sz w:val="32"/>
          <w:szCs w:val="32"/>
          <w:highlight w:val="none"/>
          <w:lang w:eastAsia="zh-CN"/>
        </w:rPr>
        <w:t>拓展</w:t>
      </w:r>
      <w:r>
        <w:rPr>
          <w:rStyle w:val="18"/>
          <w:rFonts w:hint="eastAsia" w:ascii="仿宋" w:hAnsi="仿宋" w:eastAsia="仿宋"/>
          <w:bCs/>
          <w:color w:val="auto"/>
          <w:sz w:val="32"/>
          <w:szCs w:val="32"/>
          <w:highlight w:val="none"/>
        </w:rPr>
        <w:t>脱贫衔接乡村振兴（款）其他巩固脱贫衔接乡村振兴支出（项）</w:t>
      </w:r>
      <w:r>
        <w:rPr>
          <w:rStyle w:val="18"/>
          <w:rFonts w:hint="eastAsia" w:ascii="仿宋" w:hAnsi="仿宋" w:eastAsia="仿宋"/>
          <w:bCs/>
          <w:color w:val="auto"/>
          <w:sz w:val="32"/>
          <w:szCs w:val="32"/>
          <w:highlight w:val="none"/>
          <w:lang w:eastAsia="zh-CN"/>
        </w:rPr>
        <w:t>：</w:t>
      </w:r>
      <w:r>
        <w:rPr>
          <w:rStyle w:val="18"/>
          <w:rFonts w:ascii="仿宋" w:hAnsi="仿宋" w:eastAsia="仿宋"/>
          <w:b w:val="0"/>
          <w:bCs w:val="0"/>
          <w:color w:val="auto"/>
          <w:sz w:val="32"/>
          <w:szCs w:val="32"/>
          <w:highlight w:val="none"/>
        </w:rPr>
        <w:t>反映其他用于巩固</w:t>
      </w:r>
      <w:r>
        <w:rPr>
          <w:rStyle w:val="18"/>
          <w:rFonts w:hint="eastAsia" w:ascii="仿宋" w:hAnsi="仿宋" w:eastAsia="仿宋"/>
          <w:b w:val="0"/>
          <w:bCs w:val="0"/>
          <w:color w:val="auto"/>
          <w:sz w:val="32"/>
          <w:szCs w:val="32"/>
          <w:highlight w:val="none"/>
          <w:lang w:eastAsia="zh-CN"/>
        </w:rPr>
        <w:t>拓展</w:t>
      </w:r>
      <w:r>
        <w:rPr>
          <w:rStyle w:val="18"/>
          <w:rFonts w:ascii="仿宋" w:hAnsi="仿宋" w:eastAsia="仿宋"/>
          <w:b w:val="0"/>
          <w:bCs w:val="0"/>
          <w:color w:val="auto"/>
          <w:sz w:val="32"/>
          <w:szCs w:val="32"/>
          <w:highlight w:val="none"/>
        </w:rPr>
        <w:t>脱贫攻坚成果同乡村振兴有效衔接的支出</w:t>
      </w:r>
      <w:r>
        <w:rPr>
          <w:rStyle w:val="18"/>
          <w:rFonts w:hint="eastAsia" w:ascii="仿宋" w:hAnsi="仿宋" w:eastAsia="仿宋"/>
          <w:b w:val="0"/>
          <w:bCs w:val="0"/>
          <w:color w:val="auto"/>
          <w:sz w:val="32"/>
          <w:szCs w:val="32"/>
          <w:highlight w:val="none"/>
          <w:lang w:eastAsia="zh-CN"/>
        </w:rPr>
        <w:t>。</w:t>
      </w:r>
    </w:p>
    <w:p w14:paraId="22D73259">
      <w:pPr>
        <w:ind w:firstLine="643" w:firstLineChars="200"/>
        <w:rPr>
          <w:rStyle w:val="18"/>
          <w:rFonts w:hint="eastAsia" w:ascii="仿宋" w:hAnsi="仿宋" w:eastAsia="仿宋"/>
          <w:b w:val="0"/>
          <w:bCs/>
          <w:color w:val="auto"/>
          <w:sz w:val="32"/>
          <w:szCs w:val="32"/>
          <w:highlight w:val="none"/>
          <w:lang w:eastAsia="zh-CN"/>
        </w:rPr>
      </w:pPr>
      <w:r>
        <w:rPr>
          <w:rFonts w:hint="eastAsia" w:ascii="仿宋" w:hAnsi="仿宋" w:eastAsia="仿宋"/>
          <w:b/>
          <w:bCs/>
          <w:color w:val="auto"/>
          <w:sz w:val="32"/>
          <w:szCs w:val="32"/>
          <w:highlight w:val="none"/>
          <w:lang w:val="en-US" w:eastAsia="zh-CN"/>
        </w:rPr>
        <w:t>20.</w:t>
      </w:r>
      <w:r>
        <w:rPr>
          <w:rFonts w:hint="eastAsia" w:ascii="仿宋" w:hAnsi="仿宋" w:eastAsia="仿宋"/>
          <w:b/>
          <w:bCs/>
          <w:color w:val="auto"/>
          <w:sz w:val="32"/>
          <w:szCs w:val="32"/>
          <w:highlight w:val="none"/>
        </w:rPr>
        <w:t>住房保障支出</w:t>
      </w:r>
      <w:r>
        <w:rPr>
          <w:rStyle w:val="18"/>
          <w:rFonts w:hint="eastAsia" w:ascii="仿宋" w:hAnsi="仿宋" w:eastAsia="仿宋"/>
          <w:bCs/>
          <w:color w:val="auto"/>
          <w:sz w:val="32"/>
          <w:szCs w:val="32"/>
          <w:highlight w:val="none"/>
        </w:rPr>
        <w:t>（类）住房改革支出（款）住房公积金（项）</w:t>
      </w:r>
      <w:r>
        <w:rPr>
          <w:rStyle w:val="18"/>
          <w:rFonts w:hint="eastAsia" w:ascii="仿宋" w:hAnsi="仿宋" w:eastAsia="仿宋"/>
          <w:bCs/>
          <w:color w:val="auto"/>
          <w:sz w:val="32"/>
          <w:szCs w:val="32"/>
          <w:highlight w:val="none"/>
          <w:lang w:eastAsia="zh-CN"/>
        </w:rPr>
        <w:t>：</w:t>
      </w:r>
      <w:r>
        <w:rPr>
          <w:rFonts w:ascii="仿宋_GB2312" w:hAnsi="宋体" w:eastAsia="仿宋_GB2312" w:cs="仿宋_GB2312"/>
          <w:b w:val="0"/>
          <w:i w:val="0"/>
          <w:caps w:val="0"/>
          <w:color w:val="auto"/>
          <w:spacing w:val="0"/>
          <w:sz w:val="32"/>
          <w:szCs w:val="32"/>
          <w:highlight w:val="none"/>
        </w:rPr>
        <w:t>反映行政事业单位按人力资源和社会保障部、财政部规定的基本工资和津贴补贴以及规定比例为职工缴纳的住房公积金</w:t>
      </w:r>
      <w:r>
        <w:rPr>
          <w:rStyle w:val="18"/>
          <w:rFonts w:hint="eastAsia" w:ascii="仿宋" w:hAnsi="仿宋" w:eastAsia="仿宋"/>
          <w:b w:val="0"/>
          <w:bCs/>
          <w:color w:val="auto"/>
          <w:sz w:val="32"/>
          <w:szCs w:val="32"/>
          <w:highlight w:val="none"/>
          <w:lang w:eastAsia="zh-CN"/>
        </w:rPr>
        <w:t>。</w:t>
      </w:r>
    </w:p>
    <w:p w14:paraId="10F6C3D9">
      <w:pPr>
        <w:ind w:firstLine="640" w:firstLineChars="200"/>
        <w:rPr>
          <w:rFonts w:ascii="仿宋_GB2312" w:eastAsia="仿宋_GB2312"/>
          <w:color w:val="auto"/>
          <w:sz w:val="32"/>
          <w:szCs w:val="32"/>
          <w:highlight w:val="none"/>
        </w:rPr>
      </w:pPr>
      <w:r>
        <w:rPr>
          <w:rFonts w:hint="eastAsia"/>
          <w:color w:val="auto"/>
          <w:sz w:val="32"/>
          <w:szCs w:val="32"/>
          <w:highlight w:val="none"/>
          <w:lang w:val="en-US" w:eastAsia="zh-CN"/>
        </w:rPr>
        <w:t>21.</w:t>
      </w:r>
      <w:r>
        <w:rPr>
          <w:rFonts w:hint="eastAsia" w:ascii="仿宋_GB2312" w:eastAsia="仿宋_GB2312"/>
          <w:b/>
          <w:bCs/>
          <w:color w:val="auto"/>
          <w:sz w:val="32"/>
          <w:szCs w:val="32"/>
          <w:highlight w:val="none"/>
        </w:rPr>
        <w:t>基本支出</w:t>
      </w:r>
      <w:r>
        <w:rPr>
          <w:rFonts w:hint="eastAsia" w:ascii="仿宋_GB2312" w:eastAsia="仿宋_GB2312"/>
          <w:color w:val="auto"/>
          <w:sz w:val="32"/>
          <w:szCs w:val="32"/>
          <w:highlight w:val="none"/>
        </w:rPr>
        <w:t>：指为保障机构正常运转、完成日常工作任务而发生的人员支出和公用支出。</w:t>
      </w:r>
    </w:p>
    <w:p w14:paraId="4A9131F5">
      <w:pPr>
        <w:ind w:firstLine="643" w:firstLineChars="200"/>
        <w:rPr>
          <w:rFonts w:ascii="仿宋_GB2312" w:eastAsia="仿宋_GB2312"/>
          <w:color w:val="auto"/>
          <w:sz w:val="32"/>
          <w:szCs w:val="32"/>
          <w:highlight w:val="none"/>
        </w:rPr>
      </w:pPr>
      <w:r>
        <w:rPr>
          <w:rFonts w:hint="eastAsia" w:ascii="仿宋_GB2312" w:eastAsia="仿宋_GB2312"/>
          <w:b/>
          <w:bCs/>
          <w:color w:val="auto"/>
          <w:sz w:val="32"/>
          <w:szCs w:val="32"/>
          <w:highlight w:val="none"/>
          <w:lang w:val="en-US" w:eastAsia="zh-CN"/>
        </w:rPr>
        <w:t>22</w:t>
      </w:r>
      <w:r>
        <w:rPr>
          <w:rFonts w:ascii="仿宋_GB2312" w:eastAsia="仿宋_GB2312"/>
          <w:b/>
          <w:bCs/>
          <w:color w:val="auto"/>
          <w:sz w:val="32"/>
          <w:szCs w:val="32"/>
          <w:highlight w:val="none"/>
        </w:rPr>
        <w:t>.</w:t>
      </w:r>
      <w:r>
        <w:rPr>
          <w:rFonts w:hint="eastAsia" w:ascii="仿宋_GB2312" w:eastAsia="仿宋_GB2312"/>
          <w:b/>
          <w:bCs/>
          <w:color w:val="auto"/>
          <w:sz w:val="32"/>
          <w:szCs w:val="32"/>
          <w:highlight w:val="none"/>
        </w:rPr>
        <w:t>项目支出</w:t>
      </w:r>
      <w:r>
        <w:rPr>
          <w:rFonts w:hint="eastAsia" w:ascii="仿宋_GB2312" w:eastAsia="仿宋_GB2312"/>
          <w:color w:val="auto"/>
          <w:sz w:val="32"/>
          <w:szCs w:val="32"/>
          <w:highlight w:val="none"/>
        </w:rPr>
        <w:t>：指在基本支出之外为完成特定行政任务和事业发展目标所发生的支出。</w:t>
      </w:r>
      <w:r>
        <w:rPr>
          <w:rFonts w:ascii="仿宋_GB2312" w:eastAsia="仿宋_GB2312"/>
          <w:color w:val="auto"/>
          <w:sz w:val="32"/>
          <w:szCs w:val="32"/>
          <w:highlight w:val="none"/>
        </w:rPr>
        <w:t xml:space="preserve"> </w:t>
      </w:r>
    </w:p>
    <w:p w14:paraId="5092E906">
      <w:pPr>
        <w:pStyle w:val="24"/>
        <w:spacing w:line="560" w:lineRule="exact"/>
        <w:ind w:firstLine="643" w:firstLineChars="200"/>
        <w:rPr>
          <w:rFonts w:ascii="仿宋_GB2312" w:eastAsia="仿宋_GB2312"/>
          <w:color w:val="auto"/>
          <w:sz w:val="32"/>
          <w:szCs w:val="32"/>
          <w:highlight w:val="none"/>
        </w:rPr>
      </w:pPr>
      <w:r>
        <w:rPr>
          <w:rFonts w:hint="eastAsia" w:ascii="仿宋_GB2312" w:eastAsia="仿宋_GB2312"/>
          <w:b/>
          <w:bCs/>
          <w:color w:val="auto"/>
          <w:sz w:val="32"/>
          <w:szCs w:val="32"/>
          <w:highlight w:val="none"/>
          <w:lang w:val="en-US" w:eastAsia="zh-CN"/>
        </w:rPr>
        <w:t>23</w:t>
      </w:r>
      <w:r>
        <w:rPr>
          <w:rFonts w:ascii="仿宋_GB2312" w:eastAsia="仿宋_GB2312"/>
          <w:b/>
          <w:bCs/>
          <w:color w:val="auto"/>
          <w:sz w:val="32"/>
          <w:szCs w:val="32"/>
          <w:highlight w:val="none"/>
        </w:rPr>
        <w:t>.</w:t>
      </w:r>
      <w:r>
        <w:rPr>
          <w:rFonts w:hint="eastAsia" w:ascii="仿宋_GB2312" w:eastAsia="仿宋_GB2312"/>
          <w:b/>
          <w:bCs/>
          <w:color w:val="auto"/>
          <w:sz w:val="32"/>
          <w:szCs w:val="32"/>
          <w:highlight w:val="none"/>
        </w:rPr>
        <w:t>“三公”经费</w:t>
      </w:r>
      <w:r>
        <w:rPr>
          <w:rFonts w:hint="eastAsia" w:ascii="仿宋_GB2312" w:eastAsia="仿宋_GB2312"/>
          <w:color w:val="auto"/>
          <w:sz w:val="32"/>
          <w:szCs w:val="32"/>
          <w:highlight w:val="none"/>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8875392">
      <w:pPr>
        <w:pStyle w:val="24"/>
        <w:spacing w:line="560" w:lineRule="exact"/>
        <w:ind w:firstLine="643" w:firstLineChars="200"/>
        <w:rPr>
          <w:rFonts w:ascii="仿宋_GB2312" w:eastAsia="仿宋_GB2312"/>
          <w:color w:val="auto"/>
          <w:sz w:val="32"/>
          <w:szCs w:val="32"/>
          <w:highlight w:val="none"/>
        </w:rPr>
      </w:pPr>
      <w:r>
        <w:rPr>
          <w:rFonts w:hint="eastAsia" w:ascii="仿宋_GB2312" w:eastAsia="仿宋_GB2312"/>
          <w:b/>
          <w:bCs/>
          <w:color w:val="auto"/>
          <w:sz w:val="32"/>
          <w:szCs w:val="32"/>
          <w:highlight w:val="none"/>
          <w:lang w:val="en-US" w:eastAsia="zh-CN"/>
        </w:rPr>
        <w:t>24</w:t>
      </w:r>
      <w:r>
        <w:rPr>
          <w:rFonts w:ascii="仿宋_GB2312" w:eastAsia="仿宋_GB2312"/>
          <w:b/>
          <w:bCs/>
          <w:color w:val="auto"/>
          <w:sz w:val="32"/>
          <w:szCs w:val="32"/>
          <w:highlight w:val="none"/>
        </w:rPr>
        <w:t>.</w:t>
      </w:r>
      <w:r>
        <w:rPr>
          <w:rFonts w:hint="eastAsia" w:ascii="仿宋_GB2312" w:eastAsia="仿宋_GB2312"/>
          <w:b/>
          <w:bCs/>
          <w:color w:val="auto"/>
          <w:sz w:val="32"/>
          <w:szCs w:val="32"/>
          <w:highlight w:val="none"/>
        </w:rPr>
        <w:t>机关运行经费</w:t>
      </w:r>
      <w:r>
        <w:rPr>
          <w:rFonts w:hint="eastAsia" w:ascii="仿宋_GB2312" w:eastAsia="仿宋_GB2312"/>
          <w:color w:val="auto"/>
          <w:sz w:val="32"/>
          <w:szCs w:val="32"/>
          <w:highlight w:val="none"/>
        </w:rPr>
        <w:t>：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6A5EDD91">
      <w:pPr>
        <w:pStyle w:val="24"/>
        <w:spacing w:line="560" w:lineRule="exact"/>
        <w:ind w:firstLine="640" w:firstLineChars="200"/>
        <w:rPr>
          <w:rFonts w:ascii="仿宋_GB2312" w:eastAsia="仿宋_GB2312" w:cs="黑体"/>
          <w:color w:val="auto"/>
          <w:sz w:val="32"/>
          <w:szCs w:val="32"/>
          <w:highlight w:val="yellow"/>
        </w:rPr>
      </w:pPr>
    </w:p>
    <w:p w14:paraId="6737E2A6">
      <w:pPr>
        <w:spacing w:line="600" w:lineRule="exact"/>
        <w:jc w:val="center"/>
        <w:outlineLvl w:val="9"/>
        <w:rPr>
          <w:rFonts w:hint="eastAsia" w:ascii="黑体" w:hAnsi="黑体" w:eastAsia="黑体"/>
          <w:color w:val="auto"/>
          <w:sz w:val="44"/>
          <w:szCs w:val="44"/>
          <w:highlight w:val="none"/>
        </w:rPr>
      </w:pPr>
      <w:bookmarkStart w:id="81" w:name="_Toc15396614"/>
      <w:bookmarkStart w:id="82" w:name="_Toc15377226"/>
    </w:p>
    <w:p w14:paraId="1CB58824">
      <w:pPr>
        <w:spacing w:line="600" w:lineRule="exact"/>
        <w:jc w:val="center"/>
        <w:outlineLvl w:val="9"/>
        <w:rPr>
          <w:rFonts w:hint="eastAsia" w:ascii="黑体" w:hAnsi="黑体" w:eastAsia="黑体"/>
          <w:color w:val="auto"/>
          <w:sz w:val="44"/>
          <w:szCs w:val="44"/>
          <w:highlight w:val="none"/>
        </w:rPr>
      </w:pPr>
    </w:p>
    <w:p w14:paraId="16E01661">
      <w:pPr>
        <w:spacing w:line="600" w:lineRule="exact"/>
        <w:jc w:val="center"/>
        <w:outlineLvl w:val="9"/>
        <w:rPr>
          <w:rFonts w:hint="eastAsia" w:ascii="黑体" w:hAnsi="黑体" w:eastAsia="黑体"/>
          <w:color w:val="auto"/>
          <w:sz w:val="44"/>
          <w:szCs w:val="44"/>
          <w:highlight w:val="none"/>
        </w:rPr>
      </w:pPr>
    </w:p>
    <w:p w14:paraId="0CDF84E2">
      <w:pPr>
        <w:spacing w:line="600" w:lineRule="exact"/>
        <w:jc w:val="center"/>
        <w:outlineLvl w:val="9"/>
        <w:rPr>
          <w:rFonts w:hint="eastAsia" w:ascii="黑体" w:hAnsi="黑体" w:eastAsia="黑体"/>
          <w:color w:val="auto"/>
          <w:sz w:val="44"/>
          <w:szCs w:val="44"/>
          <w:highlight w:val="none"/>
        </w:rPr>
      </w:pPr>
    </w:p>
    <w:p w14:paraId="168FA207">
      <w:pPr>
        <w:spacing w:line="600" w:lineRule="exact"/>
        <w:jc w:val="center"/>
        <w:outlineLvl w:val="9"/>
        <w:rPr>
          <w:rFonts w:hint="eastAsia" w:ascii="黑体" w:hAnsi="黑体" w:eastAsia="黑体"/>
          <w:color w:val="auto"/>
          <w:sz w:val="44"/>
          <w:szCs w:val="44"/>
          <w:highlight w:val="none"/>
        </w:rPr>
      </w:pPr>
    </w:p>
    <w:p w14:paraId="4C38A59F">
      <w:pPr>
        <w:spacing w:line="600" w:lineRule="exact"/>
        <w:jc w:val="center"/>
        <w:outlineLvl w:val="9"/>
        <w:rPr>
          <w:rFonts w:hint="eastAsia" w:ascii="黑体" w:hAnsi="黑体" w:eastAsia="黑体"/>
          <w:color w:val="auto"/>
          <w:sz w:val="44"/>
          <w:szCs w:val="44"/>
          <w:highlight w:val="none"/>
        </w:rPr>
      </w:pPr>
    </w:p>
    <w:p w14:paraId="2590EE3A">
      <w:pPr>
        <w:spacing w:line="600" w:lineRule="exact"/>
        <w:jc w:val="center"/>
        <w:outlineLvl w:val="9"/>
        <w:rPr>
          <w:rFonts w:hint="eastAsia" w:ascii="黑体" w:hAnsi="黑体" w:eastAsia="黑体"/>
          <w:color w:val="auto"/>
          <w:sz w:val="44"/>
          <w:szCs w:val="44"/>
          <w:highlight w:val="none"/>
        </w:rPr>
      </w:pPr>
    </w:p>
    <w:p w14:paraId="0A9130A7">
      <w:pPr>
        <w:spacing w:line="600" w:lineRule="exact"/>
        <w:jc w:val="center"/>
        <w:outlineLvl w:val="9"/>
        <w:rPr>
          <w:rFonts w:hint="eastAsia" w:ascii="黑体" w:hAnsi="黑体" w:eastAsia="黑体"/>
          <w:color w:val="auto"/>
          <w:sz w:val="44"/>
          <w:szCs w:val="44"/>
          <w:highlight w:val="none"/>
        </w:rPr>
      </w:pPr>
    </w:p>
    <w:p w14:paraId="63754169">
      <w:pPr>
        <w:spacing w:line="600" w:lineRule="exact"/>
        <w:jc w:val="center"/>
        <w:outlineLvl w:val="9"/>
        <w:rPr>
          <w:rFonts w:hint="eastAsia" w:ascii="黑体" w:hAnsi="黑体" w:eastAsia="黑体"/>
          <w:color w:val="auto"/>
          <w:sz w:val="44"/>
          <w:szCs w:val="44"/>
          <w:highlight w:val="none"/>
        </w:rPr>
      </w:pPr>
    </w:p>
    <w:p w14:paraId="6CF1D317">
      <w:pPr>
        <w:spacing w:line="600" w:lineRule="exact"/>
        <w:jc w:val="center"/>
        <w:outlineLvl w:val="9"/>
        <w:rPr>
          <w:rFonts w:hint="eastAsia" w:ascii="黑体" w:hAnsi="黑体" w:eastAsia="黑体"/>
          <w:color w:val="auto"/>
          <w:sz w:val="44"/>
          <w:szCs w:val="44"/>
          <w:highlight w:val="none"/>
        </w:rPr>
      </w:pPr>
    </w:p>
    <w:p w14:paraId="203A218C">
      <w:pPr>
        <w:spacing w:line="600" w:lineRule="exact"/>
        <w:jc w:val="center"/>
        <w:outlineLvl w:val="9"/>
        <w:rPr>
          <w:rFonts w:hint="eastAsia" w:ascii="黑体" w:hAnsi="黑体" w:eastAsia="黑体"/>
          <w:color w:val="auto"/>
          <w:sz w:val="44"/>
          <w:szCs w:val="44"/>
          <w:highlight w:val="none"/>
        </w:rPr>
      </w:pPr>
    </w:p>
    <w:p w14:paraId="6F2E194D">
      <w:pPr>
        <w:spacing w:line="600" w:lineRule="exact"/>
        <w:jc w:val="center"/>
        <w:outlineLvl w:val="9"/>
        <w:rPr>
          <w:rFonts w:hint="eastAsia" w:ascii="黑体" w:hAnsi="黑体" w:eastAsia="黑体"/>
          <w:color w:val="auto"/>
          <w:sz w:val="44"/>
          <w:szCs w:val="44"/>
          <w:highlight w:val="none"/>
        </w:rPr>
      </w:pPr>
    </w:p>
    <w:p w14:paraId="7D34AFB2">
      <w:pPr>
        <w:spacing w:line="600" w:lineRule="exact"/>
        <w:jc w:val="center"/>
        <w:outlineLvl w:val="9"/>
        <w:rPr>
          <w:rFonts w:hint="eastAsia" w:ascii="黑体" w:hAnsi="黑体" w:eastAsia="黑体"/>
          <w:color w:val="auto"/>
          <w:sz w:val="44"/>
          <w:szCs w:val="44"/>
          <w:highlight w:val="none"/>
        </w:rPr>
      </w:pPr>
    </w:p>
    <w:p w14:paraId="3C04494A">
      <w:pPr>
        <w:spacing w:line="600" w:lineRule="exact"/>
        <w:jc w:val="center"/>
        <w:outlineLvl w:val="9"/>
        <w:rPr>
          <w:rFonts w:hint="eastAsia" w:ascii="黑体" w:hAnsi="黑体" w:eastAsia="黑体"/>
          <w:color w:val="auto"/>
          <w:sz w:val="44"/>
          <w:szCs w:val="44"/>
          <w:highlight w:val="none"/>
        </w:rPr>
      </w:pPr>
    </w:p>
    <w:p w14:paraId="012730D5">
      <w:pPr>
        <w:spacing w:line="600" w:lineRule="exact"/>
        <w:jc w:val="center"/>
        <w:outlineLvl w:val="9"/>
        <w:rPr>
          <w:rFonts w:hint="eastAsia" w:ascii="黑体" w:hAnsi="黑体" w:eastAsia="黑体"/>
          <w:color w:val="auto"/>
          <w:sz w:val="44"/>
          <w:szCs w:val="44"/>
          <w:highlight w:val="none"/>
        </w:rPr>
      </w:pPr>
    </w:p>
    <w:p w14:paraId="447036BB">
      <w:pPr>
        <w:spacing w:line="600" w:lineRule="exact"/>
        <w:jc w:val="center"/>
        <w:outlineLvl w:val="9"/>
        <w:rPr>
          <w:rFonts w:hint="eastAsia" w:ascii="黑体" w:hAnsi="黑体" w:eastAsia="黑体"/>
          <w:color w:val="auto"/>
          <w:sz w:val="44"/>
          <w:szCs w:val="44"/>
          <w:highlight w:val="none"/>
        </w:rPr>
      </w:pPr>
    </w:p>
    <w:p w14:paraId="6C7FE026">
      <w:pPr>
        <w:spacing w:line="600" w:lineRule="exact"/>
        <w:jc w:val="center"/>
        <w:outlineLvl w:val="9"/>
        <w:rPr>
          <w:rFonts w:hint="eastAsia" w:ascii="黑体" w:hAnsi="黑体" w:eastAsia="黑体"/>
          <w:color w:val="auto"/>
          <w:sz w:val="44"/>
          <w:szCs w:val="44"/>
          <w:highlight w:val="none"/>
        </w:rPr>
      </w:pPr>
    </w:p>
    <w:p w14:paraId="1CF81265">
      <w:pPr>
        <w:spacing w:line="600" w:lineRule="exact"/>
        <w:jc w:val="center"/>
        <w:outlineLvl w:val="9"/>
        <w:rPr>
          <w:rFonts w:hint="eastAsia" w:ascii="黑体" w:hAnsi="黑体" w:eastAsia="黑体"/>
          <w:color w:val="auto"/>
          <w:sz w:val="44"/>
          <w:szCs w:val="44"/>
          <w:highlight w:val="none"/>
        </w:rPr>
      </w:pPr>
    </w:p>
    <w:p w14:paraId="534A6992">
      <w:pPr>
        <w:spacing w:line="600" w:lineRule="exact"/>
        <w:jc w:val="center"/>
        <w:outlineLvl w:val="9"/>
        <w:rPr>
          <w:rFonts w:hint="eastAsia" w:ascii="黑体" w:hAnsi="黑体" w:eastAsia="黑体"/>
          <w:color w:val="auto"/>
          <w:sz w:val="44"/>
          <w:szCs w:val="44"/>
          <w:highlight w:val="none"/>
        </w:rPr>
      </w:pPr>
    </w:p>
    <w:p w14:paraId="1924CEDA">
      <w:pPr>
        <w:spacing w:line="600" w:lineRule="exact"/>
        <w:jc w:val="center"/>
        <w:outlineLvl w:val="9"/>
        <w:rPr>
          <w:rFonts w:hint="eastAsia" w:ascii="黑体" w:hAnsi="黑体" w:eastAsia="黑体"/>
          <w:color w:val="auto"/>
          <w:sz w:val="44"/>
          <w:szCs w:val="44"/>
          <w:highlight w:val="none"/>
        </w:rPr>
      </w:pPr>
    </w:p>
    <w:p w14:paraId="62D07E14">
      <w:pPr>
        <w:numPr>
          <w:ilvl w:val="0"/>
          <w:numId w:val="7"/>
        </w:numPr>
        <w:spacing w:line="600" w:lineRule="exact"/>
        <w:ind w:left="0" w:leftChars="0" w:firstLine="660" w:firstLineChars="150"/>
        <w:jc w:val="center"/>
        <w:outlineLvl w:val="0"/>
        <w:rPr>
          <w:rStyle w:val="21"/>
          <w:rFonts w:hint="eastAsia" w:ascii="黑体" w:hAnsi="黑体" w:eastAsia="黑体"/>
          <w:b w:val="0"/>
          <w:color w:val="auto"/>
          <w:highlight w:val="none"/>
        </w:rPr>
      </w:pPr>
      <w:bookmarkStart w:id="83" w:name="_Toc17440"/>
      <w:bookmarkStart w:id="84" w:name="_Toc24481"/>
      <w:r>
        <w:rPr>
          <w:rStyle w:val="21"/>
          <w:rFonts w:hint="eastAsia" w:ascii="黑体" w:hAnsi="黑体" w:eastAsia="黑体"/>
          <w:b w:val="0"/>
          <w:color w:val="auto"/>
          <w:highlight w:val="none"/>
        </w:rPr>
        <w:t>附件</w:t>
      </w:r>
      <w:bookmarkEnd w:id="81"/>
      <w:bookmarkEnd w:id="83"/>
      <w:bookmarkEnd w:id="84"/>
    </w:p>
    <w:p w14:paraId="6E4C3F42">
      <w:pPr>
        <w:pStyle w:val="12"/>
        <w:numPr>
          <w:ilvl w:val="0"/>
          <w:numId w:val="0"/>
        </w:numPr>
        <w:rPr>
          <w:rFonts w:hint="eastAsia"/>
          <w:lang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p>
    <w:p w14:paraId="0D897B5A">
      <w:pPr>
        <w:keepNext w:val="0"/>
        <w:keepLines w:val="0"/>
        <w:pageBreakBefore w:val="0"/>
        <w:widowControl/>
        <w:kinsoku/>
        <w:wordWrap/>
        <w:overflowPunct/>
        <w:topLinePunct w:val="0"/>
        <w:autoSpaceDE/>
        <w:autoSpaceDN/>
        <w:bidi w:val="0"/>
        <w:spacing w:line="560" w:lineRule="exact"/>
        <w:contextualSpacing/>
        <w:jc w:val="center"/>
        <w:textAlignment w:val="auto"/>
        <w:outlineLvl w:val="9"/>
        <w:rPr>
          <w:rFonts w:hint="eastAsia" w:ascii="黑体" w:hAnsi="黑体" w:eastAsia="黑体" w:cs="黑体"/>
          <w:b/>
          <w:color w:val="auto"/>
          <w:sz w:val="44"/>
          <w:szCs w:val="44"/>
          <w:highlight w:val="none"/>
          <w:shd w:val="clear" w:color="auto" w:fill="FFFFFF"/>
        </w:rPr>
      </w:pPr>
      <w:r>
        <w:rPr>
          <w:rFonts w:hint="eastAsia" w:ascii="黑体" w:hAnsi="黑体" w:eastAsia="黑体" w:cs="黑体"/>
          <w:b/>
          <w:color w:val="auto"/>
          <w:sz w:val="44"/>
          <w:szCs w:val="44"/>
          <w:highlight w:val="none"/>
          <w:shd w:val="clear" w:color="auto" w:fill="FFFFFF"/>
        </w:rPr>
        <w:t>20</w:t>
      </w:r>
      <w:r>
        <w:rPr>
          <w:rFonts w:hint="eastAsia" w:ascii="黑体" w:hAnsi="黑体" w:eastAsia="黑体" w:cs="黑体"/>
          <w:b/>
          <w:color w:val="auto"/>
          <w:sz w:val="44"/>
          <w:szCs w:val="44"/>
          <w:highlight w:val="none"/>
          <w:shd w:val="clear" w:color="auto" w:fill="FFFFFF"/>
          <w:lang w:val="en-US" w:eastAsia="zh-CN"/>
        </w:rPr>
        <w:t>23</w:t>
      </w:r>
      <w:r>
        <w:rPr>
          <w:rFonts w:hint="eastAsia" w:ascii="黑体" w:hAnsi="黑体" w:eastAsia="黑体" w:cs="黑体"/>
          <w:b/>
          <w:color w:val="auto"/>
          <w:sz w:val="44"/>
          <w:szCs w:val="44"/>
          <w:highlight w:val="none"/>
          <w:shd w:val="clear" w:color="auto" w:fill="FFFFFF"/>
        </w:rPr>
        <w:t>年部门整体绩效评价报告</w:t>
      </w:r>
    </w:p>
    <w:p w14:paraId="14A2C59B">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outlineLvl w:val="9"/>
        <w:rPr>
          <w:rFonts w:ascii="黑体" w:hAnsi="宋体" w:eastAsia="黑体" w:cs="宋体"/>
          <w:color w:val="auto"/>
          <w:kern w:val="0"/>
          <w:sz w:val="32"/>
          <w:szCs w:val="32"/>
          <w:highlight w:val="none"/>
          <w:shd w:val="clear" w:color="auto" w:fill="FFFFFF"/>
        </w:rPr>
      </w:pPr>
    </w:p>
    <w:p w14:paraId="1AF9994B">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为切实做好2023年度财政绩效评价工作，提高财政资金使用效益。根据《峨边彝族自治县财政局关于开展绩效管理工作的通知》精神，结合实际，现将我单位整体支出绩效自评报告如下：</w:t>
      </w:r>
    </w:p>
    <w:p w14:paraId="42C8A99D">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b/>
          <w:bCs/>
          <w:color w:val="auto"/>
          <w:sz w:val="32"/>
          <w:szCs w:val="32"/>
          <w:highlight w:val="none"/>
          <w:lang w:val="zh-CN" w:eastAsia="zh-CN"/>
        </w:rPr>
        <w:t>一、部门（单位）概况</w:t>
      </w:r>
    </w:p>
    <w:p w14:paraId="5071EEDA">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b/>
          <w:bCs/>
          <w:color w:val="auto"/>
          <w:sz w:val="32"/>
          <w:szCs w:val="32"/>
          <w:highlight w:val="none"/>
          <w:lang w:val="zh-CN" w:eastAsia="zh-CN"/>
        </w:rPr>
        <w:t>（一）机构组成</w:t>
      </w:r>
      <w:r>
        <w:rPr>
          <w:rFonts w:hint="eastAsia" w:ascii="仿宋" w:hAnsi="仿宋" w:eastAsia="仿宋" w:cs="仿宋"/>
          <w:color w:val="auto"/>
          <w:sz w:val="32"/>
          <w:szCs w:val="32"/>
          <w:highlight w:val="none"/>
          <w:lang w:val="zh-CN" w:eastAsia="zh-CN"/>
        </w:rPr>
        <w:t>。</w:t>
      </w:r>
    </w:p>
    <w:p w14:paraId="225642C3">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峨边彝族自治县水务局内设综合股和业务股。</w:t>
      </w:r>
    </w:p>
    <w:p w14:paraId="0CB88FD7">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b/>
          <w:bCs/>
          <w:color w:val="auto"/>
          <w:sz w:val="32"/>
          <w:szCs w:val="32"/>
          <w:highlight w:val="none"/>
          <w:lang w:val="zh-CN" w:eastAsia="zh-CN"/>
        </w:rPr>
        <w:t>（</w:t>
      </w:r>
      <w:r>
        <w:rPr>
          <w:rFonts w:hint="eastAsia" w:ascii="仿宋" w:hAnsi="仿宋" w:eastAsia="仿宋" w:cs="仿宋"/>
          <w:b/>
          <w:bCs/>
          <w:color w:val="auto"/>
          <w:sz w:val="32"/>
          <w:szCs w:val="32"/>
          <w:highlight w:val="none"/>
          <w:lang w:val="en-US" w:eastAsia="zh-CN"/>
        </w:rPr>
        <w:t>二</w:t>
      </w:r>
      <w:r>
        <w:rPr>
          <w:rFonts w:hint="eastAsia" w:ascii="仿宋" w:hAnsi="仿宋" w:eastAsia="仿宋" w:cs="仿宋"/>
          <w:b/>
          <w:bCs/>
          <w:color w:val="auto"/>
          <w:sz w:val="32"/>
          <w:szCs w:val="32"/>
          <w:highlight w:val="none"/>
          <w:lang w:val="zh-CN" w:eastAsia="zh-CN"/>
        </w:rPr>
        <w:t>）机构职能和人员概况</w:t>
      </w:r>
      <w:r>
        <w:rPr>
          <w:rFonts w:hint="eastAsia" w:ascii="仿宋" w:hAnsi="仿宋" w:eastAsia="仿宋" w:cs="仿宋"/>
          <w:color w:val="auto"/>
          <w:sz w:val="32"/>
          <w:szCs w:val="32"/>
          <w:highlight w:val="none"/>
          <w:lang w:val="zh-CN" w:eastAsia="zh-CN"/>
        </w:rPr>
        <w:t>。</w:t>
      </w:r>
    </w:p>
    <w:p w14:paraId="190199B9">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 xml:space="preserve">机构职能： </w:t>
      </w:r>
    </w:p>
    <w:p w14:paraId="59386D6E">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1.宣传贯彻执行有关水务工作的法律法规和方针政策；负责拟定全县水务管理规范性文件并组织实施。</w:t>
      </w:r>
    </w:p>
    <w:p w14:paraId="35CCE196">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2.负责编制全县城乡水务发展规划；拟定全县中长期供水计划和年度供水计划、水量分配方案和旱情紧急情况下水量调度预案，并组织实施。</w:t>
      </w:r>
    </w:p>
    <w:p w14:paraId="31AB382A">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3.组织有关全县国民经济发展总体规划、城市规划及重大建设项目的水资源利用和防洪论证工作。</w:t>
      </w:r>
    </w:p>
    <w:p w14:paraId="732E2D5D">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4.负责全县水资源（含空中水、地表水、地下水）的统一管理和监督工作；负责对水资源的动态监测；审核水域纳污能力、向生态环境峨边分局提出限制排污总量的意见；监测江河湖库及饮水区等水域的水质、水量，组织编制全县节约用水、计划用水规划和有关标准，并组织实施。</w:t>
      </w:r>
    </w:p>
    <w:p w14:paraId="0880BC1A">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5.负责组织指导全县水务行政执法工作；负责水务行政复议的受理和行政诉讼的应诉工作；调解处理重大水事纠纷；依法查处水事违法案件。</w:t>
      </w:r>
    </w:p>
    <w:p w14:paraId="45A0A527">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6.负责组织编制全县供水规划和供水行业管理工作；负责全县供水企业的资质管理；制定全县供水行业的服务标准并实施监督检查；负责全县供水价格测算的组织工作；负责指导、监督全县供水等基础设施建设；负责自备井的管理和指导。</w:t>
      </w:r>
    </w:p>
    <w:p w14:paraId="6AA4CD12">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7.负责拟定水务行业经济调节措施，研究提出水务行业有关价格、税收、信贷、财务等经济调节意见；负责编制全县水务行业建设项目资金计划，对水务资金的使用进行宏观管理、监督和审查。</w:t>
      </w:r>
    </w:p>
    <w:p w14:paraId="2C429CDB">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8.组织指导全县水务基本建设，并实施行业监督管理；负责全县水务行业基本建设的质量监督和安全管理工作；负责小型水利工程建设，初审、转报大中型水利基建项目初步设计；组织建设和管理具有控制性或跨乡镇的重要水利工程；组织指导水库、水电站大坝的安全监督。</w:t>
      </w:r>
    </w:p>
    <w:p w14:paraId="06DE10FA">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9.编制全县水土保持规划并组织实施；负责水土保持预防监督、水土流失监测和综合防治工作；组织实施工程建设项目水土保持方案和设施自主验收的备案，征收水土保持补偿费；指导水利绿化工作。</w:t>
      </w:r>
    </w:p>
    <w:p w14:paraId="72421033">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10.对县境内主要江河和重要水利工程实施山洪灾害监测；掌握全县境内的雨情、水情信息，及时传达各有关单位。</w:t>
      </w:r>
    </w:p>
    <w:p w14:paraId="546A3B56">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11.指导全县江河、湖库、滩涂的综合治理与开发；组织实施河道采砂许可制度和征收河道砂石资源费制度。</w:t>
      </w:r>
    </w:p>
    <w:p w14:paraId="5F6B8935">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12.指导全县有关水务等项目的科学研究和技术推广，组织指导全县重大水务项目对外合作和交流。</w:t>
      </w:r>
    </w:p>
    <w:p w14:paraId="1B78D825">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13.指导全县水务行业干部职工队伍建设和服务体系建设；指导水务行业劳动保护和安全生产工作。</w:t>
      </w:r>
    </w:p>
    <w:p w14:paraId="6CF1D538">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14.负责职责范围内的安全生产和职业健康、生态环境保护、服务便民化工作。</w:t>
      </w:r>
    </w:p>
    <w:p w14:paraId="4B19F55B">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15.负责县总河长办公室的日常工作，贯彻执行上级和县委、县政府河长制工作决策部署，充分发挥参谋助手、综合协调、督办等职能作用，认真履行办文、办会、办事等工作职责，统筹协调督促推进全县河长制工作</w:t>
      </w:r>
    </w:p>
    <w:p w14:paraId="03758FAF">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16.在自然灾害防救方面的职责分工。</w:t>
      </w:r>
    </w:p>
    <w:p w14:paraId="0722F262">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县应急局与县自然资源局、县水务局、县林业局等部门要做到各司其职，无缝对接。县应急局负责统一组织、统一指挥、统一协调自然灾害类突发事件应急救援工作，县自然资源局、县水务局、县林业局依法依规承担相关行业领域的灾害监测、预警、防治工作及抢险救援的技术保障工作。</w:t>
      </w:r>
    </w:p>
    <w:p w14:paraId="05618CA2">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完成县委、县政府交办的其他任务。</w:t>
      </w:r>
    </w:p>
    <w:p w14:paraId="2A761AAD">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 xml:space="preserve"> 完成电站库区移民后期扶持工作</w:t>
      </w:r>
    </w:p>
    <w:p w14:paraId="447AEB0A">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val="zh-CN" w:eastAsia="zh-CN"/>
        </w:rPr>
        <w:t>人员概况：</w:t>
      </w:r>
    </w:p>
    <w:p w14:paraId="572CEBD5">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县水务局行政编制8名。其中：局长2名、副局长1名、总工程师1名，中层领导职数3名。保留机关工勤编制1名。2、水利综合执法大队12人。3、县水务局所属事业单位水利工程质量安全监督站20人，夏家沟水库管理站6名。</w:t>
      </w:r>
    </w:p>
    <w:p w14:paraId="5F8216EB">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ascii="仿宋" w:hAnsi="仿宋" w:eastAsia="仿宋" w:cs="仿宋"/>
          <w:b/>
          <w:bCs/>
          <w:color w:val="auto"/>
          <w:sz w:val="32"/>
          <w:szCs w:val="32"/>
          <w:highlight w:val="none"/>
          <w:lang w:val="zh-CN" w:eastAsia="zh-CN"/>
        </w:rPr>
      </w:pPr>
      <w:r>
        <w:rPr>
          <w:rFonts w:hint="eastAsia" w:ascii="仿宋" w:hAnsi="仿宋" w:eastAsia="仿宋" w:cs="仿宋"/>
          <w:b/>
          <w:bCs/>
          <w:color w:val="auto"/>
          <w:sz w:val="32"/>
          <w:szCs w:val="32"/>
          <w:highlight w:val="none"/>
          <w:lang w:val="zh-CN" w:eastAsia="zh-CN"/>
        </w:rPr>
        <w:t>（</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lang w:val="zh-CN" w:eastAsia="zh-CN"/>
        </w:rPr>
        <w:t>）年度主要工作任务</w:t>
      </w:r>
    </w:p>
    <w:p w14:paraId="2AD7D5AD">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1、拼经济、搞建设情况</w:t>
      </w:r>
    </w:p>
    <w:p w14:paraId="16B52016">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（1）强化项目推进。安排2023年移民后扶资金350万元用于宜坪乡水源工程建设，目前已完成立项工作。</w:t>
      </w:r>
    </w:p>
    <w:p w14:paraId="4A14E89E">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（2）提升用水效率。围绕“3+3+3”特色优势产业，安排2023年乡村振兴衔接资金100万元用于大堡镇双九村饮水巩固提升工程和大堡镇新火、教场山坪塘项目建设，目前2个项目已进入施工阶段。</w:t>
      </w:r>
    </w:p>
    <w:p w14:paraId="6E8E70F2">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3）强化项目争取。充分利用增发国债契机，积极开展12个重大涉水项目前期准备工作，为对上争取增发国债项目打下坚实的前期准备基础。目前我局已完成山洪灾害避险搬迁安置、大渡河右岸峨边毛坪镇工业园区段堤防工程、堤防综合整治项目（一期）等12个重大涉水项目前期设计工作，正积极加强与县发改局的沟通对接，争取将12个涉水重大项目纳入增发国债项目库。</w:t>
      </w:r>
    </w:p>
    <w:p w14:paraId="7E648BC6">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2、围绕“3+3+3”特色优势产业发展情况</w:t>
      </w:r>
    </w:p>
    <w:p w14:paraId="4A921CF1">
      <w:pPr>
        <w:pStyle w:val="7"/>
        <w:keepNext w:val="0"/>
        <w:keepLines w:val="0"/>
        <w:pageBreakBefore w:val="0"/>
        <w:numPr>
          <w:ilvl w:val="0"/>
          <w:numId w:val="0"/>
        </w:numPr>
        <w:kinsoku/>
        <w:wordWrap/>
        <w:overflowPunct/>
        <w:topLinePunct w:val="0"/>
        <w:autoSpaceDE/>
        <w:autoSpaceDN/>
        <w:bidi w:val="0"/>
        <w:spacing w:line="560" w:lineRule="exact"/>
        <w:ind w:firstLine="320"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（1）深化城乡供水排水一张网项目。安排后扶移民资金1286万元用于城区二水厂二期管网工程项目建设，目前正在开展规划设计工作。</w:t>
      </w:r>
    </w:p>
    <w:p w14:paraId="2BFDD774">
      <w:pPr>
        <w:pStyle w:val="7"/>
        <w:keepNext w:val="0"/>
        <w:keepLines w:val="0"/>
        <w:pageBreakBefore w:val="0"/>
        <w:numPr>
          <w:ilvl w:val="0"/>
          <w:numId w:val="0"/>
        </w:numPr>
        <w:kinsoku/>
        <w:wordWrap/>
        <w:overflowPunct/>
        <w:topLinePunct w:val="0"/>
        <w:autoSpaceDE/>
        <w:autoSpaceDN/>
        <w:bidi w:val="0"/>
        <w:spacing w:line="560" w:lineRule="exact"/>
        <w:ind w:firstLine="320"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（2）深入推进水系联通工程。目前已委托四川大学工程设计研究院和重庆江源勘察设计有限公司启动万坪水库、杨河水厂项目建议书编制工作，川大院已提交万坪水库建设项目服务建议书。</w:t>
      </w:r>
    </w:p>
    <w:p w14:paraId="600105AE">
      <w:pPr>
        <w:pStyle w:val="7"/>
        <w:keepNext w:val="0"/>
        <w:keepLines w:val="0"/>
        <w:pageBreakBefore w:val="0"/>
        <w:numPr>
          <w:ilvl w:val="0"/>
          <w:numId w:val="0"/>
        </w:numPr>
        <w:kinsoku/>
        <w:wordWrap/>
        <w:overflowPunct/>
        <w:topLinePunct w:val="0"/>
        <w:autoSpaceDE/>
        <w:autoSpaceDN/>
        <w:bidi w:val="0"/>
        <w:spacing w:line="560" w:lineRule="exact"/>
        <w:ind w:firstLine="320"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3）全力推动山洪沟治理工程。完成大堡镇桥楼沟、毡条沟山洪沟防洪治理工程实施方案、新林镇观音沟山洪沟防洪治理工程实施方案和五渡镇足槽溪山洪沟防洪治理工程实施方案等3条山洪沟治理项目实施方案编制工作，目前已报市水务局审核，力争进入省级2024年投资计划。</w:t>
      </w:r>
    </w:p>
    <w:p w14:paraId="74A899F2">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3、争先创优情况</w:t>
      </w:r>
    </w:p>
    <w:p w14:paraId="164DFCCE">
      <w:pPr>
        <w:pStyle w:val="7"/>
        <w:keepNext w:val="0"/>
        <w:keepLines w:val="0"/>
        <w:pageBreakBefore w:val="0"/>
        <w:numPr>
          <w:ilvl w:val="0"/>
          <w:numId w:val="0"/>
        </w:numPr>
        <w:kinsoku/>
        <w:wordWrap/>
        <w:overflowPunct/>
        <w:topLinePunct w:val="0"/>
        <w:autoSpaceDE/>
        <w:autoSpaceDN/>
        <w:bidi w:val="0"/>
        <w:spacing w:line="560" w:lineRule="exact"/>
        <w:ind w:firstLine="320"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1）全力推动绿色小水电示范电站创建工作。积极对上沟通，目前金岩水电站、两河口水电站、母举沟水电站、三叉河水电站4座创建绿色小水电示范电站已通过市局认定，待公示结束后将上报省水利厅进行审核。</w:t>
      </w:r>
    </w:p>
    <w:p w14:paraId="60ECA317">
      <w:pPr>
        <w:pStyle w:val="7"/>
        <w:keepNext w:val="0"/>
        <w:keepLines w:val="0"/>
        <w:pageBreakBefore w:val="0"/>
        <w:numPr>
          <w:ilvl w:val="0"/>
          <w:numId w:val="0"/>
        </w:numPr>
        <w:kinsoku/>
        <w:wordWrap/>
        <w:overflowPunct/>
        <w:topLinePunct w:val="0"/>
        <w:autoSpaceDE/>
        <w:autoSpaceDN/>
        <w:bidi w:val="0"/>
        <w:spacing w:line="560" w:lineRule="exact"/>
        <w:ind w:firstLine="320"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2）全面开展省市表扬表彰工作。2023年5月10日，县水务局和县水务局干部何建林分别被市防汛抗旱指挥部评为先进集体和先进个人。2023年10月20日，省河长制办公室在省水利厅官网公示2022四川省河湖长制工作先进集体和先进个人拟表彰对象，我局干部袁卓雅拟被表彰为先进个人。</w:t>
      </w:r>
    </w:p>
    <w:p w14:paraId="526E214E">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4、强化防汛减灾，确保生命安全</w:t>
      </w:r>
    </w:p>
    <w:p w14:paraId="61D4EEC0">
      <w:pPr>
        <w:pStyle w:val="7"/>
        <w:keepNext w:val="0"/>
        <w:keepLines w:val="0"/>
        <w:pageBreakBefore w:val="0"/>
        <w:numPr>
          <w:ilvl w:val="0"/>
          <w:numId w:val="0"/>
        </w:numPr>
        <w:kinsoku/>
        <w:wordWrap/>
        <w:overflowPunct/>
        <w:topLinePunct w:val="0"/>
        <w:autoSpaceDE/>
        <w:autoSpaceDN/>
        <w:bidi w:val="0"/>
        <w:spacing w:line="560" w:lineRule="exact"/>
        <w:ind w:firstLine="320"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（1）加强领导，统一思想认识。督促各乡镇、各村组调整充实防汛抗旱工作组，明确了168个山洪灾害危险区责任主体和监测预警转移避险责任人。</w:t>
      </w:r>
    </w:p>
    <w:p w14:paraId="1E07451A">
      <w:pPr>
        <w:pStyle w:val="7"/>
        <w:keepNext w:val="0"/>
        <w:keepLines w:val="0"/>
        <w:pageBreakBefore w:val="0"/>
        <w:numPr>
          <w:ilvl w:val="0"/>
          <w:numId w:val="0"/>
        </w:numPr>
        <w:kinsoku/>
        <w:wordWrap/>
        <w:overflowPunct/>
        <w:topLinePunct w:val="0"/>
        <w:autoSpaceDE/>
        <w:autoSpaceDN/>
        <w:bidi w:val="0"/>
        <w:spacing w:line="560" w:lineRule="exact"/>
        <w:ind w:firstLine="320"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（2）压实责任，确保生命安全。压实“12个100%”“三个紧急撤离”和“临灾强制撤离”等工作，发布山洪灾害风险预警信息26次，发布灾害预警信息6890条，转移3460人。</w:t>
      </w:r>
    </w:p>
    <w:p w14:paraId="3BCB0EC2">
      <w:pPr>
        <w:pStyle w:val="7"/>
        <w:keepNext w:val="0"/>
        <w:keepLines w:val="0"/>
        <w:pageBreakBefore w:val="0"/>
        <w:numPr>
          <w:ilvl w:val="0"/>
          <w:numId w:val="0"/>
        </w:numPr>
        <w:kinsoku/>
        <w:wordWrap/>
        <w:overflowPunct/>
        <w:topLinePunct w:val="0"/>
        <w:autoSpaceDE/>
        <w:autoSpaceDN/>
        <w:bidi w:val="0"/>
        <w:spacing w:line="560" w:lineRule="exact"/>
        <w:ind w:firstLine="320"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3）未雨绸缪，坚持科学防汛。深化预案修订。修订完成《峨边彝族自治县防汛总体应急预案》《峨边彝族自治县超标洪水防御预案》，同时修订完成山洪灾害危险区“两张图”（组织责任体系图，预警转移流程图）防御预案，完成全县干沟暗河分布图绘制。</w:t>
      </w:r>
    </w:p>
    <w:p w14:paraId="102CA8CF">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5、落实帮扶政策，建设美丽家园</w:t>
      </w:r>
    </w:p>
    <w:p w14:paraId="1DD99421">
      <w:pPr>
        <w:pStyle w:val="7"/>
        <w:keepNext w:val="0"/>
        <w:keepLines w:val="0"/>
        <w:pageBreakBefore w:val="0"/>
        <w:numPr>
          <w:ilvl w:val="0"/>
          <w:numId w:val="0"/>
        </w:numPr>
        <w:kinsoku/>
        <w:wordWrap/>
        <w:overflowPunct/>
        <w:topLinePunct w:val="0"/>
        <w:autoSpaceDE/>
        <w:autoSpaceDN/>
        <w:bidi w:val="0"/>
        <w:spacing w:line="560" w:lineRule="exact"/>
        <w:ind w:firstLine="320"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1）推动项目建设。督查推进2020、2021年、2022年在建项目建设进度及资金拨付进度；以点带面纵深推进历年后扶在建及竣工结算进度，启动2023年移民后扶项目建设和2022年移民后扶调整项目建设，开展2024年移民后扶项目入库及梳理2024年移民后扶项目申报工作。</w:t>
      </w:r>
    </w:p>
    <w:p w14:paraId="154BECF1">
      <w:pPr>
        <w:pStyle w:val="7"/>
        <w:keepNext w:val="0"/>
        <w:keepLines w:val="0"/>
        <w:pageBreakBefore w:val="0"/>
        <w:numPr>
          <w:ilvl w:val="0"/>
          <w:numId w:val="0"/>
        </w:numPr>
        <w:kinsoku/>
        <w:wordWrap/>
        <w:overflowPunct/>
        <w:topLinePunct w:val="0"/>
        <w:autoSpaceDE/>
        <w:autoSpaceDN/>
        <w:bidi w:val="0"/>
        <w:spacing w:line="560" w:lineRule="exact"/>
        <w:ind w:firstLine="320"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（2）落实帮扶政策。按月开展移民人口动态核减，每月按时拨付移民直发直补资金，共计发放资金623.59万元，惠及移民群众11456人。</w:t>
      </w:r>
    </w:p>
    <w:p w14:paraId="20C85318">
      <w:pPr>
        <w:pStyle w:val="7"/>
        <w:keepNext w:val="0"/>
        <w:keepLines w:val="0"/>
        <w:pageBreakBefore w:val="0"/>
        <w:numPr>
          <w:ilvl w:val="0"/>
          <w:numId w:val="0"/>
        </w:numPr>
        <w:kinsoku/>
        <w:wordWrap/>
        <w:overflowPunct/>
        <w:topLinePunct w:val="0"/>
        <w:autoSpaceDE/>
        <w:autoSpaceDN/>
        <w:bidi w:val="0"/>
        <w:spacing w:line="560" w:lineRule="exact"/>
        <w:ind w:firstLine="320"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（3）保障饮水安全。开展2023年度农村安全饮水水质检测工作，完成全县91个村的水质检测工作，全力确保人民群众能喝上放心水、安全水。</w:t>
      </w:r>
    </w:p>
    <w:p w14:paraId="019C3F47">
      <w:pPr>
        <w:pStyle w:val="7"/>
        <w:keepNext w:val="0"/>
        <w:keepLines w:val="0"/>
        <w:pageBreakBefore w:val="0"/>
        <w:numPr>
          <w:ilvl w:val="0"/>
          <w:numId w:val="0"/>
        </w:numPr>
        <w:kinsoku/>
        <w:wordWrap/>
        <w:overflowPunct/>
        <w:topLinePunct w:val="0"/>
        <w:autoSpaceDE/>
        <w:autoSpaceDN/>
        <w:bidi w:val="0"/>
        <w:spacing w:line="560" w:lineRule="exact"/>
        <w:ind w:firstLine="320"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（4）强化驻村力量。派驻两名技术骨干到大堡镇化林村和双九村担任第一书记，切实提高驻村帮扶力量。</w:t>
      </w:r>
    </w:p>
    <w:p w14:paraId="1E906A5E">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6、紧盯绿水青山，净化河湖生态</w:t>
      </w:r>
    </w:p>
    <w:p w14:paraId="4E954988">
      <w:pPr>
        <w:pStyle w:val="7"/>
        <w:keepNext w:val="0"/>
        <w:keepLines w:val="0"/>
        <w:pageBreakBefore w:val="0"/>
        <w:numPr>
          <w:ilvl w:val="0"/>
          <w:numId w:val="0"/>
        </w:numPr>
        <w:kinsoku/>
        <w:wordWrap/>
        <w:overflowPunct/>
        <w:topLinePunct w:val="0"/>
        <w:autoSpaceDE/>
        <w:autoSpaceDN/>
        <w:bidi w:val="0"/>
        <w:spacing w:line="560" w:lineRule="exact"/>
        <w:ind w:firstLine="320"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（1）落实工作责任。全面落实县乡村三级河长责任，严格按照县、乡、村三级河长巡河频次要求完成巡河工作，处理发现问题50个，整改率100%。</w:t>
      </w:r>
    </w:p>
    <w:p w14:paraId="1A0CFF0E">
      <w:pPr>
        <w:pStyle w:val="7"/>
        <w:keepNext w:val="0"/>
        <w:keepLines w:val="0"/>
        <w:pageBreakBefore w:val="0"/>
        <w:numPr>
          <w:ilvl w:val="0"/>
          <w:numId w:val="0"/>
        </w:numPr>
        <w:kinsoku/>
        <w:wordWrap/>
        <w:overflowPunct/>
        <w:topLinePunct w:val="0"/>
        <w:autoSpaceDE/>
        <w:autoSpaceDN/>
        <w:bidi w:val="0"/>
        <w:spacing w:line="560" w:lineRule="exact"/>
        <w:ind w:firstLine="320"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（2）深化“解放模式”。组织召开全县基层河湖管护“解放模式”工作推进会，安排部署“解放模式”创建工作。开展河湖长制工作培训1次。推进官料河、茨竹河等8条河流河湖健康评价工作。</w:t>
      </w:r>
    </w:p>
    <w:p w14:paraId="580EF731">
      <w:pPr>
        <w:pStyle w:val="7"/>
        <w:keepNext w:val="0"/>
        <w:keepLines w:val="0"/>
        <w:pageBreakBefore w:val="0"/>
        <w:numPr>
          <w:ilvl w:val="0"/>
          <w:numId w:val="0"/>
        </w:numPr>
        <w:kinsoku/>
        <w:wordWrap/>
        <w:overflowPunct/>
        <w:topLinePunct w:val="0"/>
        <w:autoSpaceDE/>
        <w:autoSpaceDN/>
        <w:bidi w:val="0"/>
        <w:spacing w:line="560" w:lineRule="exact"/>
        <w:ind w:firstLine="320"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（3）开展创卫工作。安排全局领导干部30余人深入开展社区双报到工作，积极开展城区河道和责任片区卫生工作。</w:t>
      </w:r>
    </w:p>
    <w:p w14:paraId="02B4419A">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7、强化执法监督，营造良好环境</w:t>
      </w:r>
    </w:p>
    <w:p w14:paraId="5246C449">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一是强化水土保持监管。开展水土保持监督执法检查30次，完成水利部、水利厅卫星遥感违法图斑核查2次共27个。</w:t>
      </w:r>
    </w:p>
    <w:p w14:paraId="51ABED43">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二是强化水资源管理。严守水资源“三条红线”，完成11户取水户的取水检查。完成22座水电站安全和生态流量检查，委托乐山市水文水资源勘测中心开展了水电站生态流量监督性检测，完成52个站点实测，督促水电站加强生态流量日常管理。小水电分类整改工作，全县93座整改类电站已全面完成，完成县级验收并通过省市复核。</w:t>
      </w:r>
    </w:p>
    <w:p w14:paraId="6FBD3A06">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三是强化执法监督。加强河道日常巡查工作，持续加大对涉水违法案件的严管严打态势。共开展140余次日常巡查和61次夜间巡查，立案5件，处罚金额18万元。</w:t>
      </w:r>
    </w:p>
    <w:p w14:paraId="6566E755">
      <w:pPr>
        <w:pStyle w:val="7"/>
        <w:keepNext w:val="0"/>
        <w:keepLines w:val="0"/>
        <w:pageBreakBefore w:val="0"/>
        <w:numPr>
          <w:ilvl w:val="0"/>
          <w:numId w:val="0"/>
        </w:numPr>
        <w:kinsoku/>
        <w:wordWrap/>
        <w:overflowPunct/>
        <w:topLinePunct w:val="0"/>
        <w:autoSpaceDE/>
        <w:autoSpaceDN/>
        <w:bidi w:val="0"/>
        <w:spacing w:line="560" w:lineRule="exact"/>
        <w:ind w:firstLine="321" w:firstLineChars="100"/>
        <w:textAlignment w:val="auto"/>
        <w:outlineLvl w:val="9"/>
        <w:rPr>
          <w:rFonts w:hint="eastAsia" w:ascii="仿宋" w:hAnsi="仿宋" w:eastAsia="仿宋" w:cs="仿宋"/>
          <w:b/>
          <w:bCs/>
          <w:color w:val="auto"/>
          <w:sz w:val="32"/>
          <w:szCs w:val="32"/>
          <w:highlight w:val="none"/>
          <w:lang w:val="zh-CN" w:eastAsia="zh-CN"/>
        </w:rPr>
      </w:pPr>
      <w:r>
        <w:rPr>
          <w:rFonts w:hint="eastAsia" w:ascii="仿宋" w:hAnsi="仿宋" w:eastAsia="仿宋" w:cs="仿宋"/>
          <w:b/>
          <w:bCs/>
          <w:color w:val="auto"/>
          <w:sz w:val="32"/>
          <w:szCs w:val="32"/>
          <w:highlight w:val="none"/>
          <w:lang w:val="zh-CN" w:eastAsia="zh-CN"/>
        </w:rPr>
        <w:t>（</w:t>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sz w:val="32"/>
          <w:szCs w:val="32"/>
          <w:highlight w:val="none"/>
          <w:lang w:val="zh-CN" w:eastAsia="zh-CN"/>
        </w:rPr>
        <w:t>）部门整体支出绩效目标</w:t>
      </w:r>
    </w:p>
    <w:p w14:paraId="1D53A218">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保障局机关在职人员44人、退休人员32人经费工资、养老、医疗等基本运行，加快城区二水厂建设，完成大渡河马嘶溪上段堤防和民族小学堤防验收，完成黑龙溪防洪治理工程验收，大力推进移民后扶项目，推进水生态文明建设，全面落实河长制，扎实做好防汛抗旱工作，提升防灾减灾能力。</w:t>
      </w:r>
    </w:p>
    <w:p w14:paraId="3B5C03D9">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二、部门财政资金收支情况</w:t>
      </w:r>
    </w:p>
    <w:p w14:paraId="403DCDCC">
      <w:pPr>
        <w:pStyle w:val="7"/>
        <w:keepNext w:val="0"/>
        <w:keepLines w:val="0"/>
        <w:pageBreakBefore w:val="0"/>
        <w:numPr>
          <w:ilvl w:val="0"/>
          <w:numId w:val="0"/>
        </w:numPr>
        <w:kinsoku/>
        <w:wordWrap/>
        <w:overflowPunct/>
        <w:topLinePunct w:val="0"/>
        <w:autoSpaceDE/>
        <w:autoSpaceDN/>
        <w:bidi w:val="0"/>
        <w:spacing w:line="560" w:lineRule="exact"/>
        <w:ind w:firstLine="320"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（一）部门财政资金收入情况。</w:t>
      </w:r>
    </w:p>
    <w:p w14:paraId="5B906522">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2023年财政资金收入共5478.24万元，其中一般公共预算收入2352.17万元，政府性基金收入3126.07元。</w:t>
      </w:r>
    </w:p>
    <w:p w14:paraId="650B999B">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部门财政资金支出情况。</w:t>
      </w:r>
    </w:p>
    <w:p w14:paraId="25567E62">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2023年财政拨款支出共6843.83万元，其中基本支出1093.64万元，项目支出5750.19万元。</w:t>
      </w:r>
    </w:p>
    <w:p w14:paraId="4BBA3C0D">
      <w:pPr>
        <w:pStyle w:val="7"/>
        <w:keepNext w:val="0"/>
        <w:keepLines w:val="0"/>
        <w:pageBreakBefore w:val="0"/>
        <w:numPr>
          <w:ilvl w:val="0"/>
          <w:numId w:val="0"/>
        </w:numPr>
        <w:kinsoku/>
        <w:wordWrap/>
        <w:overflowPunct/>
        <w:topLinePunct w:val="0"/>
        <w:autoSpaceDE/>
        <w:autoSpaceDN/>
        <w:bidi w:val="0"/>
        <w:spacing w:line="560" w:lineRule="exact"/>
        <w:ind w:firstLine="321"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b/>
          <w:bCs/>
          <w:color w:val="auto"/>
          <w:sz w:val="32"/>
          <w:szCs w:val="32"/>
          <w:highlight w:val="none"/>
          <w:lang w:val="zh-CN" w:eastAsia="zh-CN"/>
        </w:rPr>
        <w:t>（</w:t>
      </w:r>
      <w:r>
        <w:rPr>
          <w:rFonts w:hint="eastAsia" w:ascii="仿宋" w:hAnsi="仿宋" w:eastAsia="仿宋" w:cs="仿宋"/>
          <w:b/>
          <w:bCs/>
          <w:color w:val="auto"/>
          <w:sz w:val="32"/>
          <w:szCs w:val="32"/>
          <w:highlight w:val="none"/>
          <w:lang w:val="en-US" w:eastAsia="zh-CN"/>
        </w:rPr>
        <w:t>二</w:t>
      </w:r>
      <w:r>
        <w:rPr>
          <w:rFonts w:hint="eastAsia" w:ascii="仿宋" w:hAnsi="仿宋" w:eastAsia="仿宋" w:cs="仿宋"/>
          <w:b/>
          <w:bCs/>
          <w:color w:val="auto"/>
          <w:sz w:val="32"/>
          <w:szCs w:val="32"/>
          <w:highlight w:val="none"/>
          <w:lang w:val="zh-CN" w:eastAsia="zh-CN"/>
        </w:rPr>
        <w:t>）部门财政资金结转结余情况。</w:t>
      </w:r>
    </w:p>
    <w:p w14:paraId="2A2394AD">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2023年财政资金结转共1687.33万元，其中一般公共预算资金156万元，政府性基金1531.33万元。</w:t>
      </w:r>
    </w:p>
    <w:p w14:paraId="60717BFD">
      <w:pPr>
        <w:pStyle w:val="7"/>
        <w:keepNext w:val="0"/>
        <w:keepLines w:val="0"/>
        <w:pageBreakBefore w:val="0"/>
        <w:numPr>
          <w:ilvl w:val="0"/>
          <w:numId w:val="0"/>
        </w:numPr>
        <w:kinsoku/>
        <w:wordWrap/>
        <w:overflowPunct/>
        <w:topLinePunct w:val="0"/>
        <w:autoSpaceDE/>
        <w:autoSpaceDN/>
        <w:bidi w:val="0"/>
        <w:spacing w:line="560" w:lineRule="exact"/>
        <w:ind w:firstLine="643" w:firstLineChars="200"/>
        <w:textAlignment w:val="auto"/>
        <w:outlineLvl w:val="9"/>
        <w:rPr>
          <w:rFonts w:hint="eastAsia" w:ascii="仿宋" w:hAnsi="仿宋" w:eastAsia="仿宋" w:cs="仿宋"/>
          <w:b/>
          <w:bCs/>
          <w:color w:val="auto"/>
          <w:sz w:val="32"/>
          <w:szCs w:val="32"/>
          <w:highlight w:val="none"/>
          <w:lang w:val="zh-CN" w:eastAsia="zh-CN"/>
        </w:rPr>
      </w:pPr>
      <w:r>
        <w:rPr>
          <w:rFonts w:hint="eastAsia" w:ascii="仿宋" w:hAnsi="仿宋" w:eastAsia="仿宋" w:cs="仿宋"/>
          <w:b/>
          <w:bCs/>
          <w:color w:val="auto"/>
          <w:sz w:val="32"/>
          <w:szCs w:val="32"/>
          <w:highlight w:val="none"/>
          <w:lang w:val="zh-CN" w:eastAsia="zh-CN"/>
        </w:rPr>
        <w:t>三、部门整体预算绩效管理情况</w:t>
      </w:r>
    </w:p>
    <w:p w14:paraId="1F5027BE">
      <w:pPr>
        <w:pStyle w:val="7"/>
        <w:keepNext w:val="0"/>
        <w:keepLines w:val="0"/>
        <w:pageBreakBefore w:val="0"/>
        <w:numPr>
          <w:ilvl w:val="0"/>
          <w:numId w:val="0"/>
        </w:numPr>
        <w:kinsoku/>
        <w:wordWrap/>
        <w:overflowPunct/>
        <w:topLinePunct w:val="0"/>
        <w:autoSpaceDE/>
        <w:autoSpaceDN/>
        <w:bidi w:val="0"/>
        <w:spacing w:line="560" w:lineRule="exact"/>
        <w:ind w:firstLine="321" w:firstLineChars="1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b/>
          <w:bCs/>
          <w:color w:val="auto"/>
          <w:sz w:val="32"/>
          <w:szCs w:val="32"/>
          <w:highlight w:val="none"/>
          <w:lang w:val="zh-CN" w:eastAsia="zh-CN"/>
        </w:rPr>
        <w:t>（一）部门整体履职绩效分析</w:t>
      </w:r>
      <w:r>
        <w:rPr>
          <w:rFonts w:hint="eastAsia" w:ascii="仿宋" w:hAnsi="仿宋" w:eastAsia="仿宋" w:cs="仿宋"/>
          <w:color w:val="auto"/>
          <w:sz w:val="32"/>
          <w:szCs w:val="32"/>
          <w:highlight w:val="none"/>
          <w:lang w:val="zh-CN" w:eastAsia="zh-CN"/>
        </w:rPr>
        <w:t>。</w:t>
      </w:r>
    </w:p>
    <w:p w14:paraId="67DB0C1B">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1、基本支出</w:t>
      </w:r>
    </w:p>
    <w:p w14:paraId="41640AD5">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2023年度我局的基本支出主要用于机关行政运行支出，基本支出1093.64万元。</w:t>
      </w:r>
    </w:p>
    <w:p w14:paraId="562E99BF">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2023年度“三公”经费年初预算15.64万元，2023年度执行5.37万元。</w:t>
      </w:r>
    </w:p>
    <w:p w14:paraId="222E6F20">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val="zh-CN" w:eastAsia="zh-CN"/>
        </w:rPr>
        <w:t>项目支出</w:t>
      </w:r>
    </w:p>
    <w:p w14:paraId="505DF1E2">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主要用于水利项目前期工作经费、防汛抗旱预警平台、生态下泄监控平台运行及防汛物资储备；白沙河、大渡河城区段河道环境卫生清理劳务费；水资源公报编制费；水利工程质量管理、河长制专项办公经费；水质监测中心运行费；农业水价综合改革和水土保持监测费用等。</w:t>
      </w:r>
    </w:p>
    <w:p w14:paraId="308EBA96">
      <w:pPr>
        <w:pStyle w:val="7"/>
        <w:keepNext w:val="0"/>
        <w:keepLines w:val="0"/>
        <w:pageBreakBefore w:val="0"/>
        <w:numPr>
          <w:ilvl w:val="0"/>
          <w:numId w:val="0"/>
        </w:numPr>
        <w:kinsoku/>
        <w:wordWrap/>
        <w:overflowPunct/>
        <w:topLinePunct w:val="0"/>
        <w:autoSpaceDE/>
        <w:autoSpaceDN/>
        <w:bidi w:val="0"/>
        <w:spacing w:line="560" w:lineRule="exact"/>
        <w:ind w:firstLine="321" w:firstLineChars="100"/>
        <w:textAlignment w:val="auto"/>
        <w:outlineLvl w:val="9"/>
        <w:rPr>
          <w:rFonts w:hint="eastAsia" w:ascii="仿宋" w:hAnsi="仿宋" w:eastAsia="仿宋" w:cs="仿宋"/>
          <w:b/>
          <w:bCs/>
          <w:color w:val="auto"/>
          <w:sz w:val="32"/>
          <w:szCs w:val="32"/>
          <w:highlight w:val="none"/>
          <w:lang w:val="zh-CN" w:eastAsia="zh-CN"/>
        </w:rPr>
      </w:pPr>
      <w:r>
        <w:rPr>
          <w:rFonts w:hint="eastAsia" w:ascii="仿宋" w:hAnsi="仿宋" w:eastAsia="仿宋" w:cs="仿宋"/>
          <w:b/>
          <w:bCs/>
          <w:color w:val="auto"/>
          <w:sz w:val="32"/>
          <w:szCs w:val="32"/>
          <w:highlight w:val="none"/>
          <w:lang w:val="zh-CN" w:eastAsia="zh-CN"/>
        </w:rPr>
        <w:t>（</w:t>
      </w:r>
      <w:r>
        <w:rPr>
          <w:rFonts w:hint="eastAsia" w:ascii="仿宋" w:hAnsi="仿宋" w:eastAsia="仿宋" w:cs="仿宋"/>
          <w:b/>
          <w:bCs/>
          <w:color w:val="auto"/>
          <w:sz w:val="32"/>
          <w:szCs w:val="32"/>
          <w:highlight w:val="none"/>
          <w:lang w:val="en-US" w:eastAsia="zh-CN"/>
        </w:rPr>
        <w:t>二</w:t>
      </w:r>
      <w:r>
        <w:rPr>
          <w:rFonts w:hint="eastAsia" w:ascii="仿宋" w:hAnsi="仿宋" w:eastAsia="仿宋" w:cs="仿宋"/>
          <w:b/>
          <w:bCs/>
          <w:color w:val="auto"/>
          <w:sz w:val="32"/>
          <w:szCs w:val="32"/>
          <w:highlight w:val="none"/>
          <w:lang w:val="zh-CN" w:eastAsia="zh-CN"/>
        </w:rPr>
        <w:t>）特定目标类项目绩效分析。</w:t>
      </w:r>
    </w:p>
    <w:p w14:paraId="56FE93EF">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val="zh-CN" w:eastAsia="zh-CN"/>
        </w:rPr>
        <w:t>整体情况</w:t>
      </w:r>
    </w:p>
    <w:p w14:paraId="4D9EAD84">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川财农〔2022〕183号－关于下达2023年提前批中央和省级水利发展资金的通知（32万元）32万元</w:t>
      </w:r>
    </w:p>
    <w:p w14:paraId="2585CD01">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峨边彝族自治县水务局2023年乡村振兴补助资金项目（省级）100.45万元</w:t>
      </w:r>
    </w:p>
    <w:p w14:paraId="7A9565CE">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峨边彝族自治县水务局2023年乡村振兴补助资金项目（县级）165.6万元</w:t>
      </w:r>
    </w:p>
    <w:p w14:paraId="4FB42E46">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峨边彝族自治县水务局2023年乡村振兴补助资金项目（市级）56万元</w:t>
      </w:r>
    </w:p>
    <w:p w14:paraId="3E3EDCF2">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小型水利项目前期经费40万元</w:t>
      </w:r>
    </w:p>
    <w:p w14:paraId="7CA3F554">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防洪河道保护专项经费20万元</w:t>
      </w:r>
    </w:p>
    <w:p w14:paraId="7F35B49A">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水土资源保护经费75万元</w:t>
      </w:r>
    </w:p>
    <w:p w14:paraId="74334C15">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川财农〔2022〕181号关于提前下达2023年中央大中型水库移民后期扶持资金的通知（移民直补）603.20万元</w:t>
      </w:r>
    </w:p>
    <w:p w14:paraId="0E405F29">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川财农〔2022〕181号关于提前下达2023年中央大中型水库移民后期扶持资金的通知（后扶项目880万元）727.48万元</w:t>
      </w:r>
    </w:p>
    <w:p w14:paraId="553F0C73">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川财农〔2023〕79号－四川省财政厅四川省水利厅关于下达2023年中央大中型水库移民后期扶持资金预算的通知463万元</w:t>
      </w:r>
    </w:p>
    <w:p w14:paraId="10F3E966">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政府批示〔202</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val="zh-CN" w:eastAsia="zh-CN"/>
        </w:rPr>
        <w:t>〕79-80号峨边彝族自治县白沙河、白杨河河湖健康评价37.9万元</w:t>
      </w:r>
    </w:p>
    <w:p w14:paraId="5A6060A6">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政府批示〔2023〕42号关于解决峨边彝族自治县2017年山洪灾害防治非工程措施项目资金的请示59.18万元</w:t>
      </w:r>
    </w:p>
    <w:p w14:paraId="27153814">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2.100万元以上项目：</w:t>
      </w:r>
    </w:p>
    <w:p w14:paraId="31E0642D">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 xml:space="preserve">项目1：峨边彝族自治县水务局2023年乡村振兴补助资金项目（省级）100.45万元 </w:t>
      </w:r>
    </w:p>
    <w:p w14:paraId="165B980C">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项目2：峨边彝族自治县水务局2023年乡村振兴补助资金项目（县级）165.6万元</w:t>
      </w:r>
    </w:p>
    <w:p w14:paraId="33DD8BAC">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项目3：川财农〔2022〕181号关于提前下达2023年中央大中型水库移民后期扶持资金的通知（移民直补）603.20万元</w:t>
      </w:r>
    </w:p>
    <w:p w14:paraId="681D07CA">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项目4：川财农〔2022〕181号关于提前下达2023年中央大中型水库移民后期扶持资金的通知（后扶项目880万元）727.48万元</w:t>
      </w:r>
    </w:p>
    <w:p w14:paraId="4439CE04">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项目5：水川财农〔2023〕79号－四川省财政厅四川省水利厅关于下达2023年中央大中型水库移民后期扶持资金预算的通知463万元</w:t>
      </w:r>
    </w:p>
    <w:p w14:paraId="14C90E0C">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部门绩效目标制定、目标完成、预算编制准确、支出控制、预算动态调整、执行进度、预算完成情况和违规记录等情况：2023年本部门的绩效目标制定、目标完成、预决算编制等均按照县财政局下达的相关文件指标进行了编制，均按相关要求严格执行预算范围内开支，并完成所有预定目标，若人员调离本单位，及时进行了预算动态调整，全年无违规记录。</w:t>
      </w:r>
    </w:p>
    <w:p w14:paraId="371F834D">
      <w:pPr>
        <w:pStyle w:val="7"/>
        <w:keepNext w:val="0"/>
        <w:keepLines w:val="0"/>
        <w:pageBreakBefore w:val="0"/>
        <w:numPr>
          <w:ilvl w:val="0"/>
          <w:numId w:val="0"/>
        </w:numPr>
        <w:kinsoku/>
        <w:wordWrap/>
        <w:overflowPunct/>
        <w:topLinePunct w:val="0"/>
        <w:autoSpaceDE/>
        <w:autoSpaceDN/>
        <w:bidi w:val="0"/>
        <w:spacing w:line="560" w:lineRule="exact"/>
        <w:ind w:firstLine="643" w:firstLineChars="200"/>
        <w:textAlignment w:val="auto"/>
        <w:outlineLvl w:val="9"/>
        <w:rPr>
          <w:rFonts w:hint="eastAsia" w:ascii="仿宋" w:hAnsi="仿宋" w:eastAsia="仿宋" w:cs="仿宋"/>
          <w:b/>
          <w:bCs/>
          <w:color w:val="auto"/>
          <w:sz w:val="32"/>
          <w:szCs w:val="32"/>
          <w:highlight w:val="none"/>
          <w:lang w:val="zh-CN" w:eastAsia="zh-CN"/>
        </w:rPr>
      </w:pPr>
      <w:r>
        <w:rPr>
          <w:rFonts w:hint="eastAsia" w:ascii="仿宋" w:hAnsi="仿宋" w:eastAsia="仿宋" w:cs="仿宋"/>
          <w:b/>
          <w:bCs/>
          <w:color w:val="auto"/>
          <w:sz w:val="32"/>
          <w:szCs w:val="32"/>
          <w:highlight w:val="none"/>
          <w:lang w:val="zh-CN" w:eastAsia="zh-CN"/>
        </w:rPr>
        <w:t>（三）结果应用情况。</w:t>
      </w:r>
    </w:p>
    <w:p w14:paraId="2B6ACC9D">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部门自评质量、绩效目标公开和自评公开、评价结果整改和应用结果反馈等情况：本单位按照财政局下达的预算指标，严格执行预算内开支，保障了单位正常运转。本部门的预决算编制均按照县财政局下达的相关文件指标进行了编制，按时完成编制工作，决算报表和说明均在峨边彝族自治县县政府门户网站公开。绩效目标也按照有关文件如实进行了填报。专项预算也提前进行了规划和筹划。</w:t>
      </w:r>
    </w:p>
    <w:p w14:paraId="4E67EFB4">
      <w:pPr>
        <w:pStyle w:val="7"/>
        <w:keepNext w:val="0"/>
        <w:keepLines w:val="0"/>
        <w:pageBreakBefore w:val="0"/>
        <w:numPr>
          <w:ilvl w:val="0"/>
          <w:numId w:val="0"/>
        </w:numPr>
        <w:kinsoku/>
        <w:wordWrap/>
        <w:overflowPunct/>
        <w:topLinePunct w:val="0"/>
        <w:autoSpaceDE/>
        <w:autoSpaceDN/>
        <w:bidi w:val="0"/>
        <w:spacing w:line="560" w:lineRule="exact"/>
        <w:ind w:firstLine="643" w:firstLineChars="200"/>
        <w:textAlignment w:val="auto"/>
        <w:outlineLvl w:val="9"/>
        <w:rPr>
          <w:rFonts w:hint="eastAsia" w:ascii="仿宋" w:hAnsi="仿宋" w:eastAsia="仿宋" w:cs="仿宋"/>
          <w:b/>
          <w:bCs/>
          <w:color w:val="auto"/>
          <w:sz w:val="32"/>
          <w:szCs w:val="32"/>
          <w:highlight w:val="none"/>
          <w:lang w:val="zh-CN" w:eastAsia="zh-CN"/>
        </w:rPr>
      </w:pPr>
      <w:r>
        <w:rPr>
          <w:rFonts w:hint="eastAsia" w:ascii="仿宋" w:hAnsi="仿宋" w:eastAsia="仿宋" w:cs="仿宋"/>
          <w:b/>
          <w:bCs/>
          <w:color w:val="auto"/>
          <w:sz w:val="32"/>
          <w:szCs w:val="32"/>
          <w:highlight w:val="none"/>
          <w:lang w:val="zh-CN" w:eastAsia="zh-CN"/>
        </w:rPr>
        <w:t>四、评价结论及建议</w:t>
      </w:r>
    </w:p>
    <w:p w14:paraId="7604CAC3">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（一）评价结论。</w:t>
      </w:r>
    </w:p>
    <w:p w14:paraId="63E668EB">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本部门按照县级部门预算编制通知和有关要求，按时完成基础工作，按时提交部门“一上”数据；在财政部门批复日内向社会公开本部门的“三公”经费、机关运行经费的安排、使用情况；本部门的预算执行都达到了执行进度；本单位的财务制度健全，制度执行严格，会计核算符合财政局的相关规定，资金达到了专款专用，开支标准合理、合法，自评得分98分。</w:t>
      </w:r>
    </w:p>
    <w:p w14:paraId="65E989B9">
      <w:pPr>
        <w:pStyle w:val="7"/>
        <w:keepNext w:val="0"/>
        <w:keepLines w:val="0"/>
        <w:pageBreakBefore w:val="0"/>
        <w:numPr>
          <w:ilvl w:val="0"/>
          <w:numId w:val="0"/>
        </w:numPr>
        <w:kinsoku/>
        <w:wordWrap/>
        <w:overflowPunct/>
        <w:topLinePunct w:val="0"/>
        <w:autoSpaceDE/>
        <w:autoSpaceDN/>
        <w:bidi w:val="0"/>
        <w:spacing w:line="560" w:lineRule="exact"/>
        <w:ind w:firstLine="643"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b/>
          <w:bCs/>
          <w:color w:val="auto"/>
          <w:sz w:val="32"/>
          <w:szCs w:val="32"/>
          <w:highlight w:val="none"/>
          <w:lang w:val="zh-CN" w:eastAsia="zh-CN"/>
        </w:rPr>
        <w:t>（二）存在问题。</w:t>
      </w:r>
    </w:p>
    <w:p w14:paraId="22895983">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预算执行过程中，由于预算一体化系统等多方面的原因，存在预算完成率略低的问题。</w:t>
      </w:r>
    </w:p>
    <w:p w14:paraId="6DBCDCF7">
      <w:pPr>
        <w:pStyle w:val="7"/>
        <w:keepNext w:val="0"/>
        <w:keepLines w:val="0"/>
        <w:pageBreakBefore w:val="0"/>
        <w:numPr>
          <w:ilvl w:val="0"/>
          <w:numId w:val="0"/>
        </w:numPr>
        <w:kinsoku/>
        <w:wordWrap/>
        <w:overflowPunct/>
        <w:topLinePunct w:val="0"/>
        <w:autoSpaceDE/>
        <w:autoSpaceDN/>
        <w:bidi w:val="0"/>
        <w:spacing w:line="560" w:lineRule="exact"/>
        <w:ind w:firstLine="643"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b/>
          <w:bCs/>
          <w:color w:val="auto"/>
          <w:sz w:val="32"/>
          <w:szCs w:val="32"/>
          <w:highlight w:val="none"/>
          <w:lang w:val="zh-CN" w:eastAsia="zh-CN"/>
        </w:rPr>
        <w:t>（</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lang w:val="zh-CN" w:eastAsia="zh-CN"/>
        </w:rPr>
        <w:t>）改进建议</w:t>
      </w:r>
      <w:r>
        <w:rPr>
          <w:rFonts w:hint="eastAsia" w:ascii="仿宋" w:hAnsi="仿宋" w:eastAsia="仿宋" w:cs="仿宋"/>
          <w:color w:val="auto"/>
          <w:sz w:val="32"/>
          <w:szCs w:val="32"/>
          <w:highlight w:val="none"/>
          <w:lang w:val="zh-CN" w:eastAsia="zh-CN"/>
        </w:rPr>
        <w:t>。</w:t>
      </w:r>
    </w:p>
    <w:p w14:paraId="77B66DE2">
      <w:pPr>
        <w:pStyle w:val="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outlineLvl w:val="9"/>
        <w:rPr>
          <w:rFonts w:hint="eastAsia" w:ascii="仿宋" w:hAnsi="仿宋" w:eastAsia="仿宋" w:cs="仿宋"/>
          <w:color w:val="auto"/>
          <w:sz w:val="32"/>
          <w:szCs w:val="32"/>
          <w:highlight w:val="none"/>
          <w:lang w:val="zh-CN" w:eastAsia="zh-CN"/>
        </w:rPr>
      </w:pPr>
      <w:r>
        <w:rPr>
          <w:rFonts w:hint="eastAsia" w:ascii="仿宋" w:hAnsi="仿宋" w:eastAsia="仿宋" w:cs="仿宋"/>
          <w:color w:val="auto"/>
          <w:sz w:val="32"/>
          <w:szCs w:val="32"/>
          <w:highlight w:val="none"/>
          <w:lang w:val="zh-CN" w:eastAsia="zh-CN"/>
        </w:rPr>
        <w:t>建议优化预算一体化系统，组织财务人员系统培训预算一体化系统的操作。</w:t>
      </w:r>
    </w:p>
    <w:p w14:paraId="515EA497">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hAnsi="Times New Roman" w:cs="Times New Roman"/>
          <w:color w:val="auto"/>
          <w:sz w:val="32"/>
          <w:szCs w:val="32"/>
          <w:highlight w:val="none"/>
          <w:lang w:val="zh-CN" w:eastAsia="zh-CN"/>
        </w:rPr>
      </w:pPr>
    </w:p>
    <w:p w14:paraId="54145B05">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hAnsi="Times New Roman" w:cs="Times New Roman"/>
          <w:color w:val="auto"/>
          <w:sz w:val="32"/>
          <w:szCs w:val="32"/>
          <w:highlight w:val="none"/>
          <w:lang w:val="zh-CN" w:eastAsia="zh-CN"/>
        </w:rPr>
      </w:pPr>
    </w:p>
    <w:p w14:paraId="095931B3">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hAnsi="Times New Roman" w:cs="Times New Roman"/>
          <w:color w:val="auto"/>
          <w:sz w:val="32"/>
          <w:szCs w:val="32"/>
          <w:highlight w:val="none"/>
          <w:lang w:val="zh-CN" w:eastAsia="zh-CN"/>
        </w:rPr>
      </w:pPr>
    </w:p>
    <w:p w14:paraId="61DB5A13">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hAnsi="Times New Roman" w:cs="Times New Roman"/>
          <w:color w:val="auto"/>
          <w:sz w:val="32"/>
          <w:szCs w:val="32"/>
          <w:highlight w:val="none"/>
          <w:lang w:val="zh-CN" w:eastAsia="zh-CN"/>
        </w:rPr>
      </w:pPr>
    </w:p>
    <w:p w14:paraId="0DBC0DB9">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hAnsi="Times New Roman" w:cs="Times New Roman"/>
          <w:color w:val="auto"/>
          <w:sz w:val="32"/>
          <w:szCs w:val="32"/>
          <w:highlight w:val="none"/>
          <w:lang w:val="zh-CN" w:eastAsia="zh-CN"/>
        </w:rPr>
      </w:pPr>
    </w:p>
    <w:p w14:paraId="2CE112F9">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hAnsi="Times New Roman" w:cs="Times New Roman"/>
          <w:color w:val="auto"/>
          <w:sz w:val="32"/>
          <w:szCs w:val="32"/>
          <w:highlight w:val="none"/>
          <w:lang w:val="zh-CN" w:eastAsia="zh-CN"/>
        </w:rPr>
      </w:pPr>
    </w:p>
    <w:p w14:paraId="5171FE99">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hAnsi="Times New Roman" w:cs="Times New Roman"/>
          <w:color w:val="auto"/>
          <w:sz w:val="32"/>
          <w:szCs w:val="32"/>
          <w:highlight w:val="none"/>
          <w:lang w:val="zh-CN" w:eastAsia="zh-CN"/>
        </w:rPr>
      </w:pPr>
    </w:p>
    <w:p w14:paraId="064B7409">
      <w:pPr>
        <w:pStyle w:val="7"/>
        <w:keepNext w:val="0"/>
        <w:keepLines w:val="0"/>
        <w:pageBreakBefore w:val="0"/>
        <w:numPr>
          <w:ilvl w:val="0"/>
          <w:numId w:val="0"/>
        </w:numPr>
        <w:kinsoku/>
        <w:wordWrap/>
        <w:overflowPunct/>
        <w:topLinePunct w:val="0"/>
        <w:autoSpaceDE/>
        <w:autoSpaceDN/>
        <w:bidi w:val="0"/>
        <w:spacing w:after="0" w:line="240" w:lineRule="auto"/>
        <w:jc w:val="left"/>
        <w:textAlignment w:val="auto"/>
        <w:outlineLvl w:val="9"/>
        <w:rPr>
          <w:rFonts w:hint="eastAsia" w:hAnsi="Times New Roman" w:cs="Times New Roman"/>
          <w:color w:val="auto"/>
          <w:sz w:val="32"/>
          <w:szCs w:val="32"/>
          <w:highlight w:val="none"/>
          <w:lang w:val="zh-CN" w:eastAsia="zh-CN"/>
        </w:rPr>
      </w:pPr>
    </w:p>
    <w:p w14:paraId="2E349234">
      <w:pPr>
        <w:pStyle w:val="7"/>
        <w:keepNext w:val="0"/>
        <w:keepLines w:val="0"/>
        <w:pageBreakBefore w:val="0"/>
        <w:numPr>
          <w:ilvl w:val="0"/>
          <w:numId w:val="0"/>
        </w:numPr>
        <w:kinsoku/>
        <w:wordWrap/>
        <w:overflowPunct/>
        <w:topLinePunct w:val="0"/>
        <w:autoSpaceDE/>
        <w:autoSpaceDN/>
        <w:bidi w:val="0"/>
        <w:spacing w:after="0" w:line="240" w:lineRule="auto"/>
        <w:jc w:val="left"/>
        <w:textAlignment w:val="auto"/>
        <w:outlineLvl w:val="9"/>
        <w:rPr>
          <w:rFonts w:hint="eastAsia" w:hAnsi="Times New Roman" w:cs="Times New Roman"/>
          <w:color w:val="auto"/>
          <w:sz w:val="32"/>
          <w:szCs w:val="32"/>
          <w:highlight w:val="none"/>
          <w:lang w:val="zh-CN" w:eastAsia="zh-CN"/>
        </w:rPr>
      </w:pPr>
      <w:r>
        <w:rPr>
          <w:rFonts w:hint="eastAsia" w:hAnsi="Times New Roman" w:cs="Times New Roman"/>
          <w:color w:val="auto"/>
          <w:sz w:val="32"/>
          <w:szCs w:val="32"/>
          <w:highlight w:val="none"/>
          <w:lang w:val="zh-CN" w:eastAsia="zh-CN"/>
        </w:rPr>
        <w:drawing>
          <wp:inline distT="0" distB="0" distL="114300" distR="114300">
            <wp:extent cx="5267960" cy="7546975"/>
            <wp:effectExtent l="0" t="0" r="8890" b="15875"/>
            <wp:docPr id="8" name="图片 8" descr="2023-10-27-09-45-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3-10-27-09-45-19-01"/>
                    <pic:cNvPicPr>
                      <a:picLocks noChangeAspect="1"/>
                    </pic:cNvPicPr>
                  </pic:nvPicPr>
                  <pic:blipFill>
                    <a:blip r:embed="rId13"/>
                    <a:stretch>
                      <a:fillRect/>
                    </a:stretch>
                  </pic:blipFill>
                  <pic:spPr>
                    <a:xfrm>
                      <a:off x="0" y="0"/>
                      <a:ext cx="5267960" cy="7546975"/>
                    </a:xfrm>
                    <a:prstGeom prst="rect">
                      <a:avLst/>
                    </a:prstGeom>
                  </pic:spPr>
                </pic:pic>
              </a:graphicData>
            </a:graphic>
          </wp:inline>
        </w:drawing>
      </w:r>
    </w:p>
    <w:p w14:paraId="45D01A13">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hAnsi="Times New Roman" w:cs="Times New Roman"/>
          <w:color w:val="auto"/>
          <w:sz w:val="32"/>
          <w:szCs w:val="32"/>
          <w:highlight w:val="none"/>
          <w:lang w:val="zh-CN" w:eastAsia="zh-CN"/>
        </w:rPr>
      </w:pPr>
    </w:p>
    <w:p w14:paraId="0FE4659C">
      <w:pPr>
        <w:pStyle w:val="7"/>
        <w:keepNext w:val="0"/>
        <w:keepLines w:val="0"/>
        <w:pageBreakBefore w:val="0"/>
        <w:numPr>
          <w:ilvl w:val="0"/>
          <w:numId w:val="0"/>
        </w:numPr>
        <w:kinsoku/>
        <w:wordWrap/>
        <w:overflowPunct/>
        <w:topLinePunct w:val="0"/>
        <w:autoSpaceDE/>
        <w:autoSpaceDN/>
        <w:bidi w:val="0"/>
        <w:spacing w:line="560" w:lineRule="exact"/>
        <w:textAlignment w:val="auto"/>
        <w:outlineLvl w:val="9"/>
        <w:rPr>
          <w:rFonts w:hint="eastAsia" w:hAnsi="Times New Roman" w:cs="Times New Roman"/>
          <w:color w:val="auto"/>
          <w:sz w:val="32"/>
          <w:szCs w:val="32"/>
          <w:highlight w:val="none"/>
          <w:lang w:val="zh-CN" w:eastAsia="zh-CN"/>
        </w:rPr>
      </w:pPr>
    </w:p>
    <w:p w14:paraId="6E1C3C0C">
      <w:pPr>
        <w:pStyle w:val="5"/>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2：</w:t>
      </w:r>
    </w:p>
    <w:p w14:paraId="7D2B5A5E">
      <w:pPr>
        <w:pStyle w:val="25"/>
        <w:spacing w:line="600" w:lineRule="exact"/>
        <w:jc w:val="center"/>
        <w:outlineLvl w:val="9"/>
        <w:rPr>
          <w:rFonts w:hint="eastAsia" w:ascii="方正小标宋简体" w:hAnsi="宋体" w:eastAsia="方正小标宋简体"/>
          <w:sz w:val="44"/>
          <w:szCs w:val="44"/>
        </w:rPr>
      </w:pPr>
      <w:r>
        <w:rPr>
          <w:rFonts w:hint="eastAsia" w:ascii="方正小标宋简体" w:hAnsi="方正小标宋简体" w:eastAsia="方正小标宋简体" w:cs="方正小标宋简体"/>
          <w:sz w:val="44"/>
          <w:szCs w:val="44"/>
        </w:rPr>
        <w:t>川财农</w:t>
      </w:r>
      <w:r>
        <w:rPr>
          <w:rFonts w:hint="eastAsia" w:ascii="方正小标宋简体" w:hAnsi="方正小标宋简体" w:eastAsia="方正小标宋简体" w:cs="方正小标宋简体"/>
          <w:sz w:val="44"/>
          <w:szCs w:val="44"/>
          <w:lang w:eastAsia="zh-CN"/>
        </w:rPr>
        <w:t>〔2022〕181号</w:t>
      </w:r>
      <w:r>
        <w:rPr>
          <w:rFonts w:hint="eastAsia" w:ascii="方正小标宋简体" w:hAnsi="方正小标宋简体" w:eastAsia="方正小标宋简体" w:cs="方正小标宋简体"/>
          <w:sz w:val="44"/>
          <w:szCs w:val="44"/>
        </w:rPr>
        <w:t>关于提前下达2023年中央大中型水库移民后期扶持资金的通知（</w:t>
      </w:r>
      <w:r>
        <w:rPr>
          <w:rFonts w:hint="eastAsia" w:ascii="方正小标宋简体" w:hAnsi="方正小标宋简体" w:eastAsia="方正小标宋简体" w:cs="方正小标宋简体"/>
          <w:sz w:val="44"/>
          <w:szCs w:val="44"/>
          <w:lang w:val="en-US" w:eastAsia="zh-CN"/>
        </w:rPr>
        <w:t>后扶项目880万元</w:t>
      </w:r>
      <w:r>
        <w:rPr>
          <w:rFonts w:hint="eastAsia" w:ascii="方正小标宋简体" w:hAnsi="方正小标宋简体" w:eastAsia="方正小标宋简体" w:cs="方正小标宋简体"/>
          <w:sz w:val="44"/>
          <w:szCs w:val="44"/>
        </w:rPr>
        <w:t>）</w:t>
      </w:r>
      <w:r>
        <w:rPr>
          <w:rFonts w:hint="eastAsia" w:ascii="方正小标宋简体" w:hAnsi="宋体" w:eastAsia="方正小标宋简体"/>
          <w:sz w:val="44"/>
          <w:szCs w:val="44"/>
        </w:rPr>
        <w:t>项目支出绩效</w:t>
      </w:r>
    </w:p>
    <w:p w14:paraId="0931AD2A">
      <w:pPr>
        <w:pStyle w:val="25"/>
        <w:spacing w:line="600" w:lineRule="exact"/>
        <w:jc w:val="center"/>
        <w:outlineLvl w:val="9"/>
        <w:rPr>
          <w:rFonts w:ascii="方正小标宋简体" w:hAnsi="宋体" w:eastAsia="方正小标宋简体"/>
          <w:sz w:val="44"/>
          <w:szCs w:val="44"/>
        </w:rPr>
      </w:pPr>
      <w:r>
        <w:rPr>
          <w:rFonts w:hint="eastAsia" w:ascii="方正小标宋简体" w:hAnsi="宋体" w:eastAsia="方正小标宋简体"/>
          <w:sz w:val="44"/>
          <w:szCs w:val="44"/>
        </w:rPr>
        <w:t>自评报告</w:t>
      </w:r>
    </w:p>
    <w:p w14:paraId="15740D81">
      <w:pPr>
        <w:pStyle w:val="25"/>
        <w:spacing w:line="560" w:lineRule="exact"/>
        <w:ind w:firstLine="640"/>
        <w:jc w:val="center"/>
        <w:outlineLvl w:val="9"/>
        <w:rPr>
          <w:rFonts w:ascii="宋体" w:hAnsi="宋体"/>
          <w:color w:val="auto"/>
          <w:kern w:val="2"/>
          <w:sz w:val="32"/>
          <w:szCs w:val="32"/>
        </w:rPr>
      </w:pPr>
    </w:p>
    <w:p w14:paraId="400A9390">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一、</w:t>
      </w:r>
      <w:r>
        <w:rPr>
          <w:rFonts w:hint="eastAsia" w:ascii="仿宋" w:hAnsi="仿宋" w:eastAsia="仿宋" w:cs="仿宋"/>
          <w:sz w:val="32"/>
          <w:szCs w:val="32"/>
          <w:lang w:val="zh-CN"/>
        </w:rPr>
        <w:t>项目概况</w:t>
      </w:r>
    </w:p>
    <w:p w14:paraId="5F90B18C">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722BE42F">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highlight w:val="none"/>
          <w:lang w:val="en-US" w:eastAsia="zh-CN"/>
        </w:rPr>
        <w:t>四川省财政厅提前下达2023年度中央大中型水库移民后期扶持项目资金（川财农〔2022〕181号）下达直发直补880万元</w:t>
      </w:r>
      <w:r>
        <w:rPr>
          <w:rFonts w:hint="eastAsia" w:ascii="仿宋" w:hAnsi="仿宋" w:eastAsia="仿宋" w:cs="仿宋"/>
          <w:sz w:val="32"/>
          <w:szCs w:val="32"/>
          <w:lang w:val="zh-CN"/>
        </w:rPr>
        <w:t>。</w:t>
      </w:r>
    </w:p>
    <w:p w14:paraId="554D3B20">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4DF00C49">
      <w:pPr>
        <w:adjustRightInd w:val="0"/>
        <w:snapToGrid w:val="0"/>
        <w:spacing w:line="560" w:lineRule="exact"/>
        <w:ind w:firstLine="720"/>
        <w:outlineLvl w:val="9"/>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sz w:val="32"/>
          <w:szCs w:val="32"/>
          <w:lang w:val="zh-CN"/>
        </w:rPr>
        <w:t>完成2023年移民项目：</w:t>
      </w:r>
      <w:r>
        <w:rPr>
          <w:rFonts w:hint="eastAsia" w:ascii="仿宋" w:hAnsi="仿宋" w:eastAsia="仿宋" w:cs="仿宋"/>
          <w:sz w:val="32"/>
          <w:szCs w:val="32"/>
          <w:highlight w:val="none"/>
          <w:lang w:val="en-US" w:eastAsia="zh-CN"/>
        </w:rPr>
        <w:t>二水厂二期管网建设项目、</w:t>
      </w:r>
      <w:r>
        <w:rPr>
          <w:rFonts w:hint="eastAsia" w:ascii="仿宋" w:hAnsi="仿宋" w:eastAsia="仿宋" w:cs="仿宋"/>
          <w:b w:val="0"/>
          <w:bCs w:val="0"/>
          <w:kern w:val="2"/>
          <w:sz w:val="32"/>
          <w:szCs w:val="32"/>
          <w:highlight w:val="none"/>
          <w:lang w:val="en-US" w:eastAsia="zh-CN" w:bidi="ar-SA"/>
        </w:rPr>
        <w:t>红旗镇上云村短山子通组加宽硬化建设项目、沙坪镇六丰村危桥改造项目、沙坪镇河沟村葡萄园基地产业路建设、毛坪镇云心村产业路建设项目、新场乡羊子岩村断头路建设项目、</w:t>
      </w:r>
    </w:p>
    <w:p w14:paraId="4BB0C854">
      <w:pPr>
        <w:adjustRightInd w:val="0"/>
        <w:snapToGrid w:val="0"/>
        <w:spacing w:line="560" w:lineRule="exact"/>
        <w:outlineLvl w:val="9"/>
        <w:rPr>
          <w:rFonts w:hint="eastAsia" w:ascii="仿宋" w:hAnsi="仿宋" w:eastAsia="仿宋" w:cs="仿宋"/>
          <w:sz w:val="32"/>
          <w:szCs w:val="32"/>
          <w:lang w:val="zh-CN"/>
        </w:rPr>
      </w:pPr>
      <w:r>
        <w:rPr>
          <w:rFonts w:hint="eastAsia" w:ascii="仿宋" w:hAnsi="仿宋" w:eastAsia="仿宋" w:cs="仿宋"/>
          <w:b w:val="0"/>
          <w:bCs w:val="0"/>
          <w:kern w:val="2"/>
          <w:sz w:val="32"/>
          <w:szCs w:val="32"/>
          <w:highlight w:val="none"/>
          <w:lang w:val="en-US" w:eastAsia="zh-CN" w:bidi="ar-SA"/>
        </w:rPr>
        <w:t>原共和乡场镇提升项目、宜坪乡桐花村防洪沟建设项目、宜坪乡庙岗村、桐花村饮水提升项目、红旗镇四坪村路面加宽项目</w:t>
      </w:r>
      <w:r>
        <w:rPr>
          <w:rFonts w:hint="eastAsia" w:ascii="仿宋" w:hAnsi="仿宋" w:eastAsia="仿宋" w:cs="仿宋"/>
          <w:sz w:val="32"/>
          <w:szCs w:val="32"/>
          <w:lang w:val="zh-CN"/>
        </w:rPr>
        <w:t>。</w:t>
      </w:r>
    </w:p>
    <w:p w14:paraId="3930A6B7">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（三）项目资金申报相符性。</w:t>
      </w:r>
    </w:p>
    <w:p w14:paraId="186CFC73">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highlight w:val="none"/>
          <w:lang w:val="en-US" w:eastAsia="zh-CN"/>
        </w:rPr>
        <w:t>四川省财政厅提前下达2023年度中央大中型水库移民后期扶持项目资金（川财农〔2022〕181号）下达直发直补880万元</w:t>
      </w:r>
      <w:r>
        <w:rPr>
          <w:rFonts w:hint="eastAsia" w:ascii="仿宋" w:hAnsi="仿宋" w:eastAsia="仿宋" w:cs="仿宋"/>
          <w:sz w:val="32"/>
          <w:szCs w:val="32"/>
          <w:lang w:val="zh-CN"/>
        </w:rPr>
        <w:t>。项目申报内容与具体实施内容相符。</w:t>
      </w:r>
    </w:p>
    <w:p w14:paraId="1F996150">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二、项目实施及管理情况</w:t>
      </w:r>
    </w:p>
    <w:p w14:paraId="57DAFB48">
      <w:pPr>
        <w:adjustRightInd w:val="0"/>
        <w:snapToGrid w:val="0"/>
        <w:spacing w:line="560" w:lineRule="exact"/>
        <w:ind w:firstLine="720"/>
        <w:outlineLvl w:val="9"/>
        <w:rPr>
          <w:rFonts w:hint="eastAsia" w:ascii="仿宋" w:hAnsi="仿宋" w:eastAsia="仿宋" w:cs="仿宋"/>
          <w:b/>
          <w:color w:val="auto"/>
          <w:sz w:val="32"/>
          <w:szCs w:val="32"/>
          <w:lang w:val="zh-CN"/>
        </w:rPr>
      </w:pPr>
      <w:r>
        <w:rPr>
          <w:rFonts w:hint="eastAsia" w:ascii="仿宋" w:hAnsi="仿宋" w:eastAsia="仿宋" w:cs="仿宋"/>
          <w:color w:val="auto"/>
          <w:sz w:val="32"/>
          <w:szCs w:val="32"/>
          <w:lang w:val="zh-CN"/>
        </w:rPr>
        <w:tab/>
      </w:r>
      <w:r>
        <w:rPr>
          <w:rFonts w:hint="eastAsia" w:ascii="仿宋" w:hAnsi="仿宋" w:eastAsia="仿宋" w:cs="仿宋"/>
          <w:b/>
          <w:color w:val="auto"/>
          <w:sz w:val="32"/>
          <w:szCs w:val="32"/>
          <w:lang w:val="zh-CN"/>
        </w:rPr>
        <w:t>（一）资金计划、到位及使用情况。</w:t>
      </w:r>
    </w:p>
    <w:p w14:paraId="6AF4C46F">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1．资金计划及时到位。截至2023年</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lang w:val="en-US" w:eastAsia="zh-CN"/>
        </w:rPr>
        <w:t>31</w:t>
      </w:r>
      <w:r>
        <w:rPr>
          <w:rFonts w:hint="eastAsia" w:ascii="仿宋" w:hAnsi="仿宋" w:eastAsia="仿宋" w:cs="仿宋"/>
          <w:color w:val="auto"/>
          <w:sz w:val="32"/>
          <w:szCs w:val="32"/>
          <w:lang w:val="zh-CN"/>
        </w:rPr>
        <w:t>日，该项目资金到位</w:t>
      </w:r>
      <w:r>
        <w:rPr>
          <w:rFonts w:hint="eastAsia" w:ascii="仿宋" w:hAnsi="仿宋" w:eastAsia="仿宋" w:cs="仿宋"/>
          <w:color w:val="auto"/>
          <w:sz w:val="32"/>
          <w:szCs w:val="32"/>
          <w:lang w:val="en-US" w:eastAsia="zh-CN"/>
        </w:rPr>
        <w:t>880</w:t>
      </w:r>
      <w:r>
        <w:rPr>
          <w:rFonts w:hint="eastAsia" w:ascii="仿宋" w:hAnsi="仿宋" w:eastAsia="仿宋" w:cs="仿宋"/>
          <w:color w:val="auto"/>
          <w:sz w:val="32"/>
          <w:szCs w:val="32"/>
          <w:lang w:val="zh-CN"/>
        </w:rPr>
        <w:t>万元，资金到位情况与资金计划进行比对，资金到位率100%、到位及时。</w:t>
      </w:r>
    </w:p>
    <w:p w14:paraId="52D828D6">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2．资金使用。</w:t>
      </w:r>
    </w:p>
    <w:p w14:paraId="12B3A443">
      <w:pPr>
        <w:adjustRightInd w:val="0"/>
        <w:snapToGrid w:val="0"/>
        <w:spacing w:line="560" w:lineRule="exact"/>
        <w:ind w:firstLine="720"/>
        <w:outlineLvl w:val="9"/>
        <w:rPr>
          <w:rFonts w:hint="eastAsia" w:ascii="仿宋" w:hAnsi="仿宋" w:eastAsia="仿宋" w:cs="仿宋"/>
          <w:color w:val="FF0000"/>
          <w:sz w:val="32"/>
          <w:szCs w:val="32"/>
          <w:lang w:val="zh-CN"/>
        </w:rPr>
      </w:pPr>
      <w:r>
        <w:rPr>
          <w:rFonts w:hint="eastAsia" w:ascii="仿宋" w:hAnsi="仿宋" w:eastAsia="仿宋" w:cs="仿宋"/>
          <w:color w:val="auto"/>
          <w:sz w:val="32"/>
          <w:szCs w:val="32"/>
          <w:lang w:val="en-US" w:eastAsia="zh-CN"/>
        </w:rPr>
        <w:t>截至2023年12月31日支付二水厂二期、城乡供水一张网宜坪乡庙岗、桐花饮水提升工程、沙坪镇万漩场镇街道整治项目、毛坪镇恒心村李子基地产业路、杨村乡四坪村（土地塘至梨儿岗）同组公路、宜坪乡桐花村排水沟项目工程款727.4755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资金支付83%，未支付完成原因是部分项目验收和结算审计中</w:t>
      </w:r>
      <w:r>
        <w:rPr>
          <w:rFonts w:hint="eastAsia" w:ascii="仿宋" w:hAnsi="仿宋" w:eastAsia="仿宋" w:cs="仿宋"/>
          <w:color w:val="auto"/>
          <w:sz w:val="32"/>
          <w:szCs w:val="32"/>
          <w:lang w:val="zh-CN"/>
        </w:rPr>
        <w:t>。</w:t>
      </w:r>
    </w:p>
    <w:p w14:paraId="65100804">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（二）项目财务管理情况。</w:t>
      </w:r>
    </w:p>
    <w:p w14:paraId="02D0314E">
      <w:pPr>
        <w:adjustRightInd w:val="0"/>
        <w:snapToGrid w:val="0"/>
        <w:spacing w:line="600" w:lineRule="exact"/>
        <w:ind w:firstLine="720"/>
        <w:outlineLvl w:val="9"/>
        <w:rPr>
          <w:rFonts w:hint="eastAsia" w:ascii="仿宋" w:hAnsi="仿宋" w:eastAsia="仿宋" w:cs="仿宋"/>
          <w:color w:val="000000"/>
          <w:sz w:val="32"/>
          <w:szCs w:val="32"/>
          <w:lang w:val="zh-CN"/>
        </w:rPr>
      </w:pPr>
      <w:r>
        <w:rPr>
          <w:rFonts w:hint="eastAsia" w:ascii="仿宋" w:hAnsi="仿宋" w:eastAsia="仿宋" w:cs="仿宋"/>
          <w:color w:val="000000"/>
          <w:sz w:val="32"/>
          <w:szCs w:val="32"/>
          <w:lang w:val="zh-CN"/>
        </w:rPr>
        <w:t>该项目资金严格按照财经管理制度规定使用，财务处理及时、规范，资料齐全、归档及时，无</w:t>
      </w:r>
      <w:r>
        <w:rPr>
          <w:rFonts w:hint="eastAsia" w:ascii="仿宋" w:hAnsi="仿宋" w:eastAsia="仿宋" w:cs="仿宋"/>
          <w:color w:val="000000"/>
          <w:kern w:val="0"/>
          <w:sz w:val="32"/>
          <w:szCs w:val="32"/>
          <w:shd w:val="clear" w:color="auto" w:fill="FFFFFF"/>
          <w:lang w:val="zh-CN"/>
        </w:rPr>
        <w:t>截留、挤占、挪用、套取、转移和浪费的现象，无任何违规记录。</w:t>
      </w:r>
    </w:p>
    <w:p w14:paraId="76EEAD7B">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（三）项目组织实施情况。</w:t>
      </w:r>
    </w:p>
    <w:p w14:paraId="0AAC3D7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县水务局、县财政局联合向峨边彝族自治县人民政府报审《关于审定印发峨边彝族自治县2023年度大中型水库移民后期扶持项目计划方案》的请示（峨水发〔2023〕27号）。经峨边彝族自治县政府常务会议研究同意印发《峨边彝族自治县人民政府办公室关于印发峨边彝族自治县2023年度大中型水库移民后期扶持项目计划方案的通知》（峨边府办函〔2023〕15号）。要求相关乡镇加强资金项目管理、规范组织实施、鼓励村民自建，并明确提出项目建设要求。</w:t>
      </w:r>
    </w:p>
    <w:p w14:paraId="3A0295DE">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三、项目绩效情况</w:t>
      </w:r>
      <w:r>
        <w:rPr>
          <w:rFonts w:hint="eastAsia" w:ascii="仿宋" w:hAnsi="仿宋" w:eastAsia="仿宋" w:cs="仿宋"/>
          <w:sz w:val="32"/>
          <w:szCs w:val="32"/>
          <w:lang w:val="zh-CN"/>
        </w:rPr>
        <w:tab/>
      </w:r>
    </w:p>
    <w:p w14:paraId="207AE285">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09043361">
      <w:pPr>
        <w:adjustRightInd w:val="0"/>
        <w:snapToGrid w:val="0"/>
        <w:spacing w:line="560" w:lineRule="exact"/>
        <w:ind w:firstLine="720"/>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1.二水厂二期管网建设项目130.8211万元建设中</w:t>
      </w:r>
    </w:p>
    <w:p w14:paraId="33968B48">
      <w:pPr>
        <w:adjustRightInd w:val="0"/>
        <w:snapToGrid w:val="0"/>
        <w:spacing w:line="560" w:lineRule="exact"/>
        <w:ind w:firstLine="720"/>
        <w:outlineLvl w:val="9"/>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val="0"/>
          <w:bCs w:val="0"/>
          <w:kern w:val="2"/>
          <w:sz w:val="32"/>
          <w:szCs w:val="32"/>
          <w:highlight w:val="none"/>
          <w:lang w:val="en-US" w:eastAsia="zh-CN" w:bidi="ar-SA"/>
        </w:rPr>
        <w:t>2.红旗镇上云村短山子通组加宽硬化建设项目30.0092万元已完工</w:t>
      </w:r>
    </w:p>
    <w:p w14:paraId="3AF49620">
      <w:pPr>
        <w:adjustRightInd w:val="0"/>
        <w:snapToGrid w:val="0"/>
        <w:spacing w:line="560" w:lineRule="exact"/>
        <w:ind w:firstLine="720"/>
        <w:outlineLvl w:val="9"/>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val="0"/>
          <w:bCs w:val="0"/>
          <w:kern w:val="2"/>
          <w:sz w:val="32"/>
          <w:szCs w:val="32"/>
          <w:highlight w:val="none"/>
          <w:lang w:val="en-US" w:eastAsia="zh-CN" w:bidi="ar-SA"/>
        </w:rPr>
        <w:t>3.沙坪镇六丰村危桥改造项目9.47万元已完工</w:t>
      </w:r>
    </w:p>
    <w:p w14:paraId="122856FF">
      <w:pPr>
        <w:adjustRightInd w:val="0"/>
        <w:snapToGrid w:val="0"/>
        <w:spacing w:line="560" w:lineRule="exact"/>
        <w:ind w:firstLine="720"/>
        <w:outlineLvl w:val="9"/>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val="0"/>
          <w:bCs w:val="0"/>
          <w:kern w:val="2"/>
          <w:sz w:val="32"/>
          <w:szCs w:val="32"/>
          <w:highlight w:val="none"/>
          <w:lang w:val="en-US" w:eastAsia="zh-CN" w:bidi="ar-SA"/>
        </w:rPr>
        <w:t>4.沙坪镇河沟村葡萄园极地产业路建设21.3889万元已完工</w:t>
      </w:r>
    </w:p>
    <w:p w14:paraId="69EC7256">
      <w:pPr>
        <w:adjustRightInd w:val="0"/>
        <w:snapToGrid w:val="0"/>
        <w:spacing w:line="560" w:lineRule="exact"/>
        <w:ind w:firstLine="720"/>
        <w:outlineLvl w:val="9"/>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val="0"/>
          <w:bCs w:val="0"/>
          <w:kern w:val="2"/>
          <w:sz w:val="32"/>
          <w:szCs w:val="32"/>
          <w:highlight w:val="none"/>
          <w:lang w:val="en-US" w:eastAsia="zh-CN" w:bidi="ar-SA"/>
        </w:rPr>
        <w:t>5.毛坪镇云心村产业路建设项目20.6086万元已完工</w:t>
      </w:r>
    </w:p>
    <w:p w14:paraId="12A1E422">
      <w:pPr>
        <w:adjustRightInd w:val="0"/>
        <w:snapToGrid w:val="0"/>
        <w:spacing w:line="560" w:lineRule="exact"/>
        <w:ind w:firstLine="720"/>
        <w:outlineLvl w:val="9"/>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val="0"/>
          <w:bCs w:val="0"/>
          <w:kern w:val="2"/>
          <w:sz w:val="32"/>
          <w:szCs w:val="32"/>
          <w:highlight w:val="none"/>
          <w:lang w:val="en-US" w:eastAsia="zh-CN" w:bidi="ar-SA"/>
        </w:rPr>
        <w:t>6.新场乡羊子岩村断头路建设项目13.7264万元已完工</w:t>
      </w:r>
    </w:p>
    <w:p w14:paraId="52169F56">
      <w:pPr>
        <w:adjustRightInd w:val="0"/>
        <w:snapToGrid w:val="0"/>
        <w:spacing w:line="560" w:lineRule="exact"/>
        <w:ind w:firstLine="720"/>
        <w:outlineLvl w:val="9"/>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val="0"/>
          <w:bCs w:val="0"/>
          <w:kern w:val="2"/>
          <w:sz w:val="32"/>
          <w:szCs w:val="32"/>
          <w:highlight w:val="none"/>
          <w:lang w:val="en-US" w:eastAsia="zh-CN" w:bidi="ar-SA"/>
        </w:rPr>
        <w:t>7、原共和乡场镇提升项目257万元已完工</w:t>
      </w:r>
    </w:p>
    <w:p w14:paraId="6CD98ED0">
      <w:pPr>
        <w:adjustRightInd w:val="0"/>
        <w:snapToGrid w:val="0"/>
        <w:spacing w:line="560" w:lineRule="exact"/>
        <w:ind w:firstLine="720"/>
        <w:outlineLvl w:val="9"/>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val="0"/>
          <w:bCs w:val="0"/>
          <w:kern w:val="2"/>
          <w:sz w:val="32"/>
          <w:szCs w:val="32"/>
          <w:highlight w:val="none"/>
          <w:lang w:val="en-US" w:eastAsia="zh-CN" w:bidi="ar-SA"/>
        </w:rPr>
        <w:t>8、宜坪乡桐花村防洪沟建设项目5.8467万元已完工</w:t>
      </w:r>
    </w:p>
    <w:p w14:paraId="2827F232">
      <w:pPr>
        <w:adjustRightInd w:val="0"/>
        <w:snapToGrid w:val="0"/>
        <w:spacing w:line="560" w:lineRule="exact"/>
        <w:ind w:firstLine="720"/>
        <w:outlineLvl w:val="9"/>
        <w:rPr>
          <w:rFonts w:hint="eastAsia" w:ascii="仿宋" w:hAnsi="仿宋" w:eastAsia="仿宋" w:cs="仿宋"/>
          <w:b w:val="0"/>
          <w:bCs w:val="0"/>
          <w:kern w:val="2"/>
          <w:sz w:val="32"/>
          <w:szCs w:val="32"/>
          <w:highlight w:val="none"/>
          <w:lang w:val="en-US" w:eastAsia="zh-CN" w:bidi="ar-SA"/>
        </w:rPr>
      </w:pPr>
      <w:r>
        <w:rPr>
          <w:rFonts w:hint="eastAsia" w:ascii="仿宋" w:hAnsi="仿宋" w:eastAsia="仿宋" w:cs="仿宋"/>
          <w:b w:val="0"/>
          <w:bCs w:val="0"/>
          <w:kern w:val="2"/>
          <w:sz w:val="32"/>
          <w:szCs w:val="32"/>
          <w:highlight w:val="none"/>
          <w:lang w:val="en-US" w:eastAsia="zh-CN" w:bidi="ar-SA"/>
        </w:rPr>
        <w:t>9.宜坪乡庙岗村、桐花村饮水提升项目350万元建设</w:t>
      </w:r>
    </w:p>
    <w:p w14:paraId="7AD20F36">
      <w:pPr>
        <w:adjustRightInd w:val="0"/>
        <w:snapToGrid w:val="0"/>
        <w:spacing w:line="560" w:lineRule="exact"/>
        <w:ind w:firstLine="720"/>
        <w:outlineLvl w:val="9"/>
        <w:rPr>
          <w:rFonts w:hint="eastAsia" w:ascii="仿宋" w:hAnsi="仿宋" w:eastAsia="仿宋" w:cs="仿宋"/>
          <w:sz w:val="32"/>
          <w:szCs w:val="32"/>
          <w:lang w:val="en-US" w:eastAsia="zh-CN"/>
        </w:rPr>
      </w:pPr>
      <w:r>
        <w:rPr>
          <w:rFonts w:hint="eastAsia" w:ascii="仿宋" w:hAnsi="仿宋" w:eastAsia="仿宋" w:cs="仿宋"/>
          <w:b w:val="0"/>
          <w:bCs w:val="0"/>
          <w:kern w:val="2"/>
          <w:sz w:val="32"/>
          <w:szCs w:val="32"/>
          <w:highlight w:val="none"/>
          <w:lang w:val="en-US" w:eastAsia="zh-CN" w:bidi="ar-SA"/>
        </w:rPr>
        <w:t>10.红旗镇四坪村路面加宽项目41.1291万元已完工</w:t>
      </w:r>
    </w:p>
    <w:p w14:paraId="0E456170">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2195F36E">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移民后期扶持项目建设为峨边库区群众提供丰富的特色农产品，为库区群众开辟新的致富门路，建立稳定的经济收入来源，促进库区农业生产结构的调整和优化，促进农业资源优势向商品优势的转化、促进项目区农业产业化经营进程，为群众提供劳动力就业机会，增加群众的经济收入。    </w:t>
      </w:r>
    </w:p>
    <w:p w14:paraId="17F7FE4D">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sz w:val="32"/>
          <w:szCs w:val="32"/>
          <w:highlight w:val="none"/>
          <w:lang w:val="en-US" w:eastAsia="zh-CN"/>
        </w:rPr>
        <w:t>移民后期扶持项目建设，有利于改善库区群众生活生产条件，帮助库区群众增产增收，加快库区群众脱贫奔康步伐，为维护社会稳定做贡献</w:t>
      </w:r>
      <w:r>
        <w:rPr>
          <w:rFonts w:hint="eastAsia" w:ascii="仿宋" w:hAnsi="仿宋" w:eastAsia="仿宋" w:cs="仿宋"/>
          <w:sz w:val="32"/>
          <w:szCs w:val="32"/>
          <w:lang w:val="en-US" w:eastAsia="zh-CN"/>
        </w:rPr>
        <w:t>。</w:t>
      </w:r>
      <w:r>
        <w:rPr>
          <w:rFonts w:hint="eastAsia" w:ascii="仿宋" w:hAnsi="仿宋" w:eastAsia="仿宋" w:cs="仿宋"/>
          <w:color w:val="000000"/>
          <w:sz w:val="32"/>
          <w:szCs w:val="32"/>
          <w:lang w:val="en-US" w:eastAsia="zh-CN"/>
        </w:rPr>
        <w:t>服务对象</w:t>
      </w:r>
      <w:r>
        <w:rPr>
          <w:rFonts w:hint="eastAsia" w:ascii="仿宋" w:hAnsi="仿宋" w:eastAsia="仿宋" w:cs="仿宋"/>
          <w:color w:val="000000"/>
          <w:sz w:val="32"/>
          <w:szCs w:val="32"/>
        </w:rPr>
        <w:t>满意度</w:t>
      </w:r>
      <w:r>
        <w:rPr>
          <w:rFonts w:hint="eastAsia" w:ascii="仿宋" w:hAnsi="仿宋" w:eastAsia="仿宋" w:cs="仿宋"/>
          <w:color w:val="000000"/>
          <w:sz w:val="32"/>
          <w:szCs w:val="32"/>
          <w:lang w:val="en-US" w:eastAsia="zh-CN"/>
        </w:rPr>
        <w:t>100</w:t>
      </w:r>
      <w:r>
        <w:rPr>
          <w:rFonts w:hint="eastAsia" w:ascii="仿宋" w:hAnsi="仿宋" w:eastAsia="仿宋" w:cs="仿宋"/>
          <w:color w:val="000000"/>
          <w:sz w:val="32"/>
          <w:szCs w:val="32"/>
        </w:rPr>
        <w:t>%。</w:t>
      </w:r>
    </w:p>
    <w:p w14:paraId="1AB4D5B1">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四、问题及建议</w:t>
      </w:r>
    </w:p>
    <w:p w14:paraId="408BB73D">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（一）存在的问题。</w:t>
      </w:r>
    </w:p>
    <w:p w14:paraId="2A613F91">
      <w:pPr>
        <w:adjustRightInd w:val="0"/>
        <w:snapToGrid w:val="0"/>
        <w:spacing w:line="560" w:lineRule="exact"/>
        <w:ind w:firstLine="720"/>
        <w:outlineLvl w:val="9"/>
        <w:rPr>
          <w:rFonts w:hint="eastAsia" w:ascii="仿宋" w:hAnsi="仿宋" w:eastAsia="仿宋" w:cs="仿宋"/>
          <w:b/>
          <w:sz w:val="32"/>
          <w:szCs w:val="32"/>
          <w:lang w:val="en-US" w:eastAsia="zh-CN"/>
        </w:rPr>
      </w:pPr>
      <w:r>
        <w:rPr>
          <w:rFonts w:hint="eastAsia" w:ascii="仿宋" w:hAnsi="仿宋" w:eastAsia="仿宋" w:cs="仿宋"/>
          <w:sz w:val="32"/>
          <w:szCs w:val="32"/>
          <w:highlight w:val="none"/>
          <w:lang w:val="en-US" w:eastAsia="zh-CN"/>
        </w:rPr>
        <w:t>一是项目批复及项目前期工作时间太长；二是项目建设过程档案收集不规范，导致项目验收和审计不及时</w:t>
      </w:r>
      <w:r>
        <w:rPr>
          <w:rFonts w:hint="eastAsia" w:ascii="仿宋" w:hAnsi="仿宋" w:eastAsia="仿宋" w:cs="仿宋"/>
          <w:sz w:val="32"/>
          <w:szCs w:val="32"/>
          <w:lang w:val="en-US" w:eastAsia="zh-CN"/>
        </w:rPr>
        <w:t>。</w:t>
      </w:r>
    </w:p>
    <w:p w14:paraId="6E61E937">
      <w:pPr>
        <w:numPr>
          <w:ilvl w:val="0"/>
          <w:numId w:val="9"/>
        </w:numPr>
        <w:adjustRightInd w:val="0"/>
        <w:snapToGrid w:val="0"/>
        <w:spacing w:line="560" w:lineRule="exact"/>
        <w:ind w:firstLine="720"/>
        <w:outlineLvl w:val="9"/>
        <w:rPr>
          <w:rFonts w:hint="eastAsia" w:ascii="仿宋" w:hAnsi="仿宋" w:eastAsia="仿宋" w:cs="仿宋"/>
          <w:sz w:val="32"/>
          <w:szCs w:val="32"/>
          <w:lang w:val="en-US" w:eastAsia="zh-CN"/>
        </w:rPr>
      </w:pPr>
      <w:r>
        <w:rPr>
          <w:rFonts w:hint="eastAsia" w:ascii="仿宋" w:hAnsi="仿宋" w:eastAsia="仿宋" w:cs="仿宋"/>
          <w:b/>
          <w:sz w:val="32"/>
          <w:szCs w:val="32"/>
          <w:lang w:val="zh-CN"/>
        </w:rPr>
        <w:t>相关建议。</w:t>
      </w:r>
    </w:p>
    <w:p w14:paraId="2B09B5C7">
      <w:pPr>
        <w:numPr>
          <w:ilvl w:val="0"/>
          <w:numId w:val="0"/>
        </w:numPr>
        <w:adjustRightInd w:val="0"/>
        <w:snapToGrid w:val="0"/>
        <w:spacing w:line="560" w:lineRule="exact"/>
        <w:ind w:firstLine="640" w:firstLineChars="200"/>
        <w:outlineLvl w:val="9"/>
        <w:rPr>
          <w:rFonts w:hint="eastAsia" w:ascii="仿宋" w:hAnsi="仿宋" w:eastAsia="仿宋" w:cs="仿宋"/>
          <w:sz w:val="32"/>
          <w:szCs w:val="32"/>
          <w:lang w:val="en-US" w:eastAsia="zh-CN"/>
        </w:rPr>
      </w:pPr>
      <w:r>
        <w:rPr>
          <w:rFonts w:hint="eastAsia" w:ascii="仿宋" w:hAnsi="仿宋" w:eastAsia="仿宋" w:cs="仿宋"/>
          <w:sz w:val="32"/>
          <w:szCs w:val="32"/>
          <w:highlight w:val="none"/>
          <w:lang w:val="en-US" w:eastAsia="zh-CN"/>
        </w:rPr>
        <w:t>我县移民人口基数大，居住分散，散居移民基础设施薄弱，为有效衔接乡村振兴，需加大移民后期帮扶资金投资力度，尽可能覆盖散居移民基础设施建设，确保库区移民稳定。</w:t>
      </w:r>
    </w:p>
    <w:p w14:paraId="2160EB66">
      <w:pPr>
        <w:pStyle w:val="5"/>
        <w:outlineLvl w:val="9"/>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25" o:spt="75" type="#_x0000_t75" style="height:665pt;width:415.05pt;" o:ole="t" filled="f" o:preferrelative="t" stroked="f" coordsize="21600,21600">
            <v:path/>
            <v:fill on="f" focussize="0,0"/>
            <v:stroke on="f"/>
            <v:imagedata r:id="rId15" o:title=""/>
            <o:lock v:ext="edit" aspectratio="f"/>
            <w10:wrap type="none"/>
            <w10:anchorlock/>
          </v:shape>
          <o:OLEObject Type="Embed" ProgID="Excel.Sheet.12" ShapeID="_x0000_i1025" DrawAspect="Content" ObjectID="_1468075725" r:id="rId14">
            <o:LockedField>false</o:LockedField>
          </o:OLEObject>
        </w:object>
      </w:r>
    </w:p>
    <w:p w14:paraId="4156F735">
      <w:pPr>
        <w:pStyle w:val="25"/>
        <w:spacing w:line="600" w:lineRule="exact"/>
        <w:jc w:val="center"/>
        <w:outlineLvl w:val="9"/>
        <w:rPr>
          <w:rFonts w:ascii="方正小标宋简体" w:hAnsi="宋体" w:eastAsia="方正小标宋简体"/>
          <w:sz w:val="44"/>
          <w:szCs w:val="44"/>
        </w:rPr>
      </w:pPr>
      <w:r>
        <w:rPr>
          <w:rFonts w:hint="eastAsia" w:ascii="方正小标宋简体" w:hAnsi="方正小标宋简体" w:eastAsia="方正小标宋简体" w:cs="方正小标宋简体"/>
          <w:sz w:val="44"/>
          <w:szCs w:val="44"/>
        </w:rPr>
        <w:t>川财农</w:t>
      </w:r>
      <w:r>
        <w:rPr>
          <w:rFonts w:hint="eastAsia" w:ascii="方正小标宋简体" w:hAnsi="方正小标宋简体" w:eastAsia="方正小标宋简体" w:cs="方正小标宋简体"/>
          <w:sz w:val="44"/>
          <w:szCs w:val="44"/>
          <w:lang w:eastAsia="zh-CN"/>
        </w:rPr>
        <w:t>〔2022〕181号</w:t>
      </w:r>
      <w:r>
        <w:rPr>
          <w:rFonts w:hint="eastAsia" w:ascii="方正小标宋简体" w:hAnsi="方正小标宋简体" w:eastAsia="方正小标宋简体" w:cs="方正小标宋简体"/>
          <w:sz w:val="44"/>
          <w:szCs w:val="44"/>
        </w:rPr>
        <w:t>关于提前下达2023年中央大中型水库移民后期扶持资金的通知（移民直补）</w:t>
      </w:r>
      <w:r>
        <w:rPr>
          <w:rFonts w:hint="eastAsia" w:ascii="方正小标宋简体" w:hAnsi="宋体" w:eastAsia="方正小标宋简体"/>
          <w:sz w:val="44"/>
          <w:szCs w:val="44"/>
        </w:rPr>
        <w:t>项目支出绩效自评报告</w:t>
      </w:r>
    </w:p>
    <w:p w14:paraId="6D8044A4">
      <w:pPr>
        <w:pStyle w:val="25"/>
        <w:spacing w:line="560" w:lineRule="exact"/>
        <w:ind w:firstLine="640"/>
        <w:jc w:val="center"/>
        <w:outlineLvl w:val="9"/>
        <w:rPr>
          <w:rFonts w:ascii="宋体" w:hAnsi="宋体"/>
          <w:color w:val="auto"/>
          <w:kern w:val="2"/>
          <w:sz w:val="32"/>
          <w:szCs w:val="32"/>
        </w:rPr>
      </w:pPr>
    </w:p>
    <w:p w14:paraId="10CB7379">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一、</w:t>
      </w:r>
      <w:r>
        <w:rPr>
          <w:rFonts w:hint="eastAsia" w:ascii="仿宋" w:hAnsi="仿宋" w:eastAsia="仿宋" w:cs="仿宋"/>
          <w:sz w:val="32"/>
          <w:szCs w:val="32"/>
          <w:lang w:val="zh-CN"/>
        </w:rPr>
        <w:t>项目概况</w:t>
      </w:r>
    </w:p>
    <w:p w14:paraId="2E9AD5FC">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0A981783">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highlight w:val="none"/>
          <w:lang w:val="en-US" w:eastAsia="zh-CN"/>
        </w:rPr>
        <w:t>四川省财政厅提前下达2023年度中央大中型水库移民后期扶持项目资金（川财农〔2022〕181号）下达直发直补716万元</w:t>
      </w:r>
      <w:r>
        <w:rPr>
          <w:rFonts w:hint="eastAsia" w:ascii="仿宋" w:hAnsi="仿宋" w:eastAsia="仿宋" w:cs="仿宋"/>
          <w:sz w:val="32"/>
          <w:szCs w:val="32"/>
          <w:lang w:val="zh-CN"/>
        </w:rPr>
        <w:t>。</w:t>
      </w:r>
    </w:p>
    <w:p w14:paraId="616747DB">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642D1703">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zh-CN"/>
        </w:rPr>
        <w:t>完成</w:t>
      </w:r>
      <w:r>
        <w:rPr>
          <w:rFonts w:hint="eastAsia" w:ascii="仿宋" w:hAnsi="仿宋" w:eastAsia="仿宋" w:cs="仿宋"/>
          <w:sz w:val="32"/>
          <w:szCs w:val="32"/>
          <w:highlight w:val="none"/>
          <w:lang w:val="en-US" w:eastAsia="zh-CN"/>
        </w:rPr>
        <w:t>全县库区移民11456人直补发放</w:t>
      </w:r>
      <w:r>
        <w:rPr>
          <w:rFonts w:hint="eastAsia" w:ascii="仿宋" w:hAnsi="仿宋" w:eastAsia="仿宋" w:cs="仿宋"/>
          <w:sz w:val="32"/>
          <w:szCs w:val="32"/>
          <w:lang w:val="zh-CN"/>
        </w:rPr>
        <w:t>。</w:t>
      </w:r>
    </w:p>
    <w:p w14:paraId="535BB2B9">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（三）项目资金申报相符性。</w:t>
      </w:r>
    </w:p>
    <w:p w14:paraId="5FF0071C">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highlight w:val="none"/>
          <w:lang w:val="en-US" w:eastAsia="zh-CN"/>
        </w:rPr>
        <w:t>四川省财政厅提前下达2023年度中央大中型水库移民后期扶持项目资金（川财农〔2022〕181号）下达直发直补716万元</w:t>
      </w:r>
      <w:r>
        <w:rPr>
          <w:rFonts w:hint="eastAsia" w:ascii="仿宋" w:hAnsi="仿宋" w:eastAsia="仿宋" w:cs="仿宋"/>
          <w:sz w:val="32"/>
          <w:szCs w:val="32"/>
          <w:lang w:val="zh-CN"/>
        </w:rPr>
        <w:t>。项目申报内容与具体实施内容相符。</w:t>
      </w:r>
    </w:p>
    <w:p w14:paraId="4AE9E0C9">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二、项目实施及管理情况</w:t>
      </w:r>
    </w:p>
    <w:p w14:paraId="21FA0633">
      <w:pPr>
        <w:adjustRightInd w:val="0"/>
        <w:snapToGrid w:val="0"/>
        <w:spacing w:line="560" w:lineRule="exact"/>
        <w:ind w:firstLine="720"/>
        <w:outlineLvl w:val="9"/>
        <w:rPr>
          <w:rFonts w:hint="eastAsia" w:ascii="仿宋" w:hAnsi="仿宋" w:eastAsia="仿宋" w:cs="仿宋"/>
          <w:b/>
          <w:color w:val="auto"/>
          <w:sz w:val="32"/>
          <w:szCs w:val="32"/>
          <w:lang w:val="zh-CN"/>
        </w:rPr>
      </w:pPr>
      <w:r>
        <w:rPr>
          <w:rFonts w:hint="eastAsia" w:ascii="仿宋" w:hAnsi="仿宋" w:eastAsia="仿宋" w:cs="仿宋"/>
          <w:color w:val="auto"/>
          <w:sz w:val="32"/>
          <w:szCs w:val="32"/>
          <w:lang w:val="zh-CN"/>
        </w:rPr>
        <w:tab/>
      </w:r>
      <w:r>
        <w:rPr>
          <w:rFonts w:hint="eastAsia" w:ascii="仿宋" w:hAnsi="仿宋" w:eastAsia="仿宋" w:cs="仿宋"/>
          <w:b/>
          <w:color w:val="auto"/>
          <w:sz w:val="32"/>
          <w:szCs w:val="32"/>
          <w:lang w:val="zh-CN"/>
        </w:rPr>
        <w:t>（一）资金计划、到位及使用情况。</w:t>
      </w:r>
    </w:p>
    <w:p w14:paraId="1342DDAB">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1．资金计划及时到位。截至2023年</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lang w:val="en-US" w:eastAsia="zh-CN"/>
        </w:rPr>
        <w:t>31</w:t>
      </w:r>
      <w:r>
        <w:rPr>
          <w:rFonts w:hint="eastAsia" w:ascii="仿宋" w:hAnsi="仿宋" w:eastAsia="仿宋" w:cs="仿宋"/>
          <w:color w:val="auto"/>
          <w:sz w:val="32"/>
          <w:szCs w:val="32"/>
          <w:lang w:val="zh-CN"/>
        </w:rPr>
        <w:t>日，该项目资金到位</w:t>
      </w:r>
      <w:r>
        <w:rPr>
          <w:rFonts w:hint="eastAsia" w:ascii="仿宋" w:hAnsi="仿宋" w:eastAsia="仿宋" w:cs="仿宋"/>
          <w:color w:val="auto"/>
          <w:sz w:val="32"/>
          <w:szCs w:val="32"/>
          <w:lang w:val="en-US" w:eastAsia="zh-CN"/>
        </w:rPr>
        <w:t>716</w:t>
      </w:r>
      <w:r>
        <w:rPr>
          <w:rFonts w:hint="eastAsia" w:ascii="仿宋" w:hAnsi="仿宋" w:eastAsia="仿宋" w:cs="仿宋"/>
          <w:color w:val="auto"/>
          <w:sz w:val="32"/>
          <w:szCs w:val="32"/>
          <w:lang w:val="zh-CN"/>
        </w:rPr>
        <w:t>万元，资金到位情况与资金计划进行比对，资金到位率100%、到位及时。</w:t>
      </w:r>
    </w:p>
    <w:p w14:paraId="3AE5FC8B">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2．资金使用。</w:t>
      </w:r>
    </w:p>
    <w:p w14:paraId="3AB9F815">
      <w:pPr>
        <w:adjustRightInd w:val="0"/>
        <w:snapToGrid w:val="0"/>
        <w:spacing w:line="560" w:lineRule="exact"/>
        <w:ind w:firstLine="720"/>
        <w:outlineLvl w:val="9"/>
        <w:rPr>
          <w:rFonts w:hint="eastAsia" w:ascii="仿宋" w:hAnsi="仿宋" w:eastAsia="仿宋" w:cs="仿宋"/>
          <w:color w:val="FF0000"/>
          <w:sz w:val="32"/>
          <w:szCs w:val="32"/>
          <w:lang w:val="zh-CN"/>
        </w:rPr>
      </w:pPr>
      <w:r>
        <w:rPr>
          <w:rFonts w:hint="eastAsia" w:ascii="仿宋" w:hAnsi="仿宋" w:eastAsia="仿宋" w:cs="仿宋"/>
          <w:color w:val="auto"/>
          <w:sz w:val="32"/>
          <w:szCs w:val="32"/>
          <w:lang w:val="en-US" w:eastAsia="zh-CN"/>
        </w:rPr>
        <w:t>截至2023年12月31日支付完成11456人移民直补603.1959万元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资金支付84%，未支付完成原因是部分移民已账户信息、证件过期等不能及时发放</w:t>
      </w:r>
      <w:r>
        <w:rPr>
          <w:rFonts w:hint="eastAsia" w:ascii="仿宋" w:hAnsi="仿宋" w:eastAsia="仿宋" w:cs="仿宋"/>
          <w:color w:val="auto"/>
          <w:sz w:val="32"/>
          <w:szCs w:val="32"/>
          <w:lang w:val="zh-CN"/>
        </w:rPr>
        <w:t>。</w:t>
      </w:r>
    </w:p>
    <w:p w14:paraId="4C6B8A27">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（二）项目财务管理情况。</w:t>
      </w:r>
    </w:p>
    <w:p w14:paraId="5A1C0C1B">
      <w:pPr>
        <w:adjustRightInd w:val="0"/>
        <w:snapToGrid w:val="0"/>
        <w:spacing w:line="600" w:lineRule="exact"/>
        <w:ind w:firstLine="720"/>
        <w:outlineLvl w:val="9"/>
        <w:rPr>
          <w:rFonts w:hint="eastAsia" w:ascii="仿宋" w:hAnsi="仿宋" w:eastAsia="仿宋" w:cs="仿宋"/>
          <w:color w:val="000000"/>
          <w:sz w:val="32"/>
          <w:szCs w:val="32"/>
          <w:lang w:val="zh-CN"/>
        </w:rPr>
      </w:pPr>
      <w:r>
        <w:rPr>
          <w:rFonts w:hint="eastAsia" w:ascii="仿宋" w:hAnsi="仿宋" w:eastAsia="仿宋" w:cs="仿宋"/>
          <w:color w:val="000000"/>
          <w:sz w:val="32"/>
          <w:szCs w:val="32"/>
          <w:lang w:val="zh-CN"/>
        </w:rPr>
        <w:t>该项目资金严格按照财经管理制度规定使用，财务处理及时、规范，资料齐全、归档及时，无</w:t>
      </w:r>
      <w:r>
        <w:rPr>
          <w:rFonts w:hint="eastAsia" w:ascii="仿宋" w:hAnsi="仿宋" w:eastAsia="仿宋" w:cs="仿宋"/>
          <w:color w:val="000000"/>
          <w:kern w:val="0"/>
          <w:sz w:val="32"/>
          <w:szCs w:val="32"/>
          <w:shd w:val="clear" w:color="auto" w:fill="FFFFFF"/>
          <w:lang w:val="zh-CN"/>
        </w:rPr>
        <w:t>截留、挤占、挪用、套取、转移和浪费的现象，无任何违规记录。</w:t>
      </w:r>
    </w:p>
    <w:p w14:paraId="471F26C8">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（三）项目组织实施情况。</w:t>
      </w:r>
    </w:p>
    <w:p w14:paraId="1E41BA46">
      <w:pPr>
        <w:adjustRightInd w:val="0"/>
        <w:snapToGrid w:val="0"/>
        <w:spacing w:line="560" w:lineRule="exact"/>
        <w:ind w:firstLine="72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项目</w:t>
      </w:r>
      <w:r>
        <w:rPr>
          <w:rFonts w:hint="eastAsia" w:ascii="仿宋" w:hAnsi="仿宋" w:eastAsia="仿宋" w:cs="仿宋"/>
          <w:color w:val="000000"/>
          <w:sz w:val="32"/>
          <w:szCs w:val="32"/>
          <w:lang w:val="en-US" w:eastAsia="zh-CN"/>
        </w:rPr>
        <w:t>通过乡镇每月核实移民人口上报至阳光审批平台，通过审核后推送至一卡通发放平台发放，对证件过期、账户错误不能及时发放的，通过乡镇核实后重新补发</w:t>
      </w:r>
      <w:r>
        <w:rPr>
          <w:rFonts w:hint="eastAsia" w:ascii="仿宋" w:hAnsi="仿宋" w:eastAsia="仿宋" w:cs="仿宋"/>
          <w:color w:val="000000"/>
          <w:sz w:val="32"/>
          <w:szCs w:val="32"/>
        </w:rPr>
        <w:t>。</w:t>
      </w:r>
    </w:p>
    <w:p w14:paraId="4C55B864">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三、项目绩效情况</w:t>
      </w:r>
      <w:r>
        <w:rPr>
          <w:rFonts w:hint="eastAsia" w:ascii="仿宋" w:hAnsi="仿宋" w:eastAsia="仿宋" w:cs="仿宋"/>
          <w:sz w:val="32"/>
          <w:szCs w:val="32"/>
          <w:lang w:val="zh-CN"/>
        </w:rPr>
        <w:tab/>
      </w:r>
    </w:p>
    <w:p w14:paraId="3D86D545">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2D3F1086">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2023年已通过一卡通发放平台发放移民直补资金603.1959万元</w:t>
      </w:r>
      <w:r>
        <w:rPr>
          <w:rFonts w:hint="eastAsia" w:ascii="仿宋" w:hAnsi="仿宋" w:eastAsia="仿宋" w:cs="仿宋"/>
          <w:sz w:val="32"/>
          <w:szCs w:val="32"/>
          <w:lang w:val="zh-CN"/>
        </w:rPr>
        <w:t>。</w:t>
      </w:r>
    </w:p>
    <w:p w14:paraId="669286BD">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3DDF0A90">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sz w:val="32"/>
          <w:szCs w:val="32"/>
          <w:lang w:val="zh-CN"/>
        </w:rPr>
        <w:t>本项目实施后，可进一步</w:t>
      </w:r>
      <w:r>
        <w:rPr>
          <w:rFonts w:hint="eastAsia" w:ascii="仿宋" w:hAnsi="仿宋" w:eastAsia="仿宋" w:cs="仿宋"/>
          <w:sz w:val="32"/>
          <w:szCs w:val="32"/>
          <w:lang w:val="en-US" w:eastAsia="zh-CN"/>
        </w:rPr>
        <w:t>增加移民收入。</w:t>
      </w:r>
      <w:r>
        <w:rPr>
          <w:rFonts w:hint="eastAsia" w:ascii="仿宋" w:hAnsi="仿宋" w:eastAsia="仿宋" w:cs="仿宋"/>
          <w:color w:val="000000"/>
          <w:sz w:val="32"/>
          <w:szCs w:val="32"/>
          <w:lang w:val="en-US" w:eastAsia="zh-CN"/>
        </w:rPr>
        <w:t>服务对象</w:t>
      </w:r>
      <w:r>
        <w:rPr>
          <w:rFonts w:hint="eastAsia" w:ascii="仿宋" w:hAnsi="仿宋" w:eastAsia="仿宋" w:cs="仿宋"/>
          <w:color w:val="000000"/>
          <w:sz w:val="32"/>
          <w:szCs w:val="32"/>
        </w:rPr>
        <w:t>满意度</w:t>
      </w:r>
      <w:r>
        <w:rPr>
          <w:rFonts w:hint="eastAsia" w:ascii="仿宋" w:hAnsi="仿宋" w:eastAsia="仿宋" w:cs="仿宋"/>
          <w:color w:val="000000"/>
          <w:sz w:val="32"/>
          <w:szCs w:val="32"/>
          <w:lang w:val="en-US" w:eastAsia="zh-CN"/>
        </w:rPr>
        <w:t>100</w:t>
      </w:r>
      <w:r>
        <w:rPr>
          <w:rFonts w:hint="eastAsia" w:ascii="仿宋" w:hAnsi="仿宋" w:eastAsia="仿宋" w:cs="仿宋"/>
          <w:color w:val="000000"/>
          <w:sz w:val="32"/>
          <w:szCs w:val="32"/>
        </w:rPr>
        <w:t>%。</w:t>
      </w:r>
    </w:p>
    <w:p w14:paraId="7C1BBA2D">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四、问题及建议</w:t>
      </w:r>
    </w:p>
    <w:p w14:paraId="0A775B72">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（一）存在的问题。</w:t>
      </w:r>
    </w:p>
    <w:p w14:paraId="42CF7A79">
      <w:pPr>
        <w:adjustRightInd w:val="0"/>
        <w:snapToGrid w:val="0"/>
        <w:spacing w:line="560" w:lineRule="exact"/>
        <w:ind w:firstLine="720"/>
        <w:outlineLvl w:val="9"/>
        <w:rPr>
          <w:rFonts w:hint="eastAsia" w:ascii="仿宋" w:hAnsi="仿宋" w:eastAsia="仿宋" w:cs="仿宋"/>
          <w:b/>
          <w:sz w:val="32"/>
          <w:szCs w:val="32"/>
          <w:lang w:val="en-US" w:eastAsia="zh-CN"/>
        </w:rPr>
      </w:pPr>
      <w:r>
        <w:rPr>
          <w:rFonts w:hint="eastAsia" w:ascii="仿宋" w:hAnsi="仿宋" w:eastAsia="仿宋" w:cs="仿宋"/>
          <w:sz w:val="32"/>
          <w:szCs w:val="32"/>
          <w:lang w:val="en-US" w:eastAsia="zh-CN"/>
        </w:rPr>
        <w:t>部分证件过期和账户有误的移民短时间无法核实，不能及时补发移民资金。</w:t>
      </w:r>
    </w:p>
    <w:p w14:paraId="34CC35A8">
      <w:pPr>
        <w:adjustRightInd w:val="0"/>
        <w:snapToGrid w:val="0"/>
        <w:spacing w:line="560" w:lineRule="exact"/>
        <w:ind w:firstLine="720"/>
        <w:outlineLvl w:val="9"/>
        <w:rPr>
          <w:rFonts w:hint="eastAsia" w:ascii="仿宋" w:hAnsi="仿宋" w:eastAsia="仿宋" w:cs="仿宋"/>
          <w:b/>
          <w:sz w:val="32"/>
          <w:szCs w:val="32"/>
          <w:lang w:val="en-US" w:eastAsia="zh-CN"/>
        </w:rPr>
      </w:pPr>
      <w:r>
        <w:rPr>
          <w:rFonts w:hint="eastAsia" w:ascii="仿宋" w:hAnsi="仿宋" w:eastAsia="仿宋" w:cs="仿宋"/>
          <w:b/>
          <w:sz w:val="32"/>
          <w:szCs w:val="32"/>
          <w:lang w:val="zh-CN"/>
        </w:rPr>
        <w:t>（二）相关建议。</w:t>
      </w:r>
    </w:p>
    <w:p w14:paraId="23E96119">
      <w:pPr>
        <w:pStyle w:val="5"/>
        <w:outlineLvl w:val="9"/>
        <w:rPr>
          <w:rFonts w:hint="eastAsia" w:ascii="仿宋" w:hAnsi="仿宋" w:eastAsia="仿宋" w:cs="仿宋"/>
          <w:color w:val="auto"/>
          <w:kern w:val="0"/>
          <w:sz w:val="32"/>
          <w:szCs w:val="32"/>
          <w:highlight w:val="none"/>
          <w:shd w:val="clear" w:color="auto" w:fill="FFFFFF"/>
          <w:lang w:val="zh-CN"/>
        </w:rPr>
      </w:pPr>
      <w:r>
        <w:rPr>
          <w:rFonts w:hint="eastAsia" w:ascii="仿宋" w:hAnsi="仿宋" w:eastAsia="仿宋" w:cs="仿宋"/>
          <w:color w:val="auto"/>
          <w:kern w:val="0"/>
          <w:sz w:val="32"/>
          <w:szCs w:val="32"/>
          <w:highlight w:val="none"/>
          <w:shd w:val="clear" w:color="auto" w:fill="FFFFFF"/>
          <w:lang w:val="zh-CN"/>
        </w:rPr>
        <w:object>
          <v:shape id="_x0000_i1026" o:spt="75" type="#_x0000_t75" style="height:661.95pt;width:415.05pt;" o:ole="t" filled="f" o:preferrelative="t" stroked="f" coordsize="21600,21600">
            <v:path/>
            <v:fill on="f" focussize="0,0"/>
            <v:stroke on="f"/>
            <v:imagedata r:id="rId17" o:title=""/>
            <o:lock v:ext="edit" aspectratio="f"/>
            <w10:wrap type="none"/>
            <w10:anchorlock/>
          </v:shape>
          <o:OLEObject Type="Embed" ProgID="Excel.Sheet.12" ShapeID="_x0000_i1026" DrawAspect="Content" ObjectID="_1468075726" r:id="rId16">
            <o:LockedField>false</o:LockedField>
          </o:OLEObject>
        </w:object>
      </w:r>
    </w:p>
    <w:p w14:paraId="44E88396">
      <w:pPr>
        <w:pStyle w:val="5"/>
        <w:jc w:val="center"/>
        <w:outlineLvl w:val="9"/>
        <w:rPr>
          <w:rFonts w:ascii="方正小标宋简体" w:hAnsi="宋体" w:eastAsia="方正小标宋简体"/>
          <w:sz w:val="44"/>
          <w:szCs w:val="44"/>
        </w:rPr>
      </w:pPr>
      <w:r>
        <w:rPr>
          <w:rFonts w:hint="eastAsia" w:ascii="方正小标宋简体" w:hAnsi="方正小标宋简体" w:eastAsia="方正小标宋简体" w:cs="方正小标宋简体"/>
          <w:sz w:val="44"/>
          <w:szCs w:val="44"/>
          <w:lang w:val="en-US" w:eastAsia="zh-CN"/>
        </w:rPr>
        <w:t>川财农〔2022〕183号－关于下达2023年提前批中央和省级水利发展资金的通知（32万元）</w:t>
      </w:r>
      <w:r>
        <w:rPr>
          <w:rFonts w:hint="eastAsia" w:ascii="方正小标宋简体" w:hAnsi="宋体" w:eastAsia="方正小标宋简体"/>
          <w:sz w:val="44"/>
          <w:szCs w:val="44"/>
        </w:rPr>
        <w:t>项目支出绩效自评报告</w:t>
      </w:r>
    </w:p>
    <w:p w14:paraId="6B6A8933">
      <w:pPr>
        <w:pStyle w:val="25"/>
        <w:spacing w:line="560" w:lineRule="exact"/>
        <w:ind w:firstLine="640"/>
        <w:jc w:val="center"/>
        <w:outlineLvl w:val="9"/>
        <w:rPr>
          <w:rFonts w:ascii="宋体" w:hAnsi="宋体"/>
          <w:color w:val="auto"/>
          <w:kern w:val="2"/>
          <w:sz w:val="32"/>
          <w:szCs w:val="32"/>
        </w:rPr>
      </w:pPr>
    </w:p>
    <w:p w14:paraId="5251E592">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一、</w:t>
      </w:r>
      <w:r>
        <w:rPr>
          <w:rFonts w:hint="eastAsia" w:ascii="仿宋" w:hAnsi="仿宋" w:eastAsia="仿宋" w:cs="仿宋"/>
          <w:sz w:val="32"/>
          <w:szCs w:val="32"/>
          <w:lang w:val="zh-CN"/>
        </w:rPr>
        <w:t>项目概况</w:t>
      </w:r>
    </w:p>
    <w:p w14:paraId="5E3D1513">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08E5731C">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川财农〔2022〕183号－关于下达2023年提前批中央和省级水利发展资金的通知（32万元）下达我县2023年中央和省级水利发展资金32万元</w:t>
      </w:r>
      <w:r>
        <w:rPr>
          <w:rFonts w:hint="eastAsia" w:ascii="仿宋" w:hAnsi="仿宋" w:eastAsia="仿宋" w:cs="仿宋"/>
          <w:sz w:val="32"/>
          <w:szCs w:val="32"/>
          <w:lang w:val="zh-CN"/>
        </w:rPr>
        <w:t>。</w:t>
      </w:r>
    </w:p>
    <w:p w14:paraId="4C95B66A">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60C6FABA">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zh-CN"/>
        </w:rPr>
        <w:t>1.自动雨量站、水位站、自动水位雨量站30个；2.简易雨量站91个；3.无线预警广播站91个；4.山洪灾害服务器3个、预警软件1个、会议系统1个；5.视频监测站点2个；6.宣传大屏1个等维修养护建设。</w:t>
      </w:r>
    </w:p>
    <w:p w14:paraId="5D34D80C">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（三）项目资金申报相符性。</w:t>
      </w:r>
    </w:p>
    <w:p w14:paraId="7B4683A9">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财农〔2022〕183号－关于下达2023年提前批中央和省级水利发展资金的通知（32万元）下达我县2023年中央和省级水利发展资金32万元</w:t>
      </w:r>
      <w:r>
        <w:rPr>
          <w:rFonts w:hint="eastAsia" w:ascii="仿宋" w:hAnsi="仿宋" w:eastAsia="仿宋" w:cs="仿宋"/>
          <w:sz w:val="32"/>
          <w:szCs w:val="32"/>
          <w:lang w:val="zh-CN"/>
        </w:rPr>
        <w:t>。项目申报内容与具体实施内容相符。</w:t>
      </w:r>
    </w:p>
    <w:p w14:paraId="2B03DC58">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二、项目实施及管理情况</w:t>
      </w:r>
    </w:p>
    <w:p w14:paraId="3AEA3447">
      <w:pPr>
        <w:adjustRightInd w:val="0"/>
        <w:snapToGrid w:val="0"/>
        <w:spacing w:line="560" w:lineRule="exact"/>
        <w:ind w:firstLine="720"/>
        <w:outlineLvl w:val="9"/>
        <w:rPr>
          <w:rFonts w:hint="eastAsia" w:ascii="仿宋" w:hAnsi="仿宋" w:eastAsia="仿宋" w:cs="仿宋"/>
          <w:b/>
          <w:color w:val="auto"/>
          <w:sz w:val="32"/>
          <w:szCs w:val="32"/>
          <w:lang w:val="zh-CN"/>
        </w:rPr>
      </w:pPr>
      <w:r>
        <w:rPr>
          <w:rFonts w:hint="eastAsia" w:ascii="仿宋" w:hAnsi="仿宋" w:eastAsia="仿宋" w:cs="仿宋"/>
          <w:color w:val="auto"/>
          <w:sz w:val="32"/>
          <w:szCs w:val="32"/>
          <w:lang w:val="zh-CN"/>
        </w:rPr>
        <w:tab/>
      </w:r>
      <w:r>
        <w:rPr>
          <w:rFonts w:hint="eastAsia" w:ascii="仿宋" w:hAnsi="仿宋" w:eastAsia="仿宋" w:cs="仿宋"/>
          <w:b/>
          <w:color w:val="auto"/>
          <w:sz w:val="32"/>
          <w:szCs w:val="32"/>
          <w:lang w:val="zh-CN"/>
        </w:rPr>
        <w:t>（一）资金计划、到位及使用情况。</w:t>
      </w:r>
    </w:p>
    <w:p w14:paraId="3C5318EC">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1．资金计划及时到位。截至2023年</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lang w:val="en-US" w:eastAsia="zh-CN"/>
        </w:rPr>
        <w:t>31</w:t>
      </w:r>
      <w:r>
        <w:rPr>
          <w:rFonts w:hint="eastAsia" w:ascii="仿宋" w:hAnsi="仿宋" w:eastAsia="仿宋" w:cs="仿宋"/>
          <w:color w:val="auto"/>
          <w:sz w:val="32"/>
          <w:szCs w:val="32"/>
          <w:lang w:val="zh-CN"/>
        </w:rPr>
        <w:t>日，该项目资金到位</w:t>
      </w:r>
      <w:r>
        <w:rPr>
          <w:rFonts w:hint="eastAsia" w:ascii="仿宋" w:hAnsi="仿宋" w:eastAsia="仿宋" w:cs="仿宋"/>
          <w:color w:val="auto"/>
          <w:sz w:val="32"/>
          <w:szCs w:val="32"/>
          <w:lang w:val="en-US" w:eastAsia="zh-CN"/>
        </w:rPr>
        <w:t>32</w:t>
      </w:r>
      <w:r>
        <w:rPr>
          <w:rFonts w:hint="eastAsia" w:ascii="仿宋" w:hAnsi="仿宋" w:eastAsia="仿宋" w:cs="仿宋"/>
          <w:color w:val="auto"/>
          <w:sz w:val="32"/>
          <w:szCs w:val="32"/>
          <w:lang w:val="zh-CN"/>
        </w:rPr>
        <w:t>万元，资金到位情况与资金计划进行比对，资金到位率100%、到位及时。</w:t>
      </w:r>
    </w:p>
    <w:p w14:paraId="6ABF149D">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2．资金使用。</w:t>
      </w:r>
    </w:p>
    <w:p w14:paraId="490EAB03">
      <w:pPr>
        <w:adjustRightInd w:val="0"/>
        <w:snapToGrid w:val="0"/>
        <w:spacing w:line="560" w:lineRule="exact"/>
        <w:ind w:firstLine="720"/>
        <w:outlineLvl w:val="9"/>
        <w:rPr>
          <w:rFonts w:hint="eastAsia" w:ascii="仿宋" w:hAnsi="仿宋" w:eastAsia="仿宋" w:cs="仿宋"/>
          <w:color w:val="FF0000"/>
          <w:sz w:val="32"/>
          <w:szCs w:val="32"/>
          <w:lang w:val="zh-CN"/>
        </w:rPr>
      </w:pPr>
      <w:r>
        <w:rPr>
          <w:rFonts w:hint="eastAsia" w:ascii="仿宋" w:hAnsi="仿宋" w:eastAsia="仿宋" w:cs="仿宋"/>
          <w:color w:val="auto"/>
          <w:sz w:val="32"/>
          <w:szCs w:val="32"/>
          <w:lang w:val="en-US" w:eastAsia="zh-CN"/>
        </w:rPr>
        <w:t>截至2023年12月31日支付</w:t>
      </w:r>
      <w:r>
        <w:rPr>
          <w:rFonts w:hint="eastAsia" w:ascii="仿宋" w:hAnsi="仿宋" w:eastAsia="仿宋" w:cs="仿宋"/>
          <w:sz w:val="32"/>
          <w:szCs w:val="32"/>
          <w:lang w:val="en-US" w:eastAsia="zh-CN"/>
        </w:rPr>
        <w:t>山洪灾害预警、水库安全等费用32万元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资金支付100%</w:t>
      </w:r>
      <w:r>
        <w:rPr>
          <w:rFonts w:hint="eastAsia" w:ascii="仿宋" w:hAnsi="仿宋" w:eastAsia="仿宋" w:cs="仿宋"/>
          <w:color w:val="auto"/>
          <w:sz w:val="32"/>
          <w:szCs w:val="32"/>
          <w:lang w:val="zh-CN"/>
        </w:rPr>
        <w:t>。</w:t>
      </w:r>
    </w:p>
    <w:p w14:paraId="037B7848">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（二）项目财务管理情况。</w:t>
      </w:r>
    </w:p>
    <w:p w14:paraId="50E930AE">
      <w:pPr>
        <w:adjustRightInd w:val="0"/>
        <w:snapToGrid w:val="0"/>
        <w:spacing w:line="600" w:lineRule="exact"/>
        <w:ind w:firstLine="720"/>
        <w:outlineLvl w:val="9"/>
        <w:rPr>
          <w:rFonts w:hint="eastAsia" w:ascii="仿宋" w:hAnsi="仿宋" w:eastAsia="仿宋" w:cs="仿宋"/>
          <w:color w:val="000000"/>
          <w:sz w:val="32"/>
          <w:szCs w:val="32"/>
          <w:lang w:val="zh-CN"/>
        </w:rPr>
      </w:pPr>
      <w:r>
        <w:rPr>
          <w:rFonts w:hint="eastAsia" w:ascii="仿宋" w:hAnsi="仿宋" w:eastAsia="仿宋" w:cs="仿宋"/>
          <w:color w:val="000000"/>
          <w:sz w:val="32"/>
          <w:szCs w:val="32"/>
          <w:lang w:val="zh-CN"/>
        </w:rPr>
        <w:t>该项目资金严格按照财经管理制度规定使用，财务处理及时、规范，资料齐全、归档及时，无</w:t>
      </w:r>
      <w:r>
        <w:rPr>
          <w:rFonts w:hint="eastAsia" w:ascii="仿宋" w:hAnsi="仿宋" w:eastAsia="仿宋" w:cs="仿宋"/>
          <w:color w:val="000000"/>
          <w:kern w:val="0"/>
          <w:sz w:val="32"/>
          <w:szCs w:val="32"/>
          <w:shd w:val="clear" w:color="auto" w:fill="FFFFFF"/>
          <w:lang w:val="zh-CN"/>
        </w:rPr>
        <w:t>截留、挤占、挪用、套取、转移和浪费的现象，无任何违规记录。</w:t>
      </w:r>
    </w:p>
    <w:p w14:paraId="0CCDE1B9">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（三）项目组织实施情况。</w:t>
      </w:r>
    </w:p>
    <w:p w14:paraId="33EC22DC">
      <w:pPr>
        <w:adjustRightInd w:val="0"/>
        <w:snapToGrid w:val="0"/>
        <w:spacing w:line="560" w:lineRule="exact"/>
        <w:ind w:firstLine="72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峨边彝族自治县 2023年山洪灾害防治设施维修养护项目，项目业主为峨边彝族自治县水务局，项目主要建设内容为山洪灾害防治县级非工程措施建成的监测系统、监测预警平台、预警系统等软硬件的维护维修，项目于2023年4月开工，于2023年10月完工。</w:t>
      </w:r>
    </w:p>
    <w:p w14:paraId="589ACFD9">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三、项目绩效情况</w:t>
      </w:r>
      <w:r>
        <w:rPr>
          <w:rFonts w:hint="eastAsia" w:ascii="仿宋" w:hAnsi="仿宋" w:eastAsia="仿宋" w:cs="仿宋"/>
          <w:sz w:val="32"/>
          <w:szCs w:val="32"/>
          <w:lang w:val="zh-CN"/>
        </w:rPr>
        <w:tab/>
      </w:r>
    </w:p>
    <w:p w14:paraId="10E8BB14">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05E95D1D">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该</w:t>
      </w:r>
      <w:r>
        <w:rPr>
          <w:rFonts w:hint="eastAsia" w:ascii="仿宋" w:hAnsi="仿宋" w:eastAsia="仿宋" w:cs="仿宋"/>
          <w:color w:val="000000"/>
          <w:sz w:val="32"/>
          <w:szCs w:val="32"/>
        </w:rPr>
        <w:t>项目于2023年4月开工，于2023年10月完工。</w:t>
      </w:r>
    </w:p>
    <w:p w14:paraId="1B6BFD4F">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364E243A">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sz w:val="32"/>
          <w:szCs w:val="32"/>
          <w:lang w:val="zh-CN"/>
        </w:rPr>
        <w:t>本项目实施后，可进一步</w:t>
      </w:r>
      <w:r>
        <w:rPr>
          <w:rFonts w:hint="eastAsia" w:ascii="仿宋" w:hAnsi="仿宋" w:eastAsia="仿宋" w:cs="仿宋"/>
          <w:sz w:val="32"/>
          <w:szCs w:val="32"/>
          <w:lang w:val="en-US" w:eastAsia="zh-CN"/>
        </w:rPr>
        <w:t>，提高河道下流群众生命财产安全保障，河道行洪能力有效提升，水库安全运行。</w:t>
      </w:r>
      <w:r>
        <w:rPr>
          <w:rFonts w:hint="eastAsia" w:ascii="仿宋" w:hAnsi="仿宋" w:eastAsia="仿宋" w:cs="仿宋"/>
          <w:color w:val="000000"/>
          <w:sz w:val="32"/>
          <w:szCs w:val="32"/>
          <w:lang w:val="en-US" w:eastAsia="zh-CN"/>
        </w:rPr>
        <w:t>服务对象</w:t>
      </w:r>
      <w:r>
        <w:rPr>
          <w:rFonts w:hint="eastAsia" w:ascii="仿宋" w:hAnsi="仿宋" w:eastAsia="仿宋" w:cs="仿宋"/>
          <w:color w:val="000000"/>
          <w:sz w:val="32"/>
          <w:szCs w:val="32"/>
        </w:rPr>
        <w:t>满意度</w:t>
      </w:r>
      <w:r>
        <w:rPr>
          <w:rFonts w:hint="eastAsia" w:ascii="仿宋" w:hAnsi="仿宋" w:eastAsia="仿宋" w:cs="仿宋"/>
          <w:color w:val="000000"/>
          <w:sz w:val="32"/>
          <w:szCs w:val="32"/>
          <w:lang w:val="en-US" w:eastAsia="zh-CN"/>
        </w:rPr>
        <w:t>100</w:t>
      </w:r>
      <w:r>
        <w:rPr>
          <w:rFonts w:hint="eastAsia" w:ascii="仿宋" w:hAnsi="仿宋" w:eastAsia="仿宋" w:cs="仿宋"/>
          <w:color w:val="000000"/>
          <w:sz w:val="32"/>
          <w:szCs w:val="32"/>
        </w:rPr>
        <w:t>%。</w:t>
      </w:r>
    </w:p>
    <w:p w14:paraId="4FE26719">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四、问题及建议</w:t>
      </w:r>
    </w:p>
    <w:p w14:paraId="57DA669B">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（一）存在的问题。</w:t>
      </w:r>
    </w:p>
    <w:p w14:paraId="69B300D1">
      <w:pPr>
        <w:numPr>
          <w:ilvl w:val="0"/>
          <w:numId w:val="10"/>
        </w:numPr>
        <w:adjustRightInd w:val="0"/>
        <w:snapToGrid w:val="0"/>
        <w:spacing w:line="560" w:lineRule="exact"/>
        <w:ind w:left="120" w:leftChars="0" w:firstLine="720" w:firstLineChars="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相关建议。</w:t>
      </w:r>
    </w:p>
    <w:p w14:paraId="14CD743E">
      <w:pPr>
        <w:pStyle w:val="5"/>
        <w:outlineLvl w:val="9"/>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27" o:spt="75" type="#_x0000_t75" style="height:626.4pt;width:415.05pt;" o:ole="t" filled="f" o:preferrelative="t" stroked="f" coordsize="21600,21600">
            <v:path/>
            <v:fill on="f" focussize="0,0"/>
            <v:stroke on="f"/>
            <v:imagedata r:id="rId19" o:title=""/>
            <o:lock v:ext="edit" aspectratio="f"/>
            <w10:wrap type="none"/>
            <w10:anchorlock/>
          </v:shape>
          <o:OLEObject Type="Embed" ProgID="Excel.Sheet.12" ShapeID="_x0000_i1027" DrawAspect="Content" ObjectID="_1468075727" r:id="rId18">
            <o:LockedField>false</o:LockedField>
          </o:OLEObject>
        </w:object>
      </w:r>
    </w:p>
    <w:p w14:paraId="62EE9435">
      <w:pPr>
        <w:pStyle w:val="25"/>
        <w:spacing w:line="600" w:lineRule="exact"/>
        <w:jc w:val="center"/>
        <w:outlineLvl w:val="9"/>
        <w:rPr>
          <w:rFonts w:ascii="方正小标宋简体" w:hAnsi="宋体" w:eastAsia="方正小标宋简体"/>
          <w:sz w:val="44"/>
          <w:szCs w:val="44"/>
        </w:rPr>
      </w:pPr>
      <w:r>
        <w:rPr>
          <w:rFonts w:hint="eastAsia" w:ascii="方正小标宋简体" w:hAnsi="方正小标宋简体" w:eastAsia="方正小标宋简体" w:cs="方正小标宋简体"/>
          <w:sz w:val="44"/>
          <w:szCs w:val="44"/>
        </w:rPr>
        <w:t>川财农</w:t>
      </w:r>
      <w:r>
        <w:rPr>
          <w:rFonts w:hint="eastAsia" w:ascii="方正小标宋简体" w:hAnsi="方正小标宋简体" w:eastAsia="方正小标宋简体" w:cs="方正小标宋简体"/>
          <w:sz w:val="44"/>
          <w:szCs w:val="44"/>
          <w:lang w:eastAsia="zh-CN"/>
        </w:rPr>
        <w:t>〔2023〕79号</w:t>
      </w:r>
      <w:r>
        <w:rPr>
          <w:rFonts w:hint="eastAsia" w:ascii="方正小标宋简体" w:hAnsi="方正小标宋简体" w:eastAsia="方正小标宋简体" w:cs="方正小标宋简体"/>
          <w:sz w:val="44"/>
          <w:szCs w:val="44"/>
        </w:rPr>
        <w:t>关于下达2023年中央大中型水库移民后期扶持资金的通知</w:t>
      </w:r>
      <w:r>
        <w:rPr>
          <w:rFonts w:hint="eastAsia" w:ascii="方正小标宋简体" w:hAnsi="宋体" w:eastAsia="方正小标宋简体"/>
          <w:sz w:val="44"/>
          <w:szCs w:val="44"/>
        </w:rPr>
        <w:t>项目支出绩效自评报告</w:t>
      </w:r>
    </w:p>
    <w:p w14:paraId="2565C7F2">
      <w:pPr>
        <w:pStyle w:val="25"/>
        <w:spacing w:line="560" w:lineRule="exact"/>
        <w:ind w:firstLine="640"/>
        <w:jc w:val="center"/>
        <w:outlineLvl w:val="9"/>
        <w:rPr>
          <w:rFonts w:ascii="宋体" w:hAnsi="宋体"/>
          <w:color w:val="auto"/>
          <w:kern w:val="2"/>
          <w:sz w:val="32"/>
          <w:szCs w:val="32"/>
        </w:rPr>
      </w:pPr>
    </w:p>
    <w:p w14:paraId="184AB0D7">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一、</w:t>
      </w:r>
      <w:r>
        <w:rPr>
          <w:rFonts w:hint="eastAsia" w:ascii="仿宋" w:hAnsi="仿宋" w:eastAsia="仿宋" w:cs="仿宋"/>
          <w:sz w:val="32"/>
          <w:szCs w:val="32"/>
          <w:lang w:val="zh-CN"/>
        </w:rPr>
        <w:t>项目概况</w:t>
      </w:r>
    </w:p>
    <w:p w14:paraId="58260701">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44EDD85A">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highlight w:val="none"/>
          <w:lang w:val="en-US" w:eastAsia="zh-CN"/>
        </w:rPr>
        <w:t>四川省财政厅川财农〔2023〕79号关于下达2023年中央大中型水库移民后期扶持资金的通知，下达资金463万元</w:t>
      </w:r>
      <w:r>
        <w:rPr>
          <w:rFonts w:hint="eastAsia" w:ascii="仿宋" w:hAnsi="仿宋" w:eastAsia="仿宋" w:cs="仿宋"/>
          <w:sz w:val="32"/>
          <w:szCs w:val="32"/>
          <w:lang w:val="zh-CN"/>
        </w:rPr>
        <w:t>。</w:t>
      </w:r>
    </w:p>
    <w:p w14:paraId="513E32FD">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06DD28C1">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zh-CN"/>
        </w:rPr>
        <w:t>新建马嘶溪桥梁，桥长1246米，引道0.726公里；安装二水厂管网φ25mm-200管网35KM，及其他附属设施。</w:t>
      </w:r>
    </w:p>
    <w:p w14:paraId="17F12F80">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（三）项目资金申报相符性。</w:t>
      </w:r>
    </w:p>
    <w:p w14:paraId="7068FB1F">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highlight w:val="none"/>
          <w:lang w:val="en-US" w:eastAsia="zh-CN"/>
        </w:rPr>
        <w:t>四川省财政厅川财农〔2023〕79号关于下达2023年中央大中型水库移民后期扶持资金的通知，下达资金463万元</w:t>
      </w:r>
      <w:r>
        <w:rPr>
          <w:rFonts w:hint="eastAsia" w:ascii="仿宋" w:hAnsi="仿宋" w:eastAsia="仿宋" w:cs="仿宋"/>
          <w:sz w:val="32"/>
          <w:szCs w:val="32"/>
          <w:lang w:val="zh-CN"/>
        </w:rPr>
        <w:t>。项目申报内容与具体实施内容相符。</w:t>
      </w:r>
    </w:p>
    <w:p w14:paraId="166DF015">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二、项目实施及管理情况</w:t>
      </w:r>
    </w:p>
    <w:p w14:paraId="43FE7E31">
      <w:pPr>
        <w:adjustRightInd w:val="0"/>
        <w:snapToGrid w:val="0"/>
        <w:spacing w:line="560" w:lineRule="exact"/>
        <w:ind w:firstLine="720"/>
        <w:outlineLvl w:val="9"/>
        <w:rPr>
          <w:rFonts w:hint="eastAsia" w:ascii="仿宋" w:hAnsi="仿宋" w:eastAsia="仿宋" w:cs="仿宋"/>
          <w:b/>
          <w:color w:val="auto"/>
          <w:sz w:val="32"/>
          <w:szCs w:val="32"/>
          <w:lang w:val="zh-CN"/>
        </w:rPr>
      </w:pPr>
      <w:r>
        <w:rPr>
          <w:rFonts w:hint="eastAsia" w:ascii="仿宋" w:hAnsi="仿宋" w:eastAsia="仿宋" w:cs="仿宋"/>
          <w:color w:val="auto"/>
          <w:sz w:val="32"/>
          <w:szCs w:val="32"/>
          <w:lang w:val="zh-CN"/>
        </w:rPr>
        <w:tab/>
      </w:r>
      <w:r>
        <w:rPr>
          <w:rFonts w:hint="eastAsia" w:ascii="仿宋" w:hAnsi="仿宋" w:eastAsia="仿宋" w:cs="仿宋"/>
          <w:b/>
          <w:color w:val="auto"/>
          <w:sz w:val="32"/>
          <w:szCs w:val="32"/>
          <w:lang w:val="zh-CN"/>
        </w:rPr>
        <w:t>（一）资金计划、到位及使用情况。</w:t>
      </w:r>
    </w:p>
    <w:p w14:paraId="3D86FE77">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1．资金计划及时到位。截至2023年</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lang w:val="en-US" w:eastAsia="zh-CN"/>
        </w:rPr>
        <w:t>31</w:t>
      </w:r>
      <w:r>
        <w:rPr>
          <w:rFonts w:hint="eastAsia" w:ascii="仿宋" w:hAnsi="仿宋" w:eastAsia="仿宋" w:cs="仿宋"/>
          <w:color w:val="auto"/>
          <w:sz w:val="32"/>
          <w:szCs w:val="32"/>
          <w:lang w:val="zh-CN"/>
        </w:rPr>
        <w:t>日，该项目资金到位</w:t>
      </w:r>
      <w:r>
        <w:rPr>
          <w:rFonts w:hint="eastAsia" w:ascii="仿宋" w:hAnsi="仿宋" w:eastAsia="仿宋" w:cs="仿宋"/>
          <w:color w:val="auto"/>
          <w:sz w:val="32"/>
          <w:szCs w:val="32"/>
          <w:lang w:val="en-US" w:eastAsia="zh-CN"/>
        </w:rPr>
        <w:t>463</w:t>
      </w:r>
      <w:r>
        <w:rPr>
          <w:rFonts w:hint="eastAsia" w:ascii="仿宋" w:hAnsi="仿宋" w:eastAsia="仿宋" w:cs="仿宋"/>
          <w:color w:val="auto"/>
          <w:sz w:val="32"/>
          <w:szCs w:val="32"/>
          <w:lang w:val="zh-CN"/>
        </w:rPr>
        <w:t>万元，资金到位情况与资金计划进行比对，资金到位率100%、到位及时。</w:t>
      </w:r>
    </w:p>
    <w:p w14:paraId="64101E1F">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2．资金使用。</w:t>
      </w:r>
    </w:p>
    <w:p w14:paraId="5D60FE9C">
      <w:pPr>
        <w:adjustRightInd w:val="0"/>
        <w:snapToGrid w:val="0"/>
        <w:spacing w:line="560" w:lineRule="exact"/>
        <w:ind w:firstLine="720"/>
        <w:outlineLvl w:val="9"/>
        <w:rPr>
          <w:rFonts w:hint="eastAsia" w:ascii="仿宋" w:hAnsi="仿宋" w:eastAsia="仿宋" w:cs="仿宋"/>
          <w:color w:val="FF0000"/>
          <w:sz w:val="32"/>
          <w:szCs w:val="32"/>
          <w:lang w:val="zh-CN"/>
        </w:rPr>
      </w:pPr>
      <w:r>
        <w:rPr>
          <w:rFonts w:hint="eastAsia" w:ascii="仿宋" w:hAnsi="仿宋" w:eastAsia="仿宋" w:cs="仿宋"/>
          <w:color w:val="auto"/>
          <w:sz w:val="32"/>
          <w:szCs w:val="32"/>
          <w:lang w:val="en-US" w:eastAsia="zh-CN"/>
        </w:rPr>
        <w:t>截至2023年12月31日支付二水厂二期管网建设项目140.32万元，支付S309线马嘶溪大渡河大桥预付款322.68万元，共计支付工程款463万元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资金支付100%</w:t>
      </w:r>
      <w:r>
        <w:rPr>
          <w:rFonts w:hint="eastAsia" w:ascii="仿宋" w:hAnsi="仿宋" w:eastAsia="仿宋" w:cs="仿宋"/>
          <w:color w:val="auto"/>
          <w:sz w:val="32"/>
          <w:szCs w:val="32"/>
          <w:lang w:val="zh-CN"/>
        </w:rPr>
        <w:t>。</w:t>
      </w:r>
    </w:p>
    <w:p w14:paraId="27063F22">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（二）项目财务管理情况。</w:t>
      </w:r>
    </w:p>
    <w:p w14:paraId="4C1AAFB9">
      <w:pPr>
        <w:adjustRightInd w:val="0"/>
        <w:snapToGrid w:val="0"/>
        <w:spacing w:line="600" w:lineRule="exact"/>
        <w:ind w:firstLine="720"/>
        <w:outlineLvl w:val="9"/>
        <w:rPr>
          <w:rFonts w:hint="eastAsia" w:ascii="仿宋" w:hAnsi="仿宋" w:eastAsia="仿宋" w:cs="仿宋"/>
          <w:color w:val="000000"/>
          <w:sz w:val="32"/>
          <w:szCs w:val="32"/>
          <w:lang w:val="zh-CN"/>
        </w:rPr>
      </w:pPr>
      <w:r>
        <w:rPr>
          <w:rFonts w:hint="eastAsia" w:ascii="仿宋" w:hAnsi="仿宋" w:eastAsia="仿宋" w:cs="仿宋"/>
          <w:color w:val="000000"/>
          <w:sz w:val="32"/>
          <w:szCs w:val="32"/>
          <w:lang w:val="zh-CN"/>
        </w:rPr>
        <w:t>该项目资金严格按照财经管理制度规定使用，财务处理及时、规范，资料齐全、归档及时，无</w:t>
      </w:r>
      <w:r>
        <w:rPr>
          <w:rFonts w:hint="eastAsia" w:ascii="仿宋" w:hAnsi="仿宋" w:eastAsia="仿宋" w:cs="仿宋"/>
          <w:color w:val="000000"/>
          <w:kern w:val="0"/>
          <w:sz w:val="32"/>
          <w:szCs w:val="32"/>
          <w:shd w:val="clear" w:color="auto" w:fill="FFFFFF"/>
          <w:lang w:val="zh-CN"/>
        </w:rPr>
        <w:t>截留、挤占、挪用、套取、转移和浪费的现象，无任何违规记录。</w:t>
      </w:r>
    </w:p>
    <w:p w14:paraId="21DC264B">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（三）项目组织实施情况。</w:t>
      </w:r>
    </w:p>
    <w:p w14:paraId="54501E2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县水务局、县财政局联合向峨边彝族自治县人民政府报审《关于审定印发峨边彝族自治县2023年度大中型水库移民后期扶持项目计划方案》的请示（峨水发〔2023〕27号）。经峨边彝族自治县政府常务会议研究同意印发《峨边彝族自治县人民政府办公室关于印发峨边彝族自治县2023年度大中型水库移民后期扶持项目计划方案的通知》（峨边府办函〔2023〕15号）。要求相关乡镇加强资金项目管理、规范组织实施、鼓励村民自建，并明确提出项目建设要求。</w:t>
      </w:r>
    </w:p>
    <w:p w14:paraId="34472352">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三、项目绩效情况</w:t>
      </w:r>
      <w:r>
        <w:rPr>
          <w:rFonts w:hint="eastAsia" w:ascii="仿宋" w:hAnsi="仿宋" w:eastAsia="仿宋" w:cs="仿宋"/>
          <w:sz w:val="32"/>
          <w:szCs w:val="32"/>
          <w:lang w:val="zh-CN"/>
        </w:rPr>
        <w:tab/>
      </w:r>
    </w:p>
    <w:p w14:paraId="2E2104B5">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4203268C">
      <w:pPr>
        <w:adjustRightInd w:val="0"/>
        <w:snapToGrid w:val="0"/>
        <w:spacing w:line="560" w:lineRule="exact"/>
        <w:ind w:firstLine="720"/>
        <w:outlineLvl w:val="9"/>
        <w:rPr>
          <w:rFonts w:hint="eastAsia" w:ascii="仿宋" w:hAnsi="仿宋" w:eastAsia="仿宋" w:cs="仿宋"/>
          <w:sz w:val="32"/>
          <w:szCs w:val="32"/>
          <w:lang w:val="en-US" w:eastAsia="zh-CN"/>
        </w:rPr>
      </w:pPr>
      <w:r>
        <w:rPr>
          <w:rFonts w:hint="eastAsia" w:ascii="仿宋" w:hAnsi="仿宋" w:eastAsia="仿宋" w:cs="仿宋"/>
          <w:sz w:val="32"/>
          <w:szCs w:val="32"/>
          <w:highlight w:val="none"/>
          <w:lang w:val="en-US" w:eastAsia="zh-CN"/>
        </w:rPr>
        <w:t>1.二水厂二期管网建设项目和S309线马嘶溪大桥建设中。</w:t>
      </w:r>
    </w:p>
    <w:p w14:paraId="3C891CCC">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353C9F8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 xml:space="preserve">移民后期扶持项目建设为峨边库区群众提供丰富的特色农产品，为库区群众开辟新的致富门路，建立稳定的经济收入来源，促进库区农业生产结构的调整和优化，促进农业资源优势向商品优势的转化、促进项目区农业产业化经营进程，为群众提供劳动力就业机会，增加群众的经济收入。    </w:t>
      </w:r>
    </w:p>
    <w:p w14:paraId="569355D3">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sz w:val="32"/>
          <w:szCs w:val="32"/>
          <w:highlight w:val="none"/>
          <w:lang w:val="en-US" w:eastAsia="zh-CN"/>
        </w:rPr>
        <w:t>移民后期扶持项目建设，有利于改善库区群众生活生产条件，帮助库区群众增产增收，加快库区群众脱贫奔康步伐，为维护社会稳定做贡献</w:t>
      </w:r>
      <w:r>
        <w:rPr>
          <w:rFonts w:hint="eastAsia" w:ascii="仿宋" w:hAnsi="仿宋" w:eastAsia="仿宋" w:cs="仿宋"/>
          <w:sz w:val="32"/>
          <w:szCs w:val="32"/>
          <w:lang w:val="en-US" w:eastAsia="zh-CN"/>
        </w:rPr>
        <w:t>。</w:t>
      </w:r>
      <w:r>
        <w:rPr>
          <w:rFonts w:hint="eastAsia" w:ascii="仿宋" w:hAnsi="仿宋" w:eastAsia="仿宋" w:cs="仿宋"/>
          <w:color w:val="000000"/>
          <w:sz w:val="32"/>
          <w:szCs w:val="32"/>
          <w:lang w:val="en-US" w:eastAsia="zh-CN"/>
        </w:rPr>
        <w:t>服务对象</w:t>
      </w:r>
      <w:r>
        <w:rPr>
          <w:rFonts w:hint="eastAsia" w:ascii="仿宋" w:hAnsi="仿宋" w:eastAsia="仿宋" w:cs="仿宋"/>
          <w:color w:val="000000"/>
          <w:sz w:val="32"/>
          <w:szCs w:val="32"/>
        </w:rPr>
        <w:t>满意度</w:t>
      </w:r>
      <w:r>
        <w:rPr>
          <w:rFonts w:hint="eastAsia" w:ascii="仿宋" w:hAnsi="仿宋" w:eastAsia="仿宋" w:cs="仿宋"/>
          <w:color w:val="000000"/>
          <w:sz w:val="32"/>
          <w:szCs w:val="32"/>
          <w:lang w:val="en-US" w:eastAsia="zh-CN"/>
        </w:rPr>
        <w:t>100</w:t>
      </w:r>
      <w:r>
        <w:rPr>
          <w:rFonts w:hint="eastAsia" w:ascii="仿宋" w:hAnsi="仿宋" w:eastAsia="仿宋" w:cs="仿宋"/>
          <w:color w:val="000000"/>
          <w:sz w:val="32"/>
          <w:szCs w:val="32"/>
        </w:rPr>
        <w:t>%。</w:t>
      </w:r>
    </w:p>
    <w:p w14:paraId="5DAF8928">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四、问题及建议</w:t>
      </w:r>
    </w:p>
    <w:p w14:paraId="2A22EC60">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（一）存在的问题。</w:t>
      </w:r>
    </w:p>
    <w:p w14:paraId="7A86C9F3">
      <w:pPr>
        <w:adjustRightInd w:val="0"/>
        <w:snapToGrid w:val="0"/>
        <w:spacing w:line="560" w:lineRule="exact"/>
        <w:ind w:firstLine="720"/>
        <w:outlineLvl w:val="9"/>
        <w:rPr>
          <w:rFonts w:hint="eastAsia" w:ascii="仿宋" w:hAnsi="仿宋" w:eastAsia="仿宋" w:cs="仿宋"/>
          <w:b/>
          <w:sz w:val="32"/>
          <w:szCs w:val="32"/>
          <w:lang w:val="en-US" w:eastAsia="zh-CN"/>
        </w:rPr>
      </w:pPr>
      <w:r>
        <w:rPr>
          <w:rFonts w:hint="eastAsia" w:ascii="仿宋" w:hAnsi="仿宋" w:eastAsia="仿宋" w:cs="仿宋"/>
          <w:sz w:val="32"/>
          <w:szCs w:val="32"/>
          <w:highlight w:val="none"/>
          <w:lang w:val="en-US" w:eastAsia="zh-CN"/>
        </w:rPr>
        <w:t>一是项目批复及项目前期工作时间太长；二是项目建设过程档案收集不规范，导致项目验收和审计不及时</w:t>
      </w:r>
      <w:r>
        <w:rPr>
          <w:rFonts w:hint="eastAsia" w:ascii="仿宋" w:hAnsi="仿宋" w:eastAsia="仿宋" w:cs="仿宋"/>
          <w:sz w:val="32"/>
          <w:szCs w:val="32"/>
          <w:lang w:val="en-US" w:eastAsia="zh-CN"/>
        </w:rPr>
        <w:t>。</w:t>
      </w:r>
    </w:p>
    <w:p w14:paraId="1AB77FB9">
      <w:pPr>
        <w:numPr>
          <w:ilvl w:val="0"/>
          <w:numId w:val="9"/>
        </w:numPr>
        <w:adjustRightInd w:val="0"/>
        <w:snapToGrid w:val="0"/>
        <w:spacing w:line="560" w:lineRule="exact"/>
        <w:ind w:firstLine="720"/>
        <w:outlineLvl w:val="9"/>
        <w:rPr>
          <w:rFonts w:hint="eastAsia" w:ascii="仿宋" w:hAnsi="仿宋" w:eastAsia="仿宋" w:cs="仿宋"/>
          <w:sz w:val="32"/>
          <w:szCs w:val="32"/>
          <w:lang w:val="en-US" w:eastAsia="zh-CN"/>
        </w:rPr>
      </w:pPr>
      <w:r>
        <w:rPr>
          <w:rFonts w:hint="eastAsia" w:ascii="仿宋" w:hAnsi="仿宋" w:eastAsia="仿宋" w:cs="仿宋"/>
          <w:b/>
          <w:sz w:val="32"/>
          <w:szCs w:val="32"/>
          <w:lang w:val="zh-CN"/>
        </w:rPr>
        <w:t>相关建议。</w:t>
      </w:r>
    </w:p>
    <w:p w14:paraId="67D3CA26">
      <w:pPr>
        <w:numPr>
          <w:ilvl w:val="0"/>
          <w:numId w:val="0"/>
        </w:numPr>
        <w:adjustRightInd w:val="0"/>
        <w:snapToGrid w:val="0"/>
        <w:spacing w:line="560" w:lineRule="exact"/>
        <w:ind w:firstLine="640" w:firstLineChars="200"/>
        <w:outlineLvl w:val="9"/>
        <w:rPr>
          <w:rFonts w:hint="eastAsia" w:ascii="仿宋" w:hAnsi="仿宋" w:eastAsia="仿宋" w:cs="仿宋"/>
          <w:sz w:val="32"/>
          <w:szCs w:val="32"/>
          <w:lang w:val="en-US" w:eastAsia="zh-CN"/>
        </w:rPr>
      </w:pPr>
      <w:r>
        <w:rPr>
          <w:rFonts w:hint="eastAsia" w:ascii="仿宋" w:hAnsi="仿宋" w:eastAsia="仿宋" w:cs="仿宋"/>
          <w:sz w:val="32"/>
          <w:szCs w:val="32"/>
          <w:highlight w:val="none"/>
          <w:lang w:val="en-US" w:eastAsia="zh-CN"/>
        </w:rPr>
        <w:t>我县移民人口基数大，居住分散，散居移民基础设施薄弱，为有效衔接乡村振兴，需加大移民后期帮扶资金投资力度，尽可能覆盖散居移民基础设施建设，确保库区移民稳定。</w:t>
      </w:r>
    </w:p>
    <w:p w14:paraId="7A366D83">
      <w:pPr>
        <w:pStyle w:val="5"/>
        <w:outlineLvl w:val="9"/>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28" o:spt="75" type="#_x0000_t75" style="height:660.5pt;width:415.05pt;" o:ole="t" filled="f" o:preferrelative="t" stroked="f" coordsize="21600,21600">
            <v:path/>
            <v:fill on="f" focussize="0,0"/>
            <v:stroke on="f"/>
            <v:imagedata r:id="rId21" o:title=""/>
            <o:lock v:ext="edit" aspectratio="f"/>
            <w10:wrap type="none"/>
            <w10:anchorlock/>
          </v:shape>
          <o:OLEObject Type="Embed" ProgID="Excel.Sheet.12" ShapeID="_x0000_i1028" DrawAspect="Content" ObjectID="_1468075728" r:id="rId20">
            <o:LockedField>false</o:LockedField>
          </o:OLEObject>
        </w:object>
      </w:r>
    </w:p>
    <w:p w14:paraId="2F977DFA">
      <w:pPr>
        <w:pStyle w:val="25"/>
        <w:spacing w:line="600" w:lineRule="exact"/>
        <w:jc w:val="center"/>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峨边彝族自治县水务局</w:t>
      </w:r>
    </w:p>
    <w:p w14:paraId="51104DB9">
      <w:pPr>
        <w:pStyle w:val="25"/>
        <w:spacing w:line="600" w:lineRule="exact"/>
        <w:jc w:val="center"/>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2023年乡村振兴补助资金项目（省级）</w:t>
      </w:r>
    </w:p>
    <w:p w14:paraId="59DCA1A4">
      <w:pPr>
        <w:pStyle w:val="25"/>
        <w:spacing w:line="600" w:lineRule="exact"/>
        <w:jc w:val="center"/>
        <w:outlineLvl w:val="9"/>
        <w:rPr>
          <w:rFonts w:ascii="方正小标宋简体" w:hAnsi="宋体" w:eastAsia="方正小标宋简体"/>
          <w:sz w:val="44"/>
          <w:szCs w:val="44"/>
        </w:rPr>
      </w:pPr>
      <w:r>
        <w:rPr>
          <w:rFonts w:hint="eastAsia" w:ascii="方正小标宋简体" w:hAnsi="宋体" w:eastAsia="方正小标宋简体"/>
          <w:sz w:val="44"/>
          <w:szCs w:val="44"/>
        </w:rPr>
        <w:t>项目支出绩效自评报告</w:t>
      </w:r>
    </w:p>
    <w:p w14:paraId="68DCA947">
      <w:pPr>
        <w:pStyle w:val="25"/>
        <w:spacing w:line="560" w:lineRule="exact"/>
        <w:ind w:firstLine="640"/>
        <w:jc w:val="center"/>
        <w:outlineLvl w:val="9"/>
        <w:rPr>
          <w:rFonts w:ascii="宋体" w:hAnsi="宋体"/>
          <w:color w:val="auto"/>
          <w:kern w:val="2"/>
          <w:sz w:val="32"/>
          <w:szCs w:val="32"/>
        </w:rPr>
      </w:pPr>
    </w:p>
    <w:p w14:paraId="6AB2977C">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一、</w:t>
      </w:r>
      <w:r>
        <w:rPr>
          <w:rFonts w:hint="eastAsia" w:ascii="仿宋" w:hAnsi="仿宋" w:eastAsia="仿宋" w:cs="仿宋"/>
          <w:sz w:val="32"/>
          <w:szCs w:val="32"/>
          <w:lang w:val="zh-CN"/>
        </w:rPr>
        <w:t>项目概况</w:t>
      </w:r>
    </w:p>
    <w:p w14:paraId="261C9DD9">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38F5D158">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峨边彝族自治县人民政府办公室《2023年峨边中央财政衔接推进乡村振兴补助资金使用方案》下达</w:t>
      </w:r>
      <w:r>
        <w:rPr>
          <w:rFonts w:hint="eastAsia" w:ascii="仿宋" w:hAnsi="仿宋" w:eastAsia="仿宋" w:cs="仿宋"/>
          <w:sz w:val="32"/>
          <w:szCs w:val="32"/>
          <w:lang w:val="zh-CN"/>
        </w:rPr>
        <w:t>水务局202</w:t>
      </w:r>
      <w:r>
        <w:rPr>
          <w:rFonts w:hint="eastAsia" w:ascii="仿宋" w:hAnsi="仿宋" w:eastAsia="仿宋" w:cs="仿宋"/>
          <w:sz w:val="32"/>
          <w:szCs w:val="32"/>
          <w:lang w:val="en-US" w:eastAsia="zh-CN"/>
        </w:rPr>
        <w:t>3</w:t>
      </w:r>
      <w:r>
        <w:rPr>
          <w:rFonts w:hint="eastAsia" w:ascii="仿宋" w:hAnsi="仿宋" w:eastAsia="仿宋" w:cs="仿宋"/>
          <w:sz w:val="32"/>
          <w:szCs w:val="32"/>
          <w:lang w:val="zh-CN"/>
        </w:rPr>
        <w:t>年乡村振兴补助资金项目（</w:t>
      </w:r>
      <w:r>
        <w:rPr>
          <w:rFonts w:hint="eastAsia" w:ascii="仿宋" w:hAnsi="仿宋" w:eastAsia="仿宋" w:cs="仿宋"/>
          <w:sz w:val="32"/>
          <w:szCs w:val="32"/>
          <w:lang w:val="en-US" w:eastAsia="zh-CN"/>
        </w:rPr>
        <w:t>省</w:t>
      </w:r>
      <w:r>
        <w:rPr>
          <w:rFonts w:hint="eastAsia" w:ascii="仿宋" w:hAnsi="仿宋" w:eastAsia="仿宋" w:cs="仿宋"/>
          <w:sz w:val="32"/>
          <w:szCs w:val="32"/>
          <w:lang w:val="zh-CN"/>
        </w:rPr>
        <w:t>级）</w:t>
      </w:r>
      <w:r>
        <w:rPr>
          <w:rFonts w:hint="eastAsia" w:ascii="仿宋" w:hAnsi="仿宋" w:eastAsia="仿宋" w:cs="仿宋"/>
          <w:sz w:val="32"/>
          <w:szCs w:val="32"/>
          <w:lang w:val="en-US" w:eastAsia="zh-CN"/>
        </w:rPr>
        <w:t>160.48万元</w:t>
      </w:r>
      <w:r>
        <w:rPr>
          <w:rFonts w:hint="eastAsia" w:ascii="仿宋" w:hAnsi="仿宋" w:eastAsia="仿宋" w:cs="仿宋"/>
          <w:sz w:val="32"/>
          <w:szCs w:val="32"/>
          <w:lang w:val="zh-CN"/>
        </w:rPr>
        <w:t>。</w:t>
      </w:r>
    </w:p>
    <w:p w14:paraId="2DBBBB21">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5C017B03">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zh-CN"/>
        </w:rPr>
        <w:t>完成</w:t>
      </w:r>
      <w:r>
        <w:rPr>
          <w:rFonts w:hint="eastAsia" w:ascii="仿宋" w:hAnsi="仿宋" w:eastAsia="仿宋" w:cs="仿宋"/>
          <w:sz w:val="32"/>
          <w:szCs w:val="32"/>
          <w:lang w:val="en-US" w:eastAsia="zh-CN"/>
        </w:rPr>
        <w:t>168个山洪灾害预警人员补贴和农户安全饮用水管道进行局部补短</w:t>
      </w:r>
      <w:r>
        <w:rPr>
          <w:rFonts w:hint="eastAsia" w:ascii="仿宋" w:hAnsi="仿宋" w:eastAsia="仿宋" w:cs="仿宋"/>
          <w:sz w:val="32"/>
          <w:szCs w:val="32"/>
          <w:lang w:val="zh-CN"/>
        </w:rPr>
        <w:t>。</w:t>
      </w:r>
    </w:p>
    <w:p w14:paraId="39436916">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（三）项目资金申报相符性。</w:t>
      </w:r>
    </w:p>
    <w:p w14:paraId="7882C9CC">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zh-CN"/>
        </w:rPr>
        <w:t>根据</w:t>
      </w:r>
      <w:r>
        <w:rPr>
          <w:rFonts w:hint="eastAsia" w:ascii="仿宋" w:hAnsi="仿宋" w:eastAsia="仿宋" w:cs="仿宋"/>
          <w:sz w:val="32"/>
          <w:szCs w:val="32"/>
          <w:lang w:val="en-US" w:eastAsia="zh-CN"/>
        </w:rPr>
        <w:t>峨边彝族自治县人民政府办公室2023年峨边中央财政衔接推进乡村振兴补助资金使用方案</w:t>
      </w:r>
      <w:r>
        <w:rPr>
          <w:rFonts w:hint="eastAsia" w:ascii="仿宋" w:hAnsi="仿宋" w:eastAsia="仿宋" w:cs="仿宋"/>
          <w:sz w:val="32"/>
          <w:szCs w:val="32"/>
          <w:lang w:val="zh-CN"/>
        </w:rPr>
        <w:t>。项目申报内容与具体实施内容相符。</w:t>
      </w:r>
    </w:p>
    <w:p w14:paraId="25FD1609">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二、项目实施及管理情况</w:t>
      </w:r>
    </w:p>
    <w:p w14:paraId="25F5F7B1">
      <w:pPr>
        <w:adjustRightInd w:val="0"/>
        <w:snapToGrid w:val="0"/>
        <w:spacing w:line="560" w:lineRule="exact"/>
        <w:ind w:firstLine="720"/>
        <w:outlineLvl w:val="9"/>
        <w:rPr>
          <w:rFonts w:hint="eastAsia" w:ascii="仿宋" w:hAnsi="仿宋" w:eastAsia="仿宋" w:cs="仿宋"/>
          <w:b/>
          <w:color w:val="auto"/>
          <w:sz w:val="32"/>
          <w:szCs w:val="32"/>
          <w:lang w:val="zh-CN"/>
        </w:rPr>
      </w:pPr>
      <w:r>
        <w:rPr>
          <w:rFonts w:hint="eastAsia" w:ascii="仿宋" w:hAnsi="仿宋" w:eastAsia="仿宋" w:cs="仿宋"/>
          <w:color w:val="auto"/>
          <w:sz w:val="32"/>
          <w:szCs w:val="32"/>
          <w:lang w:val="zh-CN"/>
        </w:rPr>
        <w:tab/>
      </w:r>
      <w:r>
        <w:rPr>
          <w:rFonts w:hint="eastAsia" w:ascii="仿宋" w:hAnsi="仿宋" w:eastAsia="仿宋" w:cs="仿宋"/>
          <w:b/>
          <w:color w:val="auto"/>
          <w:sz w:val="32"/>
          <w:szCs w:val="32"/>
          <w:lang w:val="zh-CN"/>
        </w:rPr>
        <w:t>（一）资金计划、到位及使用情况。</w:t>
      </w:r>
    </w:p>
    <w:p w14:paraId="3BAFCF34">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1．资金计划及时到位。截至2023年</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lang w:val="en-US" w:eastAsia="zh-CN"/>
        </w:rPr>
        <w:t>31</w:t>
      </w:r>
      <w:r>
        <w:rPr>
          <w:rFonts w:hint="eastAsia" w:ascii="仿宋" w:hAnsi="仿宋" w:eastAsia="仿宋" w:cs="仿宋"/>
          <w:color w:val="auto"/>
          <w:sz w:val="32"/>
          <w:szCs w:val="32"/>
          <w:lang w:val="zh-CN"/>
        </w:rPr>
        <w:t>日，该项目资金到位</w:t>
      </w:r>
      <w:r>
        <w:rPr>
          <w:rFonts w:hint="eastAsia" w:ascii="仿宋" w:hAnsi="仿宋" w:eastAsia="仿宋" w:cs="仿宋"/>
          <w:color w:val="auto"/>
          <w:sz w:val="32"/>
          <w:szCs w:val="32"/>
          <w:lang w:val="en-US" w:eastAsia="zh-CN"/>
        </w:rPr>
        <w:t>160.48</w:t>
      </w:r>
      <w:r>
        <w:rPr>
          <w:rFonts w:hint="eastAsia" w:ascii="仿宋" w:hAnsi="仿宋" w:eastAsia="仿宋" w:cs="仿宋"/>
          <w:color w:val="auto"/>
          <w:sz w:val="32"/>
          <w:szCs w:val="32"/>
          <w:lang w:val="zh-CN"/>
        </w:rPr>
        <w:t>万元，资金到位情况与资金计划进行比对，资金到位率100%、到位及时。</w:t>
      </w:r>
    </w:p>
    <w:p w14:paraId="2F2356C3">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2．资金使用。</w:t>
      </w:r>
    </w:p>
    <w:p w14:paraId="6803F063">
      <w:pPr>
        <w:adjustRightInd w:val="0"/>
        <w:snapToGrid w:val="0"/>
        <w:spacing w:line="560" w:lineRule="exact"/>
        <w:ind w:firstLine="720"/>
        <w:outlineLvl w:val="9"/>
        <w:rPr>
          <w:rFonts w:hint="eastAsia" w:ascii="仿宋" w:hAnsi="仿宋" w:eastAsia="仿宋" w:cs="仿宋"/>
          <w:color w:val="FF0000"/>
          <w:sz w:val="32"/>
          <w:szCs w:val="32"/>
          <w:lang w:val="zh-CN"/>
        </w:rPr>
      </w:pPr>
      <w:r>
        <w:rPr>
          <w:rFonts w:hint="eastAsia" w:ascii="仿宋" w:hAnsi="仿宋" w:eastAsia="仿宋" w:cs="仿宋"/>
          <w:color w:val="auto"/>
          <w:sz w:val="32"/>
          <w:szCs w:val="32"/>
          <w:lang w:val="en-US" w:eastAsia="zh-CN"/>
        </w:rPr>
        <w:t>截至2023年12月31日支付完成168人山洪灾害岗位补贴和金岩乡饮水项目、大堡镇山坪塘项目、大堡镇双九村饮水项目、毛坪镇饮水项目、五渡镇饮水项目、红旗镇饮水项目、黑竹沟镇解放村外墙保坎项目100.4512万元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资金支付63%，未完成原因是部分项目审计中和质保期中</w:t>
      </w:r>
      <w:r>
        <w:rPr>
          <w:rFonts w:hint="eastAsia" w:ascii="仿宋" w:hAnsi="仿宋" w:eastAsia="仿宋" w:cs="仿宋"/>
          <w:color w:val="auto"/>
          <w:sz w:val="32"/>
          <w:szCs w:val="32"/>
          <w:lang w:val="zh-CN"/>
        </w:rPr>
        <w:t>。</w:t>
      </w:r>
    </w:p>
    <w:p w14:paraId="3615A487">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（二）项目财务管理情况。</w:t>
      </w:r>
    </w:p>
    <w:p w14:paraId="23F9AA27">
      <w:pPr>
        <w:adjustRightInd w:val="0"/>
        <w:snapToGrid w:val="0"/>
        <w:spacing w:line="600" w:lineRule="exact"/>
        <w:ind w:firstLine="720"/>
        <w:outlineLvl w:val="9"/>
        <w:rPr>
          <w:rFonts w:hint="eastAsia" w:ascii="仿宋" w:hAnsi="仿宋" w:eastAsia="仿宋" w:cs="仿宋"/>
          <w:color w:val="000000"/>
          <w:sz w:val="32"/>
          <w:szCs w:val="32"/>
          <w:lang w:val="zh-CN"/>
        </w:rPr>
      </w:pPr>
      <w:r>
        <w:rPr>
          <w:rFonts w:hint="eastAsia" w:ascii="仿宋" w:hAnsi="仿宋" w:eastAsia="仿宋" w:cs="仿宋"/>
          <w:color w:val="000000"/>
          <w:sz w:val="32"/>
          <w:szCs w:val="32"/>
          <w:lang w:val="zh-CN"/>
        </w:rPr>
        <w:t>该项目资金严格按照财经管理制度规定使用，财务处理及时、规范，资料齐全、归档及时，无</w:t>
      </w:r>
      <w:r>
        <w:rPr>
          <w:rFonts w:hint="eastAsia" w:ascii="仿宋" w:hAnsi="仿宋" w:eastAsia="仿宋" w:cs="仿宋"/>
          <w:color w:val="000000"/>
          <w:kern w:val="0"/>
          <w:sz w:val="32"/>
          <w:szCs w:val="32"/>
          <w:shd w:val="clear" w:color="auto" w:fill="FFFFFF"/>
          <w:lang w:val="zh-CN"/>
        </w:rPr>
        <w:t>截留、挤占、挪用、套取、转移和浪费的现象，无任何违规记录。</w:t>
      </w:r>
    </w:p>
    <w:p w14:paraId="2182B2CC">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（三）项目组织实施情况。</w:t>
      </w:r>
    </w:p>
    <w:p w14:paraId="5A11E2BC">
      <w:pPr>
        <w:adjustRightInd w:val="0"/>
        <w:snapToGrid w:val="0"/>
        <w:spacing w:line="560" w:lineRule="exact"/>
        <w:ind w:firstLine="72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项目</w:t>
      </w:r>
      <w:r>
        <w:rPr>
          <w:rFonts w:hint="eastAsia" w:ascii="仿宋" w:hAnsi="仿宋" w:eastAsia="仿宋" w:cs="仿宋"/>
          <w:color w:val="000000"/>
          <w:sz w:val="32"/>
          <w:szCs w:val="32"/>
          <w:lang w:val="en-US" w:eastAsia="zh-CN"/>
        </w:rPr>
        <w:t>通过乡镇与山洪灾害岗位人员公示后签订聘用合同，水务局根据山洪灾害岗位开展工作情况，通过阳光审批平台和一卡通平台发放，其他饮水项目、山坪塘项目、外墙保坎项目通过乡镇人民政府组织实施，完工后提供报账资料到水务局报账</w:t>
      </w:r>
      <w:r>
        <w:rPr>
          <w:rFonts w:hint="eastAsia" w:ascii="仿宋" w:hAnsi="仿宋" w:eastAsia="仿宋" w:cs="仿宋"/>
          <w:color w:val="000000"/>
          <w:sz w:val="32"/>
          <w:szCs w:val="32"/>
        </w:rPr>
        <w:t>。</w:t>
      </w:r>
    </w:p>
    <w:p w14:paraId="0A37B4CD">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三、项目绩效情况</w:t>
      </w:r>
      <w:r>
        <w:rPr>
          <w:rFonts w:hint="eastAsia" w:ascii="仿宋" w:hAnsi="仿宋" w:eastAsia="仿宋" w:cs="仿宋"/>
          <w:sz w:val="32"/>
          <w:szCs w:val="32"/>
          <w:lang w:val="zh-CN"/>
        </w:rPr>
        <w:tab/>
      </w:r>
    </w:p>
    <w:p w14:paraId="4AA22D63">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5708BFD7">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zh-CN"/>
        </w:rPr>
        <w:t>已按照合同约定时间按时</w:t>
      </w:r>
      <w:r>
        <w:rPr>
          <w:rFonts w:hint="eastAsia" w:ascii="仿宋" w:hAnsi="仿宋" w:eastAsia="仿宋" w:cs="仿宋"/>
          <w:sz w:val="32"/>
          <w:szCs w:val="32"/>
          <w:lang w:val="en-US" w:eastAsia="zh-CN"/>
        </w:rPr>
        <w:t>支付了161人公益性岗位补贴，饮水项目已完工、山坪塘项目和外墙保坎项目已完工验收待审计</w:t>
      </w:r>
      <w:r>
        <w:rPr>
          <w:rFonts w:hint="eastAsia" w:ascii="仿宋" w:hAnsi="仿宋" w:eastAsia="仿宋" w:cs="仿宋"/>
          <w:sz w:val="32"/>
          <w:szCs w:val="32"/>
          <w:lang w:val="zh-CN"/>
        </w:rPr>
        <w:t>。</w:t>
      </w:r>
    </w:p>
    <w:p w14:paraId="078B1DD6">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72166D76">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sz w:val="32"/>
          <w:szCs w:val="32"/>
          <w:lang w:val="zh-CN"/>
        </w:rPr>
        <w:t>本项目实施后，可进一步强化我县</w:t>
      </w:r>
      <w:r>
        <w:rPr>
          <w:rFonts w:hint="eastAsia" w:ascii="仿宋" w:hAnsi="仿宋" w:eastAsia="仿宋" w:cs="仿宋"/>
          <w:sz w:val="32"/>
          <w:szCs w:val="32"/>
          <w:lang w:val="en-US" w:eastAsia="zh-CN"/>
        </w:rPr>
        <w:t>农村饮水安全</w:t>
      </w:r>
      <w:r>
        <w:rPr>
          <w:rFonts w:hint="eastAsia" w:ascii="仿宋" w:hAnsi="仿宋" w:eastAsia="仿宋" w:cs="仿宋"/>
          <w:sz w:val="32"/>
          <w:szCs w:val="32"/>
          <w:lang w:val="zh-CN"/>
        </w:rPr>
        <w:t>保护，保障</w:t>
      </w:r>
      <w:r>
        <w:rPr>
          <w:rFonts w:hint="eastAsia" w:ascii="仿宋" w:hAnsi="仿宋" w:eastAsia="仿宋" w:cs="仿宋"/>
          <w:sz w:val="32"/>
          <w:szCs w:val="32"/>
          <w:lang w:val="en-US" w:eastAsia="zh-CN"/>
        </w:rPr>
        <w:t>饮水</w:t>
      </w:r>
      <w:r>
        <w:rPr>
          <w:rFonts w:hint="eastAsia" w:ascii="仿宋" w:hAnsi="仿宋" w:eastAsia="仿宋" w:cs="仿宋"/>
          <w:sz w:val="32"/>
          <w:szCs w:val="32"/>
          <w:lang w:val="zh-CN"/>
        </w:rPr>
        <w:t>安全，减少</w:t>
      </w:r>
      <w:r>
        <w:rPr>
          <w:rFonts w:hint="eastAsia" w:ascii="仿宋" w:hAnsi="仿宋" w:eastAsia="仿宋" w:cs="仿宋"/>
          <w:sz w:val="32"/>
          <w:szCs w:val="32"/>
          <w:lang w:val="en-US" w:eastAsia="zh-CN"/>
        </w:rPr>
        <w:t>农户用水矛盾</w:t>
      </w:r>
      <w:r>
        <w:rPr>
          <w:rFonts w:hint="eastAsia" w:ascii="仿宋" w:hAnsi="仿宋" w:eastAsia="仿宋" w:cs="仿宋"/>
          <w:sz w:val="32"/>
          <w:szCs w:val="32"/>
          <w:lang w:val="zh-CN"/>
        </w:rPr>
        <w:t>。杜绝了</w:t>
      </w:r>
      <w:r>
        <w:rPr>
          <w:rFonts w:hint="eastAsia" w:ascii="仿宋" w:hAnsi="仿宋" w:eastAsia="仿宋" w:cs="仿宋"/>
          <w:sz w:val="32"/>
          <w:szCs w:val="32"/>
          <w:lang w:val="en-US" w:eastAsia="zh-CN"/>
        </w:rPr>
        <w:t>长期缺水无人管的问题，有效减少人民群众生命财产安全。</w:t>
      </w:r>
      <w:r>
        <w:rPr>
          <w:rFonts w:hint="eastAsia" w:ascii="仿宋" w:hAnsi="仿宋" w:eastAsia="仿宋" w:cs="仿宋"/>
          <w:color w:val="000000"/>
          <w:sz w:val="32"/>
          <w:szCs w:val="32"/>
          <w:lang w:val="en-US" w:eastAsia="zh-CN"/>
        </w:rPr>
        <w:t>服务对象</w:t>
      </w:r>
      <w:r>
        <w:rPr>
          <w:rFonts w:hint="eastAsia" w:ascii="仿宋" w:hAnsi="仿宋" w:eastAsia="仿宋" w:cs="仿宋"/>
          <w:color w:val="000000"/>
          <w:sz w:val="32"/>
          <w:szCs w:val="32"/>
        </w:rPr>
        <w:t>满意度</w:t>
      </w:r>
      <w:r>
        <w:rPr>
          <w:rFonts w:hint="eastAsia" w:ascii="仿宋" w:hAnsi="仿宋" w:eastAsia="仿宋" w:cs="仿宋"/>
          <w:color w:val="000000"/>
          <w:sz w:val="32"/>
          <w:szCs w:val="32"/>
          <w:lang w:val="en-US" w:eastAsia="zh-CN"/>
        </w:rPr>
        <w:t>100</w:t>
      </w:r>
      <w:r>
        <w:rPr>
          <w:rFonts w:hint="eastAsia" w:ascii="仿宋" w:hAnsi="仿宋" w:eastAsia="仿宋" w:cs="仿宋"/>
          <w:color w:val="000000"/>
          <w:sz w:val="32"/>
          <w:szCs w:val="32"/>
        </w:rPr>
        <w:t>%。</w:t>
      </w:r>
    </w:p>
    <w:p w14:paraId="36D135AD">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四、问题及建议</w:t>
      </w:r>
    </w:p>
    <w:p w14:paraId="70A3B6EE">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（一）存在的问题。</w:t>
      </w:r>
    </w:p>
    <w:p w14:paraId="534E224A">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（二）相关建议。</w:t>
      </w:r>
    </w:p>
    <w:p w14:paraId="265F7EE8">
      <w:pPr>
        <w:adjustRightInd w:val="0"/>
        <w:snapToGrid w:val="0"/>
        <w:spacing w:line="560" w:lineRule="exact"/>
        <w:ind w:firstLine="720"/>
        <w:outlineLvl w:val="9"/>
        <w:rPr>
          <w:rFonts w:hint="eastAsia" w:ascii="仿宋" w:hAnsi="仿宋" w:eastAsia="仿宋" w:cs="仿宋"/>
          <w:b/>
          <w:sz w:val="32"/>
          <w:szCs w:val="32"/>
          <w:lang w:val="en-US" w:eastAsia="zh-CN"/>
        </w:rPr>
      </w:pPr>
    </w:p>
    <w:p w14:paraId="41B7F304">
      <w:pPr>
        <w:pStyle w:val="5"/>
        <w:outlineLvl w:val="9"/>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29" o:spt="75" type="#_x0000_t75" style="height:663.7pt;width:415.05pt;" o:ole="t" filled="f" o:preferrelative="t" stroked="f" coordsize="21600,21600">
            <v:path/>
            <v:fill on="f" focussize="0,0"/>
            <v:stroke on="f"/>
            <v:imagedata r:id="rId23" o:title=""/>
            <o:lock v:ext="edit" aspectratio="f"/>
            <w10:wrap type="none"/>
            <w10:anchorlock/>
          </v:shape>
          <o:OLEObject Type="Embed" ProgID="Excel.Sheet.12" ShapeID="_x0000_i1029" DrawAspect="Content" ObjectID="_1468075729" r:id="rId22">
            <o:LockedField>false</o:LockedField>
          </o:OLEObject>
        </w:object>
      </w:r>
    </w:p>
    <w:p w14:paraId="61D580BB">
      <w:pPr>
        <w:pStyle w:val="25"/>
        <w:spacing w:line="600" w:lineRule="exact"/>
        <w:jc w:val="center"/>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峨边彝族自治县水务局</w:t>
      </w:r>
    </w:p>
    <w:p w14:paraId="7DCAC747">
      <w:pPr>
        <w:pStyle w:val="25"/>
        <w:spacing w:line="600" w:lineRule="exact"/>
        <w:jc w:val="center"/>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2023年乡村振兴补助资金项目（</w:t>
      </w:r>
      <w:r>
        <w:rPr>
          <w:rFonts w:hint="eastAsia" w:ascii="方正小标宋简体" w:hAnsi="方正小标宋简体" w:eastAsia="方正小标宋简体" w:cs="方正小标宋简体"/>
          <w:sz w:val="44"/>
          <w:szCs w:val="44"/>
          <w:lang w:val="en-US" w:eastAsia="zh-CN"/>
        </w:rPr>
        <w:t>市</w:t>
      </w:r>
      <w:r>
        <w:rPr>
          <w:rFonts w:hint="eastAsia" w:ascii="方正小标宋简体" w:hAnsi="方正小标宋简体" w:eastAsia="方正小标宋简体" w:cs="方正小标宋简体"/>
          <w:sz w:val="44"/>
          <w:szCs w:val="44"/>
        </w:rPr>
        <w:t>级）</w:t>
      </w:r>
    </w:p>
    <w:p w14:paraId="3845424C">
      <w:pPr>
        <w:pStyle w:val="25"/>
        <w:spacing w:line="600" w:lineRule="exact"/>
        <w:jc w:val="center"/>
        <w:outlineLvl w:val="9"/>
        <w:rPr>
          <w:rFonts w:ascii="方正小标宋简体" w:hAnsi="宋体" w:eastAsia="方正小标宋简体"/>
          <w:sz w:val="44"/>
          <w:szCs w:val="44"/>
        </w:rPr>
      </w:pPr>
      <w:r>
        <w:rPr>
          <w:rFonts w:hint="eastAsia" w:ascii="方正小标宋简体" w:hAnsi="宋体" w:eastAsia="方正小标宋简体"/>
          <w:sz w:val="44"/>
          <w:szCs w:val="44"/>
        </w:rPr>
        <w:t>项目支出绩效自评报告</w:t>
      </w:r>
    </w:p>
    <w:p w14:paraId="633AC609">
      <w:pPr>
        <w:pStyle w:val="25"/>
        <w:spacing w:line="560" w:lineRule="exact"/>
        <w:ind w:firstLine="640"/>
        <w:jc w:val="center"/>
        <w:outlineLvl w:val="9"/>
        <w:rPr>
          <w:rFonts w:ascii="宋体" w:hAnsi="宋体"/>
          <w:color w:val="auto"/>
          <w:kern w:val="2"/>
          <w:sz w:val="32"/>
          <w:szCs w:val="32"/>
        </w:rPr>
      </w:pPr>
    </w:p>
    <w:p w14:paraId="53AF2F6F">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一、</w:t>
      </w:r>
      <w:r>
        <w:rPr>
          <w:rFonts w:hint="eastAsia" w:ascii="仿宋" w:hAnsi="仿宋" w:eastAsia="仿宋" w:cs="仿宋"/>
          <w:sz w:val="32"/>
          <w:szCs w:val="32"/>
          <w:lang w:val="zh-CN"/>
        </w:rPr>
        <w:t>项目概况</w:t>
      </w:r>
    </w:p>
    <w:p w14:paraId="1437E4C7">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31376EC0">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峨边彝族自治县人民政府办公室《2023年峨边中央财政衔接推进乡村振兴补助资金使用方案》下达</w:t>
      </w:r>
      <w:r>
        <w:rPr>
          <w:rFonts w:hint="eastAsia" w:ascii="仿宋" w:hAnsi="仿宋" w:eastAsia="仿宋" w:cs="仿宋"/>
          <w:sz w:val="32"/>
          <w:szCs w:val="32"/>
          <w:lang w:val="zh-CN"/>
        </w:rPr>
        <w:t>水务局202</w:t>
      </w:r>
      <w:r>
        <w:rPr>
          <w:rFonts w:hint="eastAsia" w:ascii="仿宋" w:hAnsi="仿宋" w:eastAsia="仿宋" w:cs="仿宋"/>
          <w:sz w:val="32"/>
          <w:szCs w:val="32"/>
          <w:lang w:val="en-US" w:eastAsia="zh-CN"/>
        </w:rPr>
        <w:t>3</w:t>
      </w:r>
      <w:r>
        <w:rPr>
          <w:rFonts w:hint="eastAsia" w:ascii="仿宋" w:hAnsi="仿宋" w:eastAsia="仿宋" w:cs="仿宋"/>
          <w:sz w:val="32"/>
          <w:szCs w:val="32"/>
          <w:lang w:val="zh-CN"/>
        </w:rPr>
        <w:t>年乡村振兴补助资金项目（</w:t>
      </w:r>
      <w:r>
        <w:rPr>
          <w:rFonts w:hint="eastAsia" w:ascii="仿宋" w:hAnsi="仿宋" w:eastAsia="仿宋" w:cs="仿宋"/>
          <w:sz w:val="32"/>
          <w:szCs w:val="32"/>
          <w:lang w:val="en-US" w:eastAsia="zh-CN"/>
        </w:rPr>
        <w:t>市</w:t>
      </w:r>
      <w:r>
        <w:rPr>
          <w:rFonts w:hint="eastAsia" w:ascii="仿宋" w:hAnsi="仿宋" w:eastAsia="仿宋" w:cs="仿宋"/>
          <w:sz w:val="32"/>
          <w:szCs w:val="32"/>
          <w:lang w:val="zh-CN"/>
        </w:rPr>
        <w:t>级）</w:t>
      </w:r>
      <w:r>
        <w:rPr>
          <w:rFonts w:hint="eastAsia" w:ascii="仿宋" w:hAnsi="仿宋" w:eastAsia="仿宋" w:cs="仿宋"/>
          <w:sz w:val="32"/>
          <w:szCs w:val="32"/>
          <w:lang w:val="en-US" w:eastAsia="zh-CN"/>
        </w:rPr>
        <w:t>75万元</w:t>
      </w:r>
      <w:r>
        <w:rPr>
          <w:rFonts w:hint="eastAsia" w:ascii="仿宋" w:hAnsi="仿宋" w:eastAsia="仿宋" w:cs="仿宋"/>
          <w:sz w:val="32"/>
          <w:szCs w:val="32"/>
          <w:lang w:val="zh-CN"/>
        </w:rPr>
        <w:t>。</w:t>
      </w:r>
    </w:p>
    <w:p w14:paraId="55FD9F94">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2C8EBDC9">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zh-CN"/>
        </w:rPr>
        <w:t>完成黑竹沟镇官料河解放村堤防灾后重建（整治修复堤防全长70.0m）。</w:t>
      </w:r>
    </w:p>
    <w:p w14:paraId="1F837857">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（三）项目资金申报相符性。</w:t>
      </w:r>
    </w:p>
    <w:p w14:paraId="5CC68D18">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zh-CN"/>
        </w:rPr>
        <w:t>根据</w:t>
      </w:r>
      <w:r>
        <w:rPr>
          <w:rFonts w:hint="eastAsia" w:ascii="仿宋" w:hAnsi="仿宋" w:eastAsia="仿宋" w:cs="仿宋"/>
          <w:sz w:val="32"/>
          <w:szCs w:val="32"/>
          <w:lang w:val="en-US" w:eastAsia="zh-CN"/>
        </w:rPr>
        <w:t>峨边彝族自治县人民政府办公室2023年峨边中央财政衔接推进乡村振兴补助资金使用方案</w:t>
      </w:r>
      <w:r>
        <w:rPr>
          <w:rFonts w:hint="eastAsia" w:ascii="仿宋" w:hAnsi="仿宋" w:eastAsia="仿宋" w:cs="仿宋"/>
          <w:sz w:val="32"/>
          <w:szCs w:val="32"/>
          <w:lang w:val="zh-CN"/>
        </w:rPr>
        <w:t>。项目申报内容与具体实施内容相符。</w:t>
      </w:r>
    </w:p>
    <w:p w14:paraId="7B392ACA">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二、项目实施及管理情况</w:t>
      </w:r>
    </w:p>
    <w:p w14:paraId="346455CC">
      <w:pPr>
        <w:adjustRightInd w:val="0"/>
        <w:snapToGrid w:val="0"/>
        <w:spacing w:line="560" w:lineRule="exact"/>
        <w:ind w:firstLine="720"/>
        <w:outlineLvl w:val="9"/>
        <w:rPr>
          <w:rFonts w:hint="eastAsia" w:ascii="仿宋" w:hAnsi="仿宋" w:eastAsia="仿宋" w:cs="仿宋"/>
          <w:b/>
          <w:color w:val="auto"/>
          <w:sz w:val="32"/>
          <w:szCs w:val="32"/>
          <w:lang w:val="zh-CN"/>
        </w:rPr>
      </w:pPr>
      <w:r>
        <w:rPr>
          <w:rFonts w:hint="eastAsia" w:ascii="仿宋" w:hAnsi="仿宋" w:eastAsia="仿宋" w:cs="仿宋"/>
          <w:color w:val="auto"/>
          <w:sz w:val="32"/>
          <w:szCs w:val="32"/>
          <w:lang w:val="zh-CN"/>
        </w:rPr>
        <w:tab/>
      </w:r>
      <w:r>
        <w:rPr>
          <w:rFonts w:hint="eastAsia" w:ascii="仿宋" w:hAnsi="仿宋" w:eastAsia="仿宋" w:cs="仿宋"/>
          <w:b/>
          <w:color w:val="auto"/>
          <w:sz w:val="32"/>
          <w:szCs w:val="32"/>
          <w:lang w:val="zh-CN"/>
        </w:rPr>
        <w:t>（一）资金计划、到位及使用情况。</w:t>
      </w:r>
    </w:p>
    <w:p w14:paraId="4B9DAA7D">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1．资金计划及时到位。截至2023年</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lang w:val="en-US" w:eastAsia="zh-CN"/>
        </w:rPr>
        <w:t>31</w:t>
      </w:r>
      <w:r>
        <w:rPr>
          <w:rFonts w:hint="eastAsia" w:ascii="仿宋" w:hAnsi="仿宋" w:eastAsia="仿宋" w:cs="仿宋"/>
          <w:color w:val="auto"/>
          <w:sz w:val="32"/>
          <w:szCs w:val="32"/>
          <w:lang w:val="zh-CN"/>
        </w:rPr>
        <w:t>日，该项目资金到位</w:t>
      </w:r>
      <w:r>
        <w:rPr>
          <w:rFonts w:hint="eastAsia" w:ascii="仿宋" w:hAnsi="仿宋" w:eastAsia="仿宋" w:cs="仿宋"/>
          <w:color w:val="auto"/>
          <w:sz w:val="32"/>
          <w:szCs w:val="32"/>
          <w:lang w:val="en-US" w:eastAsia="zh-CN"/>
        </w:rPr>
        <w:t>75</w:t>
      </w:r>
      <w:r>
        <w:rPr>
          <w:rFonts w:hint="eastAsia" w:ascii="仿宋" w:hAnsi="仿宋" w:eastAsia="仿宋" w:cs="仿宋"/>
          <w:color w:val="auto"/>
          <w:sz w:val="32"/>
          <w:szCs w:val="32"/>
          <w:lang w:val="zh-CN"/>
        </w:rPr>
        <w:t>万元，资金到位情况与资金计划进行比对，资金到位率100%、到位及时。</w:t>
      </w:r>
    </w:p>
    <w:p w14:paraId="15001060">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2．资金使用。</w:t>
      </w:r>
    </w:p>
    <w:p w14:paraId="0261A0C7">
      <w:pPr>
        <w:adjustRightInd w:val="0"/>
        <w:snapToGrid w:val="0"/>
        <w:spacing w:line="560" w:lineRule="exact"/>
        <w:ind w:firstLine="720"/>
        <w:outlineLvl w:val="9"/>
        <w:rPr>
          <w:rFonts w:hint="eastAsia" w:ascii="仿宋" w:hAnsi="仿宋" w:eastAsia="仿宋" w:cs="仿宋"/>
          <w:color w:val="FF0000"/>
          <w:sz w:val="32"/>
          <w:szCs w:val="32"/>
          <w:lang w:val="zh-CN"/>
        </w:rPr>
      </w:pPr>
      <w:r>
        <w:rPr>
          <w:rFonts w:hint="eastAsia" w:ascii="仿宋" w:hAnsi="仿宋" w:eastAsia="仿宋" w:cs="仿宋"/>
          <w:color w:val="auto"/>
          <w:sz w:val="32"/>
          <w:szCs w:val="32"/>
          <w:lang w:val="en-US" w:eastAsia="zh-CN"/>
        </w:rPr>
        <w:t>截至2023年12月31日支付完成黑竹沟镇官料河解放村堤防灾后重建56万元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资金支付75%，未完成原因是</w:t>
      </w:r>
      <w:r>
        <w:rPr>
          <w:rFonts w:hint="eastAsia" w:ascii="仿宋" w:hAnsi="仿宋" w:eastAsia="仿宋" w:cs="仿宋"/>
          <w:sz w:val="32"/>
          <w:szCs w:val="32"/>
          <w:lang w:val="en-US" w:eastAsia="zh-CN"/>
        </w:rPr>
        <w:t>项目审计中</w:t>
      </w:r>
      <w:r>
        <w:rPr>
          <w:rFonts w:hint="eastAsia" w:ascii="仿宋" w:hAnsi="仿宋" w:eastAsia="仿宋" w:cs="仿宋"/>
          <w:color w:val="auto"/>
          <w:sz w:val="32"/>
          <w:szCs w:val="32"/>
          <w:lang w:val="zh-CN"/>
        </w:rPr>
        <w:t>。</w:t>
      </w:r>
    </w:p>
    <w:p w14:paraId="51152D36">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（二）项目财务管理情况。</w:t>
      </w:r>
    </w:p>
    <w:p w14:paraId="1614FD64">
      <w:pPr>
        <w:adjustRightInd w:val="0"/>
        <w:snapToGrid w:val="0"/>
        <w:spacing w:line="600" w:lineRule="exact"/>
        <w:ind w:firstLine="720"/>
        <w:outlineLvl w:val="9"/>
        <w:rPr>
          <w:rFonts w:hint="eastAsia" w:ascii="仿宋" w:hAnsi="仿宋" w:eastAsia="仿宋" w:cs="仿宋"/>
          <w:color w:val="000000"/>
          <w:sz w:val="32"/>
          <w:szCs w:val="32"/>
          <w:lang w:val="zh-CN"/>
        </w:rPr>
      </w:pPr>
      <w:r>
        <w:rPr>
          <w:rFonts w:hint="eastAsia" w:ascii="仿宋" w:hAnsi="仿宋" w:eastAsia="仿宋" w:cs="仿宋"/>
          <w:color w:val="000000"/>
          <w:sz w:val="32"/>
          <w:szCs w:val="32"/>
          <w:lang w:val="zh-CN"/>
        </w:rPr>
        <w:t>该项目资金严格按照财经管理制度规定使用，财务处理及时、规范，资料齐全、归档及时，无</w:t>
      </w:r>
      <w:r>
        <w:rPr>
          <w:rFonts w:hint="eastAsia" w:ascii="仿宋" w:hAnsi="仿宋" w:eastAsia="仿宋" w:cs="仿宋"/>
          <w:color w:val="000000"/>
          <w:kern w:val="0"/>
          <w:sz w:val="32"/>
          <w:szCs w:val="32"/>
          <w:shd w:val="clear" w:color="auto" w:fill="FFFFFF"/>
          <w:lang w:val="zh-CN"/>
        </w:rPr>
        <w:t>截留、挤占、挪用、套取、转移和浪费的现象，无任何违规记录。</w:t>
      </w:r>
    </w:p>
    <w:p w14:paraId="0260C39A">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（三）项目组织实施情况。</w:t>
      </w:r>
    </w:p>
    <w:p w14:paraId="50FEBB41">
      <w:pPr>
        <w:adjustRightInd w:val="0"/>
        <w:snapToGrid w:val="0"/>
        <w:spacing w:line="560" w:lineRule="exact"/>
        <w:ind w:firstLine="72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项目</w:t>
      </w:r>
      <w:r>
        <w:rPr>
          <w:rFonts w:hint="eastAsia" w:ascii="仿宋" w:hAnsi="仿宋" w:eastAsia="仿宋" w:cs="仿宋"/>
          <w:color w:val="000000"/>
          <w:sz w:val="32"/>
          <w:szCs w:val="32"/>
          <w:lang w:val="en-US" w:eastAsia="zh-CN"/>
        </w:rPr>
        <w:t>通过黑竹沟人民政府确认施工单位组织实施，通过提供黑竹沟人民政府审核后的报账</w:t>
      </w:r>
      <w:r>
        <w:rPr>
          <w:rFonts w:hint="eastAsia" w:ascii="仿宋" w:hAnsi="仿宋" w:eastAsia="仿宋" w:cs="仿宋"/>
          <w:color w:val="auto"/>
          <w:sz w:val="32"/>
          <w:szCs w:val="32"/>
          <w:lang w:val="en-US" w:eastAsia="zh-CN"/>
        </w:rPr>
        <w:t>资料到水务局报账</w:t>
      </w:r>
      <w:r>
        <w:rPr>
          <w:rFonts w:hint="eastAsia" w:ascii="仿宋" w:hAnsi="仿宋" w:eastAsia="仿宋" w:cs="仿宋"/>
          <w:color w:val="000000"/>
          <w:sz w:val="32"/>
          <w:szCs w:val="32"/>
        </w:rPr>
        <w:t>。</w:t>
      </w:r>
    </w:p>
    <w:p w14:paraId="461EB9EC">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三、项目绩效情况</w:t>
      </w:r>
      <w:r>
        <w:rPr>
          <w:rFonts w:hint="eastAsia" w:ascii="仿宋" w:hAnsi="仿宋" w:eastAsia="仿宋" w:cs="仿宋"/>
          <w:sz w:val="32"/>
          <w:szCs w:val="32"/>
          <w:lang w:val="zh-CN"/>
        </w:rPr>
        <w:tab/>
      </w:r>
    </w:p>
    <w:p w14:paraId="59B3C745">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4160460F">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该项目已完成所有合同内工程量，已完工验收，正在审计中</w:t>
      </w:r>
      <w:r>
        <w:rPr>
          <w:rFonts w:hint="eastAsia" w:ascii="仿宋" w:hAnsi="仿宋" w:eastAsia="仿宋" w:cs="仿宋"/>
          <w:sz w:val="32"/>
          <w:szCs w:val="32"/>
          <w:lang w:val="zh-CN"/>
        </w:rPr>
        <w:t>。</w:t>
      </w:r>
    </w:p>
    <w:p w14:paraId="7BC87A53">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05589EA0">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sz w:val="32"/>
          <w:szCs w:val="32"/>
          <w:lang w:val="zh-CN"/>
        </w:rPr>
        <w:t>本项目实施后，可进一步</w:t>
      </w:r>
      <w:r>
        <w:rPr>
          <w:rFonts w:hint="eastAsia" w:ascii="仿宋" w:hAnsi="仿宋" w:eastAsia="仿宋" w:cs="仿宋"/>
          <w:sz w:val="32"/>
          <w:szCs w:val="32"/>
          <w:lang w:val="en-US" w:eastAsia="zh-CN"/>
        </w:rPr>
        <w:t>有效减少人民群众生命财产安全。</w:t>
      </w:r>
      <w:r>
        <w:rPr>
          <w:rFonts w:hint="eastAsia" w:ascii="仿宋" w:hAnsi="仿宋" w:eastAsia="仿宋" w:cs="仿宋"/>
          <w:color w:val="000000"/>
          <w:sz w:val="32"/>
          <w:szCs w:val="32"/>
          <w:lang w:val="en-US" w:eastAsia="zh-CN"/>
        </w:rPr>
        <w:t>服务对象</w:t>
      </w:r>
      <w:r>
        <w:rPr>
          <w:rFonts w:hint="eastAsia" w:ascii="仿宋" w:hAnsi="仿宋" w:eastAsia="仿宋" w:cs="仿宋"/>
          <w:color w:val="000000"/>
          <w:sz w:val="32"/>
          <w:szCs w:val="32"/>
        </w:rPr>
        <w:t>满意度</w:t>
      </w:r>
      <w:r>
        <w:rPr>
          <w:rFonts w:hint="eastAsia" w:ascii="仿宋" w:hAnsi="仿宋" w:eastAsia="仿宋" w:cs="仿宋"/>
          <w:color w:val="000000"/>
          <w:sz w:val="32"/>
          <w:szCs w:val="32"/>
          <w:lang w:val="en-US" w:eastAsia="zh-CN"/>
        </w:rPr>
        <w:t>100</w:t>
      </w:r>
      <w:r>
        <w:rPr>
          <w:rFonts w:hint="eastAsia" w:ascii="仿宋" w:hAnsi="仿宋" w:eastAsia="仿宋" w:cs="仿宋"/>
          <w:color w:val="000000"/>
          <w:sz w:val="32"/>
          <w:szCs w:val="32"/>
        </w:rPr>
        <w:t>%。</w:t>
      </w:r>
    </w:p>
    <w:p w14:paraId="307F1F0E">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四、问题及建议</w:t>
      </w:r>
    </w:p>
    <w:p w14:paraId="0C4DE4B9">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（一）存在的问题。</w:t>
      </w:r>
    </w:p>
    <w:p w14:paraId="534D7F3D">
      <w:pPr>
        <w:adjustRightInd w:val="0"/>
        <w:snapToGrid w:val="0"/>
        <w:spacing w:line="560" w:lineRule="exact"/>
        <w:ind w:firstLine="720"/>
        <w:outlineLvl w:val="9"/>
        <w:rPr>
          <w:rFonts w:hint="eastAsia" w:ascii="仿宋" w:hAnsi="仿宋" w:eastAsia="仿宋" w:cs="仿宋"/>
          <w:b w:val="0"/>
          <w:bCs/>
          <w:sz w:val="32"/>
          <w:szCs w:val="32"/>
          <w:lang w:val="en-US" w:eastAsia="zh-CN"/>
        </w:rPr>
      </w:pPr>
      <w:r>
        <w:rPr>
          <w:rFonts w:hint="eastAsia" w:ascii="仿宋" w:hAnsi="仿宋" w:eastAsia="仿宋" w:cs="仿宋"/>
          <w:sz w:val="32"/>
          <w:szCs w:val="32"/>
          <w:lang w:val="en-US" w:eastAsia="zh-CN"/>
        </w:rPr>
        <w:t>乡镇提供资料缓慢。</w:t>
      </w:r>
    </w:p>
    <w:p w14:paraId="3151711D">
      <w:pPr>
        <w:numPr>
          <w:ilvl w:val="0"/>
          <w:numId w:val="10"/>
        </w:numPr>
        <w:adjustRightInd w:val="0"/>
        <w:snapToGrid w:val="0"/>
        <w:spacing w:line="560" w:lineRule="exact"/>
        <w:ind w:left="120" w:leftChars="0" w:firstLine="720" w:firstLineChars="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相关建议。</w:t>
      </w:r>
    </w:p>
    <w:p w14:paraId="6C877DA1">
      <w:pPr>
        <w:numPr>
          <w:ilvl w:val="0"/>
          <w:numId w:val="0"/>
        </w:numPr>
        <w:adjustRightInd w:val="0"/>
        <w:snapToGrid w:val="0"/>
        <w:spacing w:line="560" w:lineRule="exact"/>
        <w:outlineLvl w:val="9"/>
        <w:rPr>
          <w:rFonts w:hint="eastAsia" w:ascii="仿宋" w:hAnsi="仿宋" w:eastAsia="仿宋" w:cs="仿宋"/>
          <w:sz w:val="32"/>
          <w:szCs w:val="32"/>
          <w:lang w:val="en-US" w:eastAsia="zh-CN"/>
        </w:rPr>
      </w:pPr>
      <w:r>
        <w:rPr>
          <w:rFonts w:hint="eastAsia" w:ascii="仿宋" w:hAnsi="仿宋" w:eastAsia="仿宋" w:cs="仿宋"/>
          <w:b/>
          <w:sz w:val="32"/>
          <w:szCs w:val="32"/>
          <w:lang w:val="en-US" w:eastAsia="zh-CN"/>
        </w:rPr>
        <w:t xml:space="preserve">     </w:t>
      </w:r>
      <w:r>
        <w:rPr>
          <w:rFonts w:hint="eastAsia" w:ascii="仿宋" w:hAnsi="仿宋" w:eastAsia="仿宋" w:cs="仿宋"/>
          <w:sz w:val="32"/>
          <w:szCs w:val="32"/>
          <w:lang w:val="en-US" w:eastAsia="zh-CN"/>
        </w:rPr>
        <w:t>建议业主单位抓紧追减通过审核后的资料到水务局报账。</w:t>
      </w:r>
    </w:p>
    <w:p w14:paraId="1C0E2AC6">
      <w:pPr>
        <w:pStyle w:val="5"/>
        <w:outlineLvl w:val="9"/>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0" o:spt="75" type="#_x0000_t75" style="height:661.9pt;width:415.05pt;" o:ole="t" filled="f" o:preferrelative="t" stroked="f" coordsize="21600,21600">
            <v:path/>
            <v:fill on="f" focussize="0,0"/>
            <v:stroke on="f"/>
            <v:imagedata r:id="rId25" o:title=""/>
            <o:lock v:ext="edit" aspectratio="f"/>
            <w10:wrap type="none"/>
            <w10:anchorlock/>
          </v:shape>
          <o:OLEObject Type="Embed" ProgID="Excel.Sheet.12" ShapeID="_x0000_i1030" DrawAspect="Content" ObjectID="_1468075730" r:id="rId24">
            <o:LockedField>false</o:LockedField>
          </o:OLEObject>
        </w:object>
      </w:r>
    </w:p>
    <w:p w14:paraId="18FE091B">
      <w:pPr>
        <w:pStyle w:val="5"/>
        <w:outlineLvl w:val="9"/>
        <w:rPr>
          <w:rFonts w:hint="eastAsia" w:hAnsi="宋体" w:cs="宋体"/>
          <w:color w:val="auto"/>
          <w:kern w:val="0"/>
          <w:sz w:val="32"/>
          <w:szCs w:val="32"/>
          <w:highlight w:val="none"/>
          <w:shd w:val="clear" w:color="auto" w:fill="FFFFFF"/>
          <w:lang w:val="zh-CN"/>
        </w:rPr>
      </w:pPr>
    </w:p>
    <w:p w14:paraId="358B54F4">
      <w:pPr>
        <w:pStyle w:val="25"/>
        <w:spacing w:line="600" w:lineRule="exact"/>
        <w:jc w:val="center"/>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峨边彝族自治县水务局</w:t>
      </w:r>
    </w:p>
    <w:p w14:paraId="31274BB9">
      <w:pPr>
        <w:pStyle w:val="25"/>
        <w:spacing w:line="600" w:lineRule="exact"/>
        <w:jc w:val="center"/>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2023年乡村振兴补助资金项目（</w:t>
      </w:r>
      <w:r>
        <w:rPr>
          <w:rFonts w:hint="eastAsia" w:ascii="方正小标宋简体" w:hAnsi="方正小标宋简体" w:eastAsia="方正小标宋简体" w:cs="方正小标宋简体"/>
          <w:sz w:val="44"/>
          <w:szCs w:val="44"/>
          <w:lang w:val="en-US" w:eastAsia="zh-CN"/>
        </w:rPr>
        <w:t>县</w:t>
      </w:r>
      <w:r>
        <w:rPr>
          <w:rFonts w:hint="eastAsia" w:ascii="方正小标宋简体" w:hAnsi="方正小标宋简体" w:eastAsia="方正小标宋简体" w:cs="方正小标宋简体"/>
          <w:sz w:val="44"/>
          <w:szCs w:val="44"/>
        </w:rPr>
        <w:t>级）</w:t>
      </w:r>
    </w:p>
    <w:p w14:paraId="2B780113">
      <w:pPr>
        <w:pStyle w:val="25"/>
        <w:spacing w:line="600" w:lineRule="exact"/>
        <w:jc w:val="center"/>
        <w:outlineLvl w:val="9"/>
        <w:rPr>
          <w:rFonts w:ascii="方正小标宋简体" w:hAnsi="宋体" w:eastAsia="方正小标宋简体"/>
          <w:sz w:val="44"/>
          <w:szCs w:val="44"/>
        </w:rPr>
      </w:pPr>
      <w:r>
        <w:rPr>
          <w:rFonts w:hint="eastAsia" w:ascii="方正小标宋简体" w:hAnsi="宋体" w:eastAsia="方正小标宋简体"/>
          <w:sz w:val="44"/>
          <w:szCs w:val="44"/>
        </w:rPr>
        <w:t>项目支出绩效自评报告</w:t>
      </w:r>
    </w:p>
    <w:p w14:paraId="1C7D35B4">
      <w:pPr>
        <w:pStyle w:val="25"/>
        <w:spacing w:line="560" w:lineRule="exact"/>
        <w:ind w:firstLine="640"/>
        <w:jc w:val="center"/>
        <w:outlineLvl w:val="9"/>
        <w:rPr>
          <w:rFonts w:ascii="宋体" w:hAnsi="宋体"/>
          <w:color w:val="auto"/>
          <w:kern w:val="2"/>
          <w:sz w:val="32"/>
          <w:szCs w:val="32"/>
        </w:rPr>
      </w:pPr>
    </w:p>
    <w:p w14:paraId="14EE7E1E">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一、</w:t>
      </w:r>
      <w:r>
        <w:rPr>
          <w:rFonts w:hint="eastAsia" w:ascii="仿宋" w:hAnsi="仿宋" w:eastAsia="仿宋" w:cs="仿宋"/>
          <w:sz w:val="32"/>
          <w:szCs w:val="32"/>
          <w:lang w:val="zh-CN"/>
        </w:rPr>
        <w:t>项目概况</w:t>
      </w:r>
    </w:p>
    <w:p w14:paraId="7EEA08B9">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44E36464">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峨边彝族自治县人民政府办公室《2023年峨边中央财政衔接推进乡村振兴补助资金使用方案》下达</w:t>
      </w:r>
      <w:r>
        <w:rPr>
          <w:rFonts w:hint="eastAsia" w:ascii="仿宋" w:hAnsi="仿宋" w:eastAsia="仿宋" w:cs="仿宋"/>
          <w:sz w:val="32"/>
          <w:szCs w:val="32"/>
          <w:lang w:val="zh-CN"/>
        </w:rPr>
        <w:t>水务局202</w:t>
      </w:r>
      <w:r>
        <w:rPr>
          <w:rFonts w:hint="eastAsia" w:ascii="仿宋" w:hAnsi="仿宋" w:eastAsia="仿宋" w:cs="仿宋"/>
          <w:sz w:val="32"/>
          <w:szCs w:val="32"/>
          <w:lang w:val="en-US" w:eastAsia="zh-CN"/>
        </w:rPr>
        <w:t>3</w:t>
      </w:r>
      <w:r>
        <w:rPr>
          <w:rFonts w:hint="eastAsia" w:ascii="仿宋" w:hAnsi="仿宋" w:eastAsia="仿宋" w:cs="仿宋"/>
          <w:sz w:val="32"/>
          <w:szCs w:val="32"/>
          <w:lang w:val="zh-CN"/>
        </w:rPr>
        <w:t>年乡村振兴补助资金项目（</w:t>
      </w:r>
      <w:r>
        <w:rPr>
          <w:rFonts w:hint="eastAsia" w:ascii="仿宋" w:hAnsi="仿宋" w:eastAsia="仿宋" w:cs="仿宋"/>
          <w:sz w:val="32"/>
          <w:szCs w:val="32"/>
          <w:lang w:val="en-US" w:eastAsia="zh-CN"/>
        </w:rPr>
        <w:t>县</w:t>
      </w:r>
      <w:r>
        <w:rPr>
          <w:rFonts w:hint="eastAsia" w:ascii="仿宋" w:hAnsi="仿宋" w:eastAsia="仿宋" w:cs="仿宋"/>
          <w:sz w:val="32"/>
          <w:szCs w:val="32"/>
          <w:lang w:val="zh-CN"/>
        </w:rPr>
        <w:t>级）</w:t>
      </w:r>
      <w:r>
        <w:rPr>
          <w:rFonts w:hint="eastAsia" w:ascii="仿宋" w:hAnsi="仿宋" w:eastAsia="仿宋" w:cs="仿宋"/>
          <w:sz w:val="32"/>
          <w:szCs w:val="32"/>
          <w:lang w:val="en-US" w:eastAsia="zh-CN"/>
        </w:rPr>
        <w:t>188.99万元</w:t>
      </w:r>
      <w:r>
        <w:rPr>
          <w:rFonts w:hint="eastAsia" w:ascii="仿宋" w:hAnsi="仿宋" w:eastAsia="仿宋" w:cs="仿宋"/>
          <w:sz w:val="32"/>
          <w:szCs w:val="32"/>
          <w:lang w:val="zh-CN"/>
        </w:rPr>
        <w:t>。</w:t>
      </w:r>
    </w:p>
    <w:p w14:paraId="2AE5211E">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175A8FBD">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zh-CN"/>
        </w:rPr>
        <w:t>完成</w:t>
      </w:r>
      <w:r>
        <w:rPr>
          <w:rFonts w:hint="eastAsia" w:ascii="仿宋" w:hAnsi="仿宋" w:eastAsia="仿宋" w:cs="仿宋"/>
          <w:sz w:val="32"/>
          <w:szCs w:val="32"/>
          <w:lang w:val="en-US" w:eastAsia="zh-CN"/>
        </w:rPr>
        <w:t>161个水利公益性岗位人员补贴和大渡河、官料河等八条河流河湖健康评价编制</w:t>
      </w:r>
      <w:r>
        <w:rPr>
          <w:rFonts w:hint="eastAsia" w:ascii="仿宋" w:hAnsi="仿宋" w:eastAsia="仿宋" w:cs="仿宋"/>
          <w:sz w:val="32"/>
          <w:szCs w:val="32"/>
          <w:lang w:val="zh-CN"/>
        </w:rPr>
        <w:t>。</w:t>
      </w:r>
    </w:p>
    <w:p w14:paraId="75466B8C">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（三）项目资金申报相符性。</w:t>
      </w:r>
    </w:p>
    <w:p w14:paraId="435CE7F6">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zh-CN"/>
        </w:rPr>
        <w:t>根据</w:t>
      </w:r>
      <w:r>
        <w:rPr>
          <w:rFonts w:hint="eastAsia" w:ascii="仿宋" w:hAnsi="仿宋" w:eastAsia="仿宋" w:cs="仿宋"/>
          <w:sz w:val="32"/>
          <w:szCs w:val="32"/>
          <w:lang w:val="en-US" w:eastAsia="zh-CN"/>
        </w:rPr>
        <w:t>峨边彝族自治县人民政府办公室2023年峨边中央财政衔接推进乡村振兴补助资金使用方案</w:t>
      </w:r>
      <w:r>
        <w:rPr>
          <w:rFonts w:hint="eastAsia" w:ascii="仿宋" w:hAnsi="仿宋" w:eastAsia="仿宋" w:cs="仿宋"/>
          <w:sz w:val="32"/>
          <w:szCs w:val="32"/>
          <w:lang w:val="zh-CN"/>
        </w:rPr>
        <w:t>。项目申报内容与具体实施内容相符。</w:t>
      </w:r>
    </w:p>
    <w:p w14:paraId="06C99CB5">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二、项目实施及管理情况</w:t>
      </w:r>
    </w:p>
    <w:p w14:paraId="65875817">
      <w:pPr>
        <w:adjustRightInd w:val="0"/>
        <w:snapToGrid w:val="0"/>
        <w:spacing w:line="560" w:lineRule="exact"/>
        <w:ind w:firstLine="720"/>
        <w:outlineLvl w:val="9"/>
        <w:rPr>
          <w:rFonts w:hint="eastAsia" w:ascii="仿宋" w:hAnsi="仿宋" w:eastAsia="仿宋" w:cs="仿宋"/>
          <w:b/>
          <w:color w:val="auto"/>
          <w:sz w:val="32"/>
          <w:szCs w:val="32"/>
          <w:lang w:val="zh-CN"/>
        </w:rPr>
      </w:pPr>
      <w:r>
        <w:rPr>
          <w:rFonts w:hint="eastAsia" w:ascii="仿宋" w:hAnsi="仿宋" w:eastAsia="仿宋" w:cs="仿宋"/>
          <w:color w:val="auto"/>
          <w:sz w:val="32"/>
          <w:szCs w:val="32"/>
          <w:lang w:val="zh-CN"/>
        </w:rPr>
        <w:tab/>
      </w:r>
      <w:r>
        <w:rPr>
          <w:rFonts w:hint="eastAsia" w:ascii="仿宋" w:hAnsi="仿宋" w:eastAsia="仿宋" w:cs="仿宋"/>
          <w:b/>
          <w:color w:val="auto"/>
          <w:sz w:val="32"/>
          <w:szCs w:val="32"/>
          <w:lang w:val="zh-CN"/>
        </w:rPr>
        <w:t>（一）资金计划、到位及使用情况。</w:t>
      </w:r>
    </w:p>
    <w:p w14:paraId="5962677C">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1．资金计划及时到位。截至2023年</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lang w:val="en-US" w:eastAsia="zh-CN"/>
        </w:rPr>
        <w:t>31</w:t>
      </w:r>
      <w:r>
        <w:rPr>
          <w:rFonts w:hint="eastAsia" w:ascii="仿宋" w:hAnsi="仿宋" w:eastAsia="仿宋" w:cs="仿宋"/>
          <w:color w:val="auto"/>
          <w:sz w:val="32"/>
          <w:szCs w:val="32"/>
          <w:lang w:val="zh-CN"/>
        </w:rPr>
        <w:t>日，该项目资金到位</w:t>
      </w:r>
      <w:r>
        <w:rPr>
          <w:rFonts w:hint="eastAsia" w:ascii="仿宋" w:hAnsi="仿宋" w:eastAsia="仿宋" w:cs="仿宋"/>
          <w:color w:val="auto"/>
          <w:sz w:val="32"/>
          <w:szCs w:val="32"/>
          <w:lang w:val="en-US" w:eastAsia="zh-CN"/>
        </w:rPr>
        <w:t>188.99</w:t>
      </w:r>
      <w:r>
        <w:rPr>
          <w:rFonts w:hint="eastAsia" w:ascii="仿宋" w:hAnsi="仿宋" w:eastAsia="仿宋" w:cs="仿宋"/>
          <w:color w:val="auto"/>
          <w:sz w:val="32"/>
          <w:szCs w:val="32"/>
          <w:lang w:val="zh-CN"/>
        </w:rPr>
        <w:t>万元，资金到位情况与资金计划进行比对，资金到位率100%、到位及时。</w:t>
      </w:r>
    </w:p>
    <w:p w14:paraId="4F8C0FBA">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2．资金使用。</w:t>
      </w:r>
    </w:p>
    <w:p w14:paraId="4BA0A070">
      <w:pPr>
        <w:adjustRightInd w:val="0"/>
        <w:snapToGrid w:val="0"/>
        <w:spacing w:line="560" w:lineRule="exact"/>
        <w:ind w:firstLine="720"/>
        <w:outlineLvl w:val="9"/>
        <w:rPr>
          <w:rFonts w:hint="eastAsia" w:ascii="仿宋" w:hAnsi="仿宋" w:eastAsia="仿宋" w:cs="仿宋"/>
          <w:color w:val="FF0000"/>
          <w:sz w:val="32"/>
          <w:szCs w:val="32"/>
          <w:lang w:val="zh-CN"/>
        </w:rPr>
      </w:pPr>
      <w:r>
        <w:rPr>
          <w:rFonts w:hint="eastAsia" w:ascii="仿宋" w:hAnsi="仿宋" w:eastAsia="仿宋" w:cs="仿宋"/>
          <w:color w:val="auto"/>
          <w:sz w:val="32"/>
          <w:szCs w:val="32"/>
          <w:lang w:val="en-US" w:eastAsia="zh-CN"/>
        </w:rPr>
        <w:t>截至2023年12月31日支付完成161人水利公益性岗位补贴和</w:t>
      </w:r>
      <w:r>
        <w:rPr>
          <w:rFonts w:hint="eastAsia" w:ascii="仿宋" w:hAnsi="仿宋" w:eastAsia="仿宋" w:cs="仿宋"/>
          <w:sz w:val="32"/>
          <w:szCs w:val="32"/>
          <w:lang w:val="en-US" w:eastAsia="zh-CN"/>
        </w:rPr>
        <w:t>大渡河、官料河等八条河流河湖健康评价编制</w:t>
      </w:r>
      <w:r>
        <w:rPr>
          <w:rFonts w:hint="eastAsia" w:ascii="仿宋" w:hAnsi="仿宋" w:eastAsia="仿宋" w:cs="仿宋"/>
          <w:color w:val="auto"/>
          <w:sz w:val="32"/>
          <w:szCs w:val="32"/>
          <w:lang w:val="en-US" w:eastAsia="zh-CN"/>
        </w:rPr>
        <w:t>项目、新林镇麻柳村饮水项目设计、大堡镇山坪塘项目设计费165.6万元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资金支付88%，未完成原因是</w:t>
      </w:r>
      <w:r>
        <w:rPr>
          <w:rFonts w:hint="eastAsia" w:ascii="仿宋" w:hAnsi="仿宋" w:eastAsia="仿宋" w:cs="仿宋"/>
          <w:sz w:val="32"/>
          <w:szCs w:val="32"/>
          <w:lang w:val="en-US" w:eastAsia="zh-CN"/>
        </w:rPr>
        <w:t>大渡河、官料河等八条河流河湖健康评价编制</w:t>
      </w:r>
      <w:r>
        <w:rPr>
          <w:rFonts w:hint="eastAsia" w:ascii="仿宋" w:hAnsi="仿宋" w:eastAsia="仿宋" w:cs="仿宋"/>
          <w:color w:val="auto"/>
          <w:sz w:val="32"/>
          <w:szCs w:val="32"/>
          <w:lang w:val="en-US" w:eastAsia="zh-CN"/>
        </w:rPr>
        <w:t>项目待专家评审</w:t>
      </w:r>
      <w:r>
        <w:rPr>
          <w:rFonts w:hint="eastAsia" w:ascii="仿宋" w:hAnsi="仿宋" w:eastAsia="仿宋" w:cs="仿宋"/>
          <w:color w:val="auto"/>
          <w:sz w:val="32"/>
          <w:szCs w:val="32"/>
          <w:lang w:val="zh-CN"/>
        </w:rPr>
        <w:t>。</w:t>
      </w:r>
    </w:p>
    <w:p w14:paraId="7CD64D29">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（二）项目财务管理情况。</w:t>
      </w:r>
    </w:p>
    <w:p w14:paraId="1FDA8676">
      <w:pPr>
        <w:adjustRightInd w:val="0"/>
        <w:snapToGrid w:val="0"/>
        <w:spacing w:line="600" w:lineRule="exact"/>
        <w:ind w:firstLine="720"/>
        <w:outlineLvl w:val="9"/>
        <w:rPr>
          <w:rFonts w:hint="eastAsia" w:ascii="仿宋" w:hAnsi="仿宋" w:eastAsia="仿宋" w:cs="仿宋"/>
          <w:color w:val="000000"/>
          <w:sz w:val="32"/>
          <w:szCs w:val="32"/>
          <w:lang w:val="zh-CN"/>
        </w:rPr>
      </w:pPr>
      <w:r>
        <w:rPr>
          <w:rFonts w:hint="eastAsia" w:ascii="仿宋" w:hAnsi="仿宋" w:eastAsia="仿宋" w:cs="仿宋"/>
          <w:color w:val="000000"/>
          <w:sz w:val="32"/>
          <w:szCs w:val="32"/>
          <w:lang w:val="zh-CN"/>
        </w:rPr>
        <w:t>该项目资金严格按照财经管理制度规定使用，财务处理及时、规范，资料齐全、归档及时，无</w:t>
      </w:r>
      <w:r>
        <w:rPr>
          <w:rFonts w:hint="eastAsia" w:ascii="仿宋" w:hAnsi="仿宋" w:eastAsia="仿宋" w:cs="仿宋"/>
          <w:color w:val="000000"/>
          <w:kern w:val="0"/>
          <w:sz w:val="32"/>
          <w:szCs w:val="32"/>
          <w:shd w:val="clear" w:color="auto" w:fill="FFFFFF"/>
          <w:lang w:val="zh-CN"/>
        </w:rPr>
        <w:t>截留、挤占、挪用、套取、转移和浪费的现象，无任何违规记录。</w:t>
      </w:r>
    </w:p>
    <w:p w14:paraId="5A8C531D">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（三）项目组织实施情况。</w:t>
      </w:r>
    </w:p>
    <w:p w14:paraId="3377F9CD">
      <w:pPr>
        <w:adjustRightInd w:val="0"/>
        <w:snapToGrid w:val="0"/>
        <w:spacing w:line="560" w:lineRule="exact"/>
        <w:ind w:firstLine="720"/>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项目</w:t>
      </w:r>
      <w:r>
        <w:rPr>
          <w:rFonts w:hint="eastAsia" w:ascii="仿宋" w:hAnsi="仿宋" w:eastAsia="仿宋" w:cs="仿宋"/>
          <w:color w:val="000000"/>
          <w:sz w:val="32"/>
          <w:szCs w:val="32"/>
          <w:lang w:val="en-US" w:eastAsia="zh-CN"/>
        </w:rPr>
        <w:t>通过乡镇与水利公益性岗位人员公示后签订聘用合同，水务局根据水利公益性岗位人员开展工作情况，通过一卡通平台发放，其他项目设计费通过乡镇人民政府组织实施，完工后提供报账资料到水务局报账，</w:t>
      </w:r>
      <w:r>
        <w:rPr>
          <w:rFonts w:hint="eastAsia" w:ascii="仿宋" w:hAnsi="仿宋" w:eastAsia="仿宋" w:cs="仿宋"/>
          <w:sz w:val="32"/>
          <w:szCs w:val="32"/>
          <w:lang w:val="en-US" w:eastAsia="zh-CN"/>
        </w:rPr>
        <w:t>大渡河、官料河等八条河流河湖健康评价编制</w:t>
      </w:r>
      <w:r>
        <w:rPr>
          <w:rFonts w:hint="eastAsia" w:ascii="仿宋" w:hAnsi="仿宋" w:eastAsia="仿宋" w:cs="仿宋"/>
          <w:color w:val="auto"/>
          <w:sz w:val="32"/>
          <w:szCs w:val="32"/>
          <w:lang w:val="en-US" w:eastAsia="zh-CN"/>
        </w:rPr>
        <w:t>项目通过政府采购确定编制单位，提供通过审查的编制资料后报账</w:t>
      </w:r>
      <w:r>
        <w:rPr>
          <w:rFonts w:hint="eastAsia" w:ascii="仿宋" w:hAnsi="仿宋" w:eastAsia="仿宋" w:cs="仿宋"/>
          <w:color w:val="000000"/>
          <w:sz w:val="32"/>
          <w:szCs w:val="32"/>
        </w:rPr>
        <w:t>。</w:t>
      </w:r>
    </w:p>
    <w:p w14:paraId="57A3B11D">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三、项目绩效情况</w:t>
      </w:r>
      <w:r>
        <w:rPr>
          <w:rFonts w:hint="eastAsia" w:ascii="仿宋" w:hAnsi="仿宋" w:eastAsia="仿宋" w:cs="仿宋"/>
          <w:sz w:val="32"/>
          <w:szCs w:val="32"/>
          <w:lang w:val="zh-CN"/>
        </w:rPr>
        <w:tab/>
      </w:r>
    </w:p>
    <w:p w14:paraId="15FD6180">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6C473790">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zh-CN"/>
        </w:rPr>
        <w:t>已按照合同约定时间按时</w:t>
      </w:r>
      <w:r>
        <w:rPr>
          <w:rFonts w:hint="eastAsia" w:ascii="仿宋" w:hAnsi="仿宋" w:eastAsia="仿宋" w:cs="仿宋"/>
          <w:sz w:val="32"/>
          <w:szCs w:val="32"/>
          <w:lang w:val="en-US" w:eastAsia="zh-CN"/>
        </w:rPr>
        <w:t>支付了161人公益性岗位补贴，大渡河、官料河等八条河流河湖健康评价编制</w:t>
      </w:r>
      <w:r>
        <w:rPr>
          <w:rFonts w:hint="eastAsia" w:ascii="仿宋" w:hAnsi="仿宋" w:eastAsia="仿宋" w:cs="仿宋"/>
          <w:color w:val="auto"/>
          <w:sz w:val="32"/>
          <w:szCs w:val="32"/>
          <w:lang w:val="en-US" w:eastAsia="zh-CN"/>
        </w:rPr>
        <w:t>项目已完成初步审查</w:t>
      </w:r>
      <w:r>
        <w:rPr>
          <w:rFonts w:hint="eastAsia" w:ascii="仿宋" w:hAnsi="仿宋" w:eastAsia="仿宋" w:cs="仿宋"/>
          <w:sz w:val="32"/>
          <w:szCs w:val="32"/>
          <w:lang w:val="zh-CN"/>
        </w:rPr>
        <w:t>。</w:t>
      </w:r>
    </w:p>
    <w:p w14:paraId="7E53A6AA">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3546168C">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sz w:val="32"/>
          <w:szCs w:val="32"/>
          <w:lang w:val="zh-CN"/>
        </w:rPr>
        <w:t>本项目实施后，可进一步强化我县</w:t>
      </w:r>
      <w:r>
        <w:rPr>
          <w:rFonts w:hint="eastAsia" w:ascii="仿宋" w:hAnsi="仿宋" w:eastAsia="仿宋" w:cs="仿宋"/>
          <w:sz w:val="32"/>
          <w:szCs w:val="32"/>
          <w:lang w:val="en-US" w:eastAsia="zh-CN"/>
        </w:rPr>
        <w:t>农村饮水安全</w:t>
      </w:r>
      <w:r>
        <w:rPr>
          <w:rFonts w:hint="eastAsia" w:ascii="仿宋" w:hAnsi="仿宋" w:eastAsia="仿宋" w:cs="仿宋"/>
          <w:sz w:val="32"/>
          <w:szCs w:val="32"/>
          <w:lang w:val="zh-CN"/>
        </w:rPr>
        <w:t>保护，保障</w:t>
      </w:r>
      <w:r>
        <w:rPr>
          <w:rFonts w:hint="eastAsia" w:ascii="仿宋" w:hAnsi="仿宋" w:eastAsia="仿宋" w:cs="仿宋"/>
          <w:sz w:val="32"/>
          <w:szCs w:val="32"/>
          <w:lang w:val="en-US" w:eastAsia="zh-CN"/>
        </w:rPr>
        <w:t>饮水</w:t>
      </w:r>
      <w:r>
        <w:rPr>
          <w:rFonts w:hint="eastAsia" w:ascii="仿宋" w:hAnsi="仿宋" w:eastAsia="仿宋" w:cs="仿宋"/>
          <w:sz w:val="32"/>
          <w:szCs w:val="32"/>
          <w:lang w:val="zh-CN"/>
        </w:rPr>
        <w:t>安全，减少</w:t>
      </w:r>
      <w:r>
        <w:rPr>
          <w:rFonts w:hint="eastAsia" w:ascii="仿宋" w:hAnsi="仿宋" w:eastAsia="仿宋" w:cs="仿宋"/>
          <w:sz w:val="32"/>
          <w:szCs w:val="32"/>
          <w:lang w:val="en-US" w:eastAsia="zh-CN"/>
        </w:rPr>
        <w:t>农户用水矛盾</w:t>
      </w:r>
      <w:r>
        <w:rPr>
          <w:rFonts w:hint="eastAsia" w:ascii="仿宋" w:hAnsi="仿宋" w:eastAsia="仿宋" w:cs="仿宋"/>
          <w:sz w:val="32"/>
          <w:szCs w:val="32"/>
          <w:lang w:val="zh-CN"/>
        </w:rPr>
        <w:t>。杜绝了</w:t>
      </w:r>
      <w:r>
        <w:rPr>
          <w:rFonts w:hint="eastAsia" w:ascii="仿宋" w:hAnsi="仿宋" w:eastAsia="仿宋" w:cs="仿宋"/>
          <w:sz w:val="32"/>
          <w:szCs w:val="32"/>
          <w:lang w:val="en-US" w:eastAsia="zh-CN"/>
        </w:rPr>
        <w:t>长期缺水无人管的问题，有效减少人民群众生命财产安全。</w:t>
      </w:r>
      <w:r>
        <w:rPr>
          <w:rFonts w:hint="eastAsia" w:ascii="仿宋" w:hAnsi="仿宋" w:eastAsia="仿宋" w:cs="仿宋"/>
          <w:color w:val="000000"/>
          <w:sz w:val="32"/>
          <w:szCs w:val="32"/>
          <w:lang w:val="en-US" w:eastAsia="zh-CN"/>
        </w:rPr>
        <w:t>服务对象</w:t>
      </w:r>
      <w:r>
        <w:rPr>
          <w:rFonts w:hint="eastAsia" w:ascii="仿宋" w:hAnsi="仿宋" w:eastAsia="仿宋" w:cs="仿宋"/>
          <w:color w:val="000000"/>
          <w:sz w:val="32"/>
          <w:szCs w:val="32"/>
        </w:rPr>
        <w:t>满意度</w:t>
      </w:r>
      <w:r>
        <w:rPr>
          <w:rFonts w:hint="eastAsia" w:ascii="仿宋" w:hAnsi="仿宋" w:eastAsia="仿宋" w:cs="仿宋"/>
          <w:color w:val="000000"/>
          <w:sz w:val="32"/>
          <w:szCs w:val="32"/>
          <w:lang w:val="en-US" w:eastAsia="zh-CN"/>
        </w:rPr>
        <w:t>100</w:t>
      </w:r>
      <w:r>
        <w:rPr>
          <w:rFonts w:hint="eastAsia" w:ascii="仿宋" w:hAnsi="仿宋" w:eastAsia="仿宋" w:cs="仿宋"/>
          <w:color w:val="000000"/>
          <w:sz w:val="32"/>
          <w:szCs w:val="32"/>
        </w:rPr>
        <w:t>%。</w:t>
      </w:r>
    </w:p>
    <w:p w14:paraId="33B9F186">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四、问题及建议</w:t>
      </w:r>
    </w:p>
    <w:p w14:paraId="5A8554F4">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（一）存在的问题。</w:t>
      </w:r>
    </w:p>
    <w:p w14:paraId="4F00CF88">
      <w:pPr>
        <w:adjustRightInd w:val="0"/>
        <w:snapToGrid w:val="0"/>
        <w:spacing w:line="560" w:lineRule="exact"/>
        <w:ind w:firstLine="720"/>
        <w:outlineLvl w:val="9"/>
        <w:rPr>
          <w:rFonts w:hint="eastAsia" w:ascii="仿宋" w:hAnsi="仿宋" w:eastAsia="仿宋" w:cs="仿宋"/>
          <w:b/>
          <w:sz w:val="32"/>
          <w:szCs w:val="32"/>
          <w:lang w:val="en-US" w:eastAsia="zh-CN"/>
        </w:rPr>
      </w:pPr>
      <w:r>
        <w:rPr>
          <w:rFonts w:hint="eastAsia" w:ascii="仿宋" w:hAnsi="仿宋" w:eastAsia="仿宋" w:cs="仿宋"/>
          <w:b/>
          <w:sz w:val="32"/>
          <w:szCs w:val="32"/>
          <w:lang w:val="zh-CN"/>
        </w:rPr>
        <w:t>（二）相关建议。</w:t>
      </w:r>
    </w:p>
    <w:p w14:paraId="7BE662B3">
      <w:pPr>
        <w:pStyle w:val="5"/>
        <w:outlineLvl w:val="9"/>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1" o:spt="75" type="#_x0000_t75" style="height:679.8pt;width:415.05pt;" o:ole="t" filled="f" o:preferrelative="t" stroked="f" coordsize="21600,21600">
            <v:path/>
            <v:fill on="f" focussize="0,0"/>
            <v:stroke on="f"/>
            <v:imagedata r:id="rId27" o:title=""/>
            <o:lock v:ext="edit" aspectratio="f"/>
            <w10:wrap type="none"/>
            <w10:anchorlock/>
          </v:shape>
          <o:OLEObject Type="Embed" ProgID="Excel.Sheet.12" ShapeID="_x0000_i1031" DrawAspect="Content" ObjectID="_1468075731" r:id="rId26">
            <o:LockedField>false</o:LockedField>
          </o:OLEObject>
        </w:object>
      </w:r>
    </w:p>
    <w:p w14:paraId="2598314E">
      <w:pPr>
        <w:pStyle w:val="25"/>
        <w:spacing w:line="600" w:lineRule="exact"/>
        <w:jc w:val="center"/>
        <w:outlineLvl w:val="9"/>
        <w:rPr>
          <w:rFonts w:hint="eastAsia" w:ascii="方正小标宋简体" w:hAnsi="宋体" w:eastAsia="方正小标宋简体"/>
          <w:sz w:val="44"/>
          <w:szCs w:val="44"/>
        </w:rPr>
      </w:pPr>
      <w:r>
        <w:rPr>
          <w:rFonts w:hint="eastAsia" w:ascii="方正小标宋简体" w:hAnsi="方正小标宋简体" w:eastAsia="方正小标宋简体" w:cs="方正小标宋简体"/>
          <w:sz w:val="44"/>
          <w:szCs w:val="44"/>
          <w:lang w:val="en-US" w:eastAsia="zh-CN"/>
        </w:rPr>
        <w:t>防洪河道保护专项经费</w:t>
      </w:r>
      <w:r>
        <w:rPr>
          <w:rFonts w:hint="eastAsia" w:ascii="方正小标宋简体" w:hAnsi="宋体" w:eastAsia="方正小标宋简体"/>
          <w:sz w:val="44"/>
          <w:szCs w:val="44"/>
        </w:rPr>
        <w:t>项目支出绩效</w:t>
      </w:r>
    </w:p>
    <w:p w14:paraId="29B7C55A">
      <w:pPr>
        <w:pStyle w:val="25"/>
        <w:spacing w:line="600" w:lineRule="exact"/>
        <w:jc w:val="center"/>
        <w:outlineLvl w:val="9"/>
        <w:rPr>
          <w:rFonts w:ascii="方正小标宋简体" w:hAnsi="宋体" w:eastAsia="方正小标宋简体"/>
          <w:sz w:val="44"/>
          <w:szCs w:val="44"/>
        </w:rPr>
      </w:pPr>
      <w:r>
        <w:rPr>
          <w:rFonts w:hint="eastAsia" w:ascii="方正小标宋简体" w:hAnsi="宋体" w:eastAsia="方正小标宋简体"/>
          <w:sz w:val="44"/>
          <w:szCs w:val="44"/>
        </w:rPr>
        <w:t>自评报告</w:t>
      </w:r>
    </w:p>
    <w:p w14:paraId="13C69148">
      <w:pPr>
        <w:pStyle w:val="25"/>
        <w:spacing w:line="560" w:lineRule="exact"/>
        <w:ind w:firstLine="640"/>
        <w:jc w:val="center"/>
        <w:outlineLvl w:val="9"/>
        <w:rPr>
          <w:rFonts w:ascii="宋体" w:hAnsi="宋体"/>
          <w:color w:val="auto"/>
          <w:kern w:val="2"/>
          <w:sz w:val="32"/>
          <w:szCs w:val="32"/>
        </w:rPr>
      </w:pPr>
    </w:p>
    <w:p w14:paraId="25616159">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一、</w:t>
      </w:r>
      <w:r>
        <w:rPr>
          <w:rFonts w:hint="eastAsia" w:ascii="仿宋" w:hAnsi="仿宋" w:eastAsia="仿宋" w:cs="仿宋"/>
          <w:sz w:val="32"/>
          <w:szCs w:val="32"/>
          <w:lang w:val="zh-CN"/>
        </w:rPr>
        <w:t>项目概况</w:t>
      </w:r>
    </w:p>
    <w:p w14:paraId="7C247708">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1BCADD84">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峨边彝族自治县财政局《关于批复2023年部门预算的通知》下达</w:t>
      </w:r>
      <w:r>
        <w:rPr>
          <w:rFonts w:hint="eastAsia" w:ascii="仿宋" w:hAnsi="仿宋" w:eastAsia="仿宋" w:cs="仿宋"/>
          <w:sz w:val="32"/>
          <w:szCs w:val="32"/>
          <w:lang w:val="zh-CN"/>
        </w:rPr>
        <w:t>水务局</w:t>
      </w:r>
      <w:r>
        <w:rPr>
          <w:rFonts w:hint="eastAsia" w:ascii="仿宋" w:hAnsi="仿宋" w:eastAsia="仿宋" w:cs="仿宋"/>
          <w:sz w:val="32"/>
          <w:szCs w:val="32"/>
          <w:lang w:val="en-US" w:eastAsia="zh-CN"/>
        </w:rPr>
        <w:t>小型水利项目前期经费20万元</w:t>
      </w:r>
      <w:r>
        <w:rPr>
          <w:rFonts w:hint="eastAsia" w:ascii="仿宋" w:hAnsi="仿宋" w:eastAsia="仿宋" w:cs="仿宋"/>
          <w:sz w:val="32"/>
          <w:szCs w:val="32"/>
          <w:lang w:val="zh-CN"/>
        </w:rPr>
        <w:t>。</w:t>
      </w:r>
    </w:p>
    <w:p w14:paraId="3D19FA93">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5AB21BD9">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zh-CN"/>
        </w:rPr>
        <w:t>完成</w:t>
      </w:r>
      <w:r>
        <w:rPr>
          <w:rFonts w:hint="eastAsia" w:ascii="仿宋" w:hAnsi="仿宋" w:eastAsia="仿宋" w:cs="仿宋"/>
          <w:sz w:val="32"/>
          <w:szCs w:val="32"/>
          <w:lang w:val="en-US" w:eastAsia="zh-CN"/>
        </w:rPr>
        <w:t>山洪灾害预警、水库安全管理相关工作</w:t>
      </w:r>
      <w:r>
        <w:rPr>
          <w:rFonts w:hint="eastAsia" w:ascii="仿宋" w:hAnsi="仿宋" w:eastAsia="仿宋" w:cs="仿宋"/>
          <w:sz w:val="32"/>
          <w:szCs w:val="32"/>
          <w:lang w:val="zh-CN"/>
        </w:rPr>
        <w:t>。</w:t>
      </w:r>
    </w:p>
    <w:p w14:paraId="4397C3F8">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（三）项目资金申报相符性。</w:t>
      </w:r>
    </w:p>
    <w:p w14:paraId="1233A4D5">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峨边彝族自治县财政局《关于批复2023年部门预算的通知》</w:t>
      </w:r>
      <w:r>
        <w:rPr>
          <w:rFonts w:hint="eastAsia" w:ascii="仿宋" w:hAnsi="仿宋" w:eastAsia="仿宋" w:cs="仿宋"/>
          <w:sz w:val="32"/>
          <w:szCs w:val="32"/>
          <w:lang w:val="zh-CN"/>
        </w:rPr>
        <w:t>。项目申报内容与具体实施内容相符。</w:t>
      </w:r>
    </w:p>
    <w:p w14:paraId="06934001">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二、项目实施及管理情况</w:t>
      </w:r>
    </w:p>
    <w:p w14:paraId="17CF3298">
      <w:pPr>
        <w:adjustRightInd w:val="0"/>
        <w:snapToGrid w:val="0"/>
        <w:spacing w:line="560" w:lineRule="exact"/>
        <w:ind w:firstLine="720"/>
        <w:outlineLvl w:val="9"/>
        <w:rPr>
          <w:rFonts w:hint="eastAsia" w:ascii="仿宋" w:hAnsi="仿宋" w:eastAsia="仿宋" w:cs="仿宋"/>
          <w:b/>
          <w:color w:val="auto"/>
          <w:sz w:val="32"/>
          <w:szCs w:val="32"/>
          <w:lang w:val="zh-CN"/>
        </w:rPr>
      </w:pPr>
      <w:r>
        <w:rPr>
          <w:rFonts w:hint="eastAsia" w:ascii="仿宋" w:hAnsi="仿宋" w:eastAsia="仿宋" w:cs="仿宋"/>
          <w:color w:val="auto"/>
          <w:sz w:val="32"/>
          <w:szCs w:val="32"/>
          <w:lang w:val="zh-CN"/>
        </w:rPr>
        <w:tab/>
      </w:r>
      <w:r>
        <w:rPr>
          <w:rFonts w:hint="eastAsia" w:ascii="仿宋" w:hAnsi="仿宋" w:eastAsia="仿宋" w:cs="仿宋"/>
          <w:b/>
          <w:color w:val="auto"/>
          <w:sz w:val="32"/>
          <w:szCs w:val="32"/>
          <w:lang w:val="zh-CN"/>
        </w:rPr>
        <w:t>（一）资金计划、到位及使用情况。</w:t>
      </w:r>
    </w:p>
    <w:p w14:paraId="2ADCF3FD">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1．资金计划及时到位。截至2023年</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lang w:val="en-US" w:eastAsia="zh-CN"/>
        </w:rPr>
        <w:t>31</w:t>
      </w:r>
      <w:r>
        <w:rPr>
          <w:rFonts w:hint="eastAsia" w:ascii="仿宋" w:hAnsi="仿宋" w:eastAsia="仿宋" w:cs="仿宋"/>
          <w:color w:val="auto"/>
          <w:sz w:val="32"/>
          <w:szCs w:val="32"/>
          <w:lang w:val="zh-CN"/>
        </w:rPr>
        <w:t>日，该项目资金到位</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lang w:val="zh-CN"/>
        </w:rPr>
        <w:t>万元，资金到位情况与资金计划进行比对，资金到位率100%、到位及时。</w:t>
      </w:r>
    </w:p>
    <w:p w14:paraId="34CD79DF">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2．资金使用。</w:t>
      </w:r>
    </w:p>
    <w:p w14:paraId="1F96C1F1">
      <w:pPr>
        <w:adjustRightInd w:val="0"/>
        <w:snapToGrid w:val="0"/>
        <w:spacing w:line="560" w:lineRule="exact"/>
        <w:ind w:firstLine="720"/>
        <w:outlineLvl w:val="9"/>
        <w:rPr>
          <w:rFonts w:hint="eastAsia" w:ascii="仿宋" w:hAnsi="仿宋" w:eastAsia="仿宋" w:cs="仿宋"/>
          <w:color w:val="FF0000"/>
          <w:sz w:val="32"/>
          <w:szCs w:val="32"/>
          <w:lang w:val="zh-CN"/>
        </w:rPr>
      </w:pPr>
      <w:r>
        <w:rPr>
          <w:rFonts w:hint="eastAsia" w:ascii="仿宋" w:hAnsi="仿宋" w:eastAsia="仿宋" w:cs="仿宋"/>
          <w:color w:val="auto"/>
          <w:sz w:val="32"/>
          <w:szCs w:val="32"/>
          <w:lang w:val="en-US" w:eastAsia="zh-CN"/>
        </w:rPr>
        <w:t>截至2023年12月31日支付</w:t>
      </w:r>
      <w:r>
        <w:rPr>
          <w:rFonts w:hint="eastAsia" w:ascii="仿宋" w:hAnsi="仿宋" w:eastAsia="仿宋" w:cs="仿宋"/>
          <w:sz w:val="32"/>
          <w:szCs w:val="32"/>
          <w:lang w:val="en-US" w:eastAsia="zh-CN"/>
        </w:rPr>
        <w:t>山洪灾害预警、水库安全管理20</w:t>
      </w:r>
      <w:r>
        <w:rPr>
          <w:rFonts w:hint="eastAsia" w:ascii="仿宋" w:hAnsi="仿宋" w:eastAsia="仿宋" w:cs="仿宋"/>
          <w:color w:val="auto"/>
          <w:sz w:val="32"/>
          <w:szCs w:val="32"/>
          <w:lang w:val="en-US" w:eastAsia="zh-CN"/>
        </w:rPr>
        <w:t>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资金支付100%</w:t>
      </w:r>
      <w:r>
        <w:rPr>
          <w:rFonts w:hint="eastAsia" w:ascii="仿宋" w:hAnsi="仿宋" w:eastAsia="仿宋" w:cs="仿宋"/>
          <w:color w:val="auto"/>
          <w:sz w:val="32"/>
          <w:szCs w:val="32"/>
          <w:lang w:val="zh-CN"/>
        </w:rPr>
        <w:t>。</w:t>
      </w:r>
    </w:p>
    <w:p w14:paraId="03AEF5B6">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（二）项目财务管理情况。</w:t>
      </w:r>
    </w:p>
    <w:p w14:paraId="460EEB6C">
      <w:pPr>
        <w:adjustRightInd w:val="0"/>
        <w:snapToGrid w:val="0"/>
        <w:spacing w:line="600" w:lineRule="exact"/>
        <w:ind w:firstLine="720"/>
        <w:outlineLvl w:val="9"/>
        <w:rPr>
          <w:rFonts w:hint="eastAsia" w:ascii="仿宋" w:hAnsi="仿宋" w:eastAsia="仿宋" w:cs="仿宋"/>
          <w:color w:val="000000"/>
          <w:sz w:val="32"/>
          <w:szCs w:val="32"/>
          <w:lang w:val="zh-CN"/>
        </w:rPr>
      </w:pPr>
      <w:r>
        <w:rPr>
          <w:rFonts w:hint="eastAsia" w:ascii="仿宋" w:hAnsi="仿宋" w:eastAsia="仿宋" w:cs="仿宋"/>
          <w:color w:val="000000"/>
          <w:sz w:val="32"/>
          <w:szCs w:val="32"/>
          <w:lang w:val="zh-CN"/>
        </w:rPr>
        <w:t>该项目资金严格按照财经管理制度规定使用，财务处理及时、规范，资料齐全、归档及时，无</w:t>
      </w:r>
      <w:r>
        <w:rPr>
          <w:rFonts w:hint="eastAsia" w:ascii="仿宋" w:hAnsi="仿宋" w:eastAsia="仿宋" w:cs="仿宋"/>
          <w:color w:val="000000"/>
          <w:kern w:val="0"/>
          <w:sz w:val="32"/>
          <w:szCs w:val="32"/>
          <w:shd w:val="clear" w:color="auto" w:fill="FFFFFF"/>
          <w:lang w:val="zh-CN"/>
        </w:rPr>
        <w:t>截留、挤占、挪用、套取、转移和浪费的现象，无任何违规记录。</w:t>
      </w:r>
    </w:p>
    <w:p w14:paraId="3856F254">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（三）项目组织实施情况。</w:t>
      </w:r>
    </w:p>
    <w:p w14:paraId="5977AEE8">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color w:val="000000"/>
          <w:sz w:val="32"/>
          <w:szCs w:val="32"/>
        </w:rPr>
        <w:t>项目</w:t>
      </w:r>
      <w:r>
        <w:rPr>
          <w:rFonts w:hint="eastAsia" w:ascii="仿宋" w:hAnsi="仿宋" w:eastAsia="仿宋" w:cs="仿宋"/>
          <w:color w:val="000000"/>
          <w:sz w:val="32"/>
          <w:szCs w:val="32"/>
          <w:lang w:val="en-US" w:eastAsia="zh-CN"/>
        </w:rPr>
        <w:t>通过水务局防御股组织实施</w:t>
      </w:r>
      <w:r>
        <w:rPr>
          <w:rFonts w:hint="eastAsia" w:ascii="仿宋" w:hAnsi="仿宋" w:eastAsia="仿宋" w:cs="仿宋"/>
          <w:sz w:val="32"/>
          <w:szCs w:val="32"/>
          <w:lang w:val="zh-CN"/>
        </w:rPr>
        <w:t>，</w:t>
      </w:r>
      <w:r>
        <w:rPr>
          <w:rFonts w:hint="eastAsia" w:ascii="仿宋" w:hAnsi="仿宋" w:eastAsia="仿宋" w:cs="仿宋"/>
          <w:sz w:val="32"/>
          <w:szCs w:val="32"/>
          <w:lang w:val="en-US" w:eastAsia="zh-CN"/>
        </w:rPr>
        <w:t>完成后提供真实报账资料报账</w:t>
      </w:r>
      <w:r>
        <w:rPr>
          <w:rFonts w:hint="eastAsia" w:ascii="仿宋" w:hAnsi="仿宋" w:eastAsia="仿宋" w:cs="仿宋"/>
          <w:sz w:val="32"/>
          <w:szCs w:val="32"/>
          <w:lang w:val="zh-CN"/>
        </w:rPr>
        <w:t>。</w:t>
      </w:r>
    </w:p>
    <w:p w14:paraId="117CD531">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三、项目绩效情况</w:t>
      </w:r>
      <w:r>
        <w:rPr>
          <w:rFonts w:hint="eastAsia" w:ascii="仿宋" w:hAnsi="仿宋" w:eastAsia="仿宋" w:cs="仿宋"/>
          <w:sz w:val="32"/>
          <w:szCs w:val="32"/>
          <w:lang w:val="zh-CN"/>
        </w:rPr>
        <w:tab/>
      </w:r>
    </w:p>
    <w:p w14:paraId="1430846E">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3A6419F5">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该项目已完成山洪灾害预警，水库安全运行</w:t>
      </w:r>
      <w:r>
        <w:rPr>
          <w:rFonts w:hint="eastAsia" w:ascii="仿宋" w:hAnsi="仿宋" w:eastAsia="仿宋" w:cs="仿宋"/>
          <w:sz w:val="32"/>
          <w:szCs w:val="32"/>
          <w:lang w:val="zh-CN"/>
        </w:rPr>
        <w:t>。</w:t>
      </w:r>
    </w:p>
    <w:p w14:paraId="110000DC">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04BCBE66">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sz w:val="32"/>
          <w:szCs w:val="32"/>
          <w:lang w:val="zh-CN"/>
        </w:rPr>
        <w:t>本项目实施后，可进一步</w:t>
      </w:r>
      <w:r>
        <w:rPr>
          <w:rFonts w:hint="eastAsia" w:ascii="仿宋" w:hAnsi="仿宋" w:eastAsia="仿宋" w:cs="仿宋"/>
          <w:sz w:val="32"/>
          <w:szCs w:val="32"/>
          <w:lang w:val="en-US" w:eastAsia="zh-CN"/>
        </w:rPr>
        <w:t>，提高河道下流群众生命财产安全保障，河道行洪能力有效提升，水库安全运行。</w:t>
      </w:r>
      <w:r>
        <w:rPr>
          <w:rFonts w:hint="eastAsia" w:ascii="仿宋" w:hAnsi="仿宋" w:eastAsia="仿宋" w:cs="仿宋"/>
          <w:color w:val="000000"/>
          <w:sz w:val="32"/>
          <w:szCs w:val="32"/>
          <w:lang w:val="en-US" w:eastAsia="zh-CN"/>
        </w:rPr>
        <w:t>服务对象</w:t>
      </w:r>
      <w:r>
        <w:rPr>
          <w:rFonts w:hint="eastAsia" w:ascii="仿宋" w:hAnsi="仿宋" w:eastAsia="仿宋" w:cs="仿宋"/>
          <w:color w:val="000000"/>
          <w:sz w:val="32"/>
          <w:szCs w:val="32"/>
        </w:rPr>
        <w:t>满意度</w:t>
      </w:r>
      <w:r>
        <w:rPr>
          <w:rFonts w:hint="eastAsia" w:ascii="仿宋" w:hAnsi="仿宋" w:eastAsia="仿宋" w:cs="仿宋"/>
          <w:color w:val="000000"/>
          <w:sz w:val="32"/>
          <w:szCs w:val="32"/>
          <w:lang w:val="en-US" w:eastAsia="zh-CN"/>
        </w:rPr>
        <w:t>100</w:t>
      </w:r>
      <w:r>
        <w:rPr>
          <w:rFonts w:hint="eastAsia" w:ascii="仿宋" w:hAnsi="仿宋" w:eastAsia="仿宋" w:cs="仿宋"/>
          <w:color w:val="000000"/>
          <w:sz w:val="32"/>
          <w:szCs w:val="32"/>
        </w:rPr>
        <w:t>%。</w:t>
      </w:r>
    </w:p>
    <w:p w14:paraId="10834F2A">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四、问题及建议</w:t>
      </w:r>
    </w:p>
    <w:p w14:paraId="10229C34">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（一）存在的问题。</w:t>
      </w:r>
    </w:p>
    <w:p w14:paraId="025DA437">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w:t>
      </w:r>
      <w:r>
        <w:rPr>
          <w:rFonts w:hint="eastAsia" w:ascii="仿宋" w:hAnsi="仿宋" w:eastAsia="仿宋" w:cs="仿宋"/>
          <w:b/>
          <w:sz w:val="32"/>
          <w:szCs w:val="32"/>
          <w:lang w:val="en-US" w:eastAsia="zh-CN"/>
        </w:rPr>
        <w:t>二</w:t>
      </w:r>
      <w:r>
        <w:rPr>
          <w:rFonts w:hint="eastAsia" w:ascii="仿宋" w:hAnsi="仿宋" w:eastAsia="仿宋" w:cs="仿宋"/>
          <w:b/>
          <w:sz w:val="32"/>
          <w:szCs w:val="32"/>
          <w:lang w:val="zh-CN"/>
        </w:rPr>
        <w:t>）相关建议。</w:t>
      </w:r>
    </w:p>
    <w:p w14:paraId="5F4ECCD3">
      <w:pPr>
        <w:pStyle w:val="5"/>
        <w:outlineLvl w:val="9"/>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2" o:spt="75" type="#_x0000_t75" style="height:659.05pt;width:415.05pt;" o:ole="t" filled="f" o:preferrelative="t" stroked="f" coordsize="21600,21600">
            <v:path/>
            <v:fill on="f" focussize="0,0"/>
            <v:stroke on="f"/>
            <v:imagedata r:id="rId29" o:title=""/>
            <o:lock v:ext="edit" aspectratio="f"/>
            <w10:wrap type="none"/>
            <w10:anchorlock/>
          </v:shape>
          <o:OLEObject Type="Embed" ProgID="Excel.Sheet.12" ShapeID="_x0000_i1032" DrawAspect="Content" ObjectID="_1468075732" r:id="rId28">
            <o:LockedField>false</o:LockedField>
          </o:OLEObject>
        </w:object>
      </w:r>
    </w:p>
    <w:p w14:paraId="64920A2C">
      <w:pPr>
        <w:pStyle w:val="5"/>
        <w:outlineLvl w:val="9"/>
        <w:rPr>
          <w:rFonts w:hint="eastAsia" w:hAnsi="宋体" w:cs="宋体"/>
          <w:color w:val="auto"/>
          <w:kern w:val="0"/>
          <w:sz w:val="32"/>
          <w:szCs w:val="32"/>
          <w:highlight w:val="none"/>
          <w:shd w:val="clear" w:color="auto" w:fill="FFFFFF"/>
          <w:lang w:val="zh-CN"/>
        </w:rPr>
      </w:pPr>
    </w:p>
    <w:p w14:paraId="6757048F">
      <w:pPr>
        <w:pStyle w:val="25"/>
        <w:spacing w:line="600" w:lineRule="exact"/>
        <w:jc w:val="center"/>
        <w:outlineLvl w:val="9"/>
        <w:rPr>
          <w:rFonts w:hint="eastAsia" w:ascii="方正小标宋简体" w:hAnsi="宋体" w:eastAsia="方正小标宋简体"/>
          <w:sz w:val="44"/>
          <w:szCs w:val="44"/>
        </w:rPr>
      </w:pPr>
      <w:r>
        <w:rPr>
          <w:rFonts w:hint="eastAsia" w:ascii="方正小标宋简体" w:hAnsi="方正小标宋简体" w:eastAsia="方正小标宋简体" w:cs="方正小标宋简体"/>
          <w:sz w:val="44"/>
          <w:szCs w:val="44"/>
          <w:lang w:val="en-US" w:eastAsia="zh-CN"/>
        </w:rPr>
        <w:t>水土资源保护经费</w:t>
      </w:r>
      <w:r>
        <w:rPr>
          <w:rFonts w:hint="eastAsia" w:ascii="方正小标宋简体" w:hAnsi="宋体" w:eastAsia="方正小标宋简体"/>
          <w:sz w:val="44"/>
          <w:szCs w:val="44"/>
        </w:rPr>
        <w:t>项目支出绩效</w:t>
      </w:r>
    </w:p>
    <w:p w14:paraId="5F27FBCA">
      <w:pPr>
        <w:pStyle w:val="25"/>
        <w:spacing w:line="600" w:lineRule="exact"/>
        <w:jc w:val="center"/>
        <w:outlineLvl w:val="9"/>
        <w:rPr>
          <w:rFonts w:ascii="方正小标宋简体" w:hAnsi="宋体" w:eastAsia="方正小标宋简体"/>
          <w:sz w:val="44"/>
          <w:szCs w:val="44"/>
        </w:rPr>
      </w:pPr>
      <w:r>
        <w:rPr>
          <w:rFonts w:hint="eastAsia" w:ascii="方正小标宋简体" w:hAnsi="宋体" w:eastAsia="方正小标宋简体"/>
          <w:sz w:val="44"/>
          <w:szCs w:val="44"/>
        </w:rPr>
        <w:t>自评报告</w:t>
      </w:r>
    </w:p>
    <w:p w14:paraId="0F7A0AAD">
      <w:pPr>
        <w:pStyle w:val="25"/>
        <w:spacing w:line="560" w:lineRule="exact"/>
        <w:ind w:firstLine="640"/>
        <w:jc w:val="center"/>
        <w:outlineLvl w:val="9"/>
        <w:rPr>
          <w:rFonts w:ascii="宋体" w:hAnsi="宋体"/>
          <w:color w:val="auto"/>
          <w:kern w:val="2"/>
          <w:sz w:val="32"/>
          <w:szCs w:val="32"/>
        </w:rPr>
      </w:pPr>
    </w:p>
    <w:p w14:paraId="468EB37B">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一、</w:t>
      </w:r>
      <w:r>
        <w:rPr>
          <w:rFonts w:hint="eastAsia" w:ascii="仿宋" w:hAnsi="仿宋" w:eastAsia="仿宋" w:cs="仿宋"/>
          <w:sz w:val="32"/>
          <w:szCs w:val="32"/>
          <w:lang w:val="zh-CN"/>
        </w:rPr>
        <w:t>项目概况</w:t>
      </w:r>
    </w:p>
    <w:p w14:paraId="2BB9EA0E">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71B9EC76">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峨边彝族自治县财政局《关于批复2023年部门预算的通知》下达</w:t>
      </w:r>
      <w:r>
        <w:rPr>
          <w:rFonts w:hint="eastAsia" w:ascii="仿宋" w:hAnsi="仿宋" w:eastAsia="仿宋" w:cs="仿宋"/>
          <w:sz w:val="32"/>
          <w:szCs w:val="32"/>
          <w:lang w:val="zh-CN"/>
        </w:rPr>
        <w:t>水务局</w:t>
      </w:r>
      <w:r>
        <w:rPr>
          <w:rFonts w:hint="eastAsia" w:ascii="仿宋" w:hAnsi="仿宋" w:eastAsia="仿宋" w:cs="仿宋"/>
          <w:sz w:val="32"/>
          <w:szCs w:val="32"/>
          <w:lang w:val="en-US" w:eastAsia="zh-CN"/>
        </w:rPr>
        <w:t>小型水利项目前期经费75万元</w:t>
      </w:r>
      <w:r>
        <w:rPr>
          <w:rFonts w:hint="eastAsia" w:ascii="仿宋" w:hAnsi="仿宋" w:eastAsia="仿宋" w:cs="仿宋"/>
          <w:sz w:val="32"/>
          <w:szCs w:val="32"/>
          <w:lang w:val="zh-CN"/>
        </w:rPr>
        <w:t>。</w:t>
      </w:r>
    </w:p>
    <w:p w14:paraId="5F964E8A">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626D289F">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zh-CN"/>
        </w:rPr>
        <w:t>完成</w:t>
      </w:r>
      <w:r>
        <w:rPr>
          <w:rFonts w:hint="eastAsia" w:ascii="仿宋" w:hAnsi="仿宋" w:eastAsia="仿宋" w:cs="仿宋"/>
          <w:sz w:val="32"/>
          <w:szCs w:val="32"/>
          <w:lang w:val="en-US" w:eastAsia="zh-CN"/>
        </w:rPr>
        <w:t>河长制工作、水资源公报编制、水行政执法管理、农村饮水</w:t>
      </w:r>
      <w:bookmarkStart w:id="127" w:name="_GoBack"/>
      <w:r>
        <w:rPr>
          <w:rFonts w:hint="eastAsia" w:ascii="仿宋" w:hAnsi="仿宋" w:eastAsia="仿宋" w:cs="仿宋"/>
          <w:sz w:val="32"/>
          <w:szCs w:val="32"/>
          <w:lang w:val="en-US" w:eastAsia="zh-CN"/>
        </w:rPr>
        <w:t>安全检测</w:t>
      </w:r>
      <w:bookmarkEnd w:id="127"/>
      <w:r>
        <w:rPr>
          <w:rFonts w:hint="eastAsia" w:ascii="仿宋" w:hAnsi="仿宋" w:eastAsia="仿宋" w:cs="仿宋"/>
          <w:sz w:val="32"/>
          <w:szCs w:val="32"/>
          <w:lang w:val="en-US" w:eastAsia="zh-CN"/>
        </w:rPr>
        <w:t>、水利建设工程监督管理、水土保持服务费等</w:t>
      </w:r>
      <w:r>
        <w:rPr>
          <w:rFonts w:hint="eastAsia" w:ascii="仿宋" w:hAnsi="仿宋" w:eastAsia="仿宋" w:cs="仿宋"/>
          <w:sz w:val="32"/>
          <w:szCs w:val="32"/>
          <w:lang w:val="zh-CN"/>
        </w:rPr>
        <w:t>。</w:t>
      </w:r>
    </w:p>
    <w:p w14:paraId="1AE56FB6">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（三）项目资金申报相符性。</w:t>
      </w:r>
    </w:p>
    <w:p w14:paraId="15F869E7">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峨边彝族自治县财政局《关于批复2023年部门预算的通知》</w:t>
      </w:r>
      <w:r>
        <w:rPr>
          <w:rFonts w:hint="eastAsia" w:ascii="仿宋" w:hAnsi="仿宋" w:eastAsia="仿宋" w:cs="仿宋"/>
          <w:sz w:val="32"/>
          <w:szCs w:val="32"/>
          <w:lang w:val="zh-CN"/>
        </w:rPr>
        <w:t>。项目申报内容与具体实施内容相符。</w:t>
      </w:r>
    </w:p>
    <w:p w14:paraId="635AA964">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二、项目实施及管理情况</w:t>
      </w:r>
    </w:p>
    <w:p w14:paraId="49519CC5">
      <w:pPr>
        <w:adjustRightInd w:val="0"/>
        <w:snapToGrid w:val="0"/>
        <w:spacing w:line="560" w:lineRule="exact"/>
        <w:ind w:firstLine="720"/>
        <w:outlineLvl w:val="9"/>
        <w:rPr>
          <w:rFonts w:hint="eastAsia" w:ascii="仿宋" w:hAnsi="仿宋" w:eastAsia="仿宋" w:cs="仿宋"/>
          <w:b/>
          <w:color w:val="auto"/>
          <w:sz w:val="32"/>
          <w:szCs w:val="32"/>
          <w:lang w:val="zh-CN"/>
        </w:rPr>
      </w:pPr>
      <w:r>
        <w:rPr>
          <w:rFonts w:hint="eastAsia" w:ascii="仿宋" w:hAnsi="仿宋" w:eastAsia="仿宋" w:cs="仿宋"/>
          <w:color w:val="auto"/>
          <w:sz w:val="32"/>
          <w:szCs w:val="32"/>
          <w:lang w:val="zh-CN"/>
        </w:rPr>
        <w:tab/>
      </w:r>
      <w:r>
        <w:rPr>
          <w:rFonts w:hint="eastAsia" w:ascii="仿宋" w:hAnsi="仿宋" w:eastAsia="仿宋" w:cs="仿宋"/>
          <w:b/>
          <w:color w:val="auto"/>
          <w:sz w:val="32"/>
          <w:szCs w:val="32"/>
          <w:lang w:val="zh-CN"/>
        </w:rPr>
        <w:t>（一）资金计划、到位及使用情况。</w:t>
      </w:r>
    </w:p>
    <w:p w14:paraId="549844B4">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1．资金计划及时到位。截至2023年</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lang w:val="en-US" w:eastAsia="zh-CN"/>
        </w:rPr>
        <w:t>31</w:t>
      </w:r>
      <w:r>
        <w:rPr>
          <w:rFonts w:hint="eastAsia" w:ascii="仿宋" w:hAnsi="仿宋" w:eastAsia="仿宋" w:cs="仿宋"/>
          <w:color w:val="auto"/>
          <w:sz w:val="32"/>
          <w:szCs w:val="32"/>
          <w:lang w:val="zh-CN"/>
        </w:rPr>
        <w:t>日，该项目资金到位</w:t>
      </w:r>
      <w:r>
        <w:rPr>
          <w:rFonts w:hint="eastAsia" w:ascii="仿宋" w:hAnsi="仿宋" w:eastAsia="仿宋" w:cs="仿宋"/>
          <w:color w:val="auto"/>
          <w:sz w:val="32"/>
          <w:szCs w:val="32"/>
          <w:lang w:val="en-US" w:eastAsia="zh-CN"/>
        </w:rPr>
        <w:t>75</w:t>
      </w:r>
      <w:r>
        <w:rPr>
          <w:rFonts w:hint="eastAsia" w:ascii="仿宋" w:hAnsi="仿宋" w:eastAsia="仿宋" w:cs="仿宋"/>
          <w:color w:val="auto"/>
          <w:sz w:val="32"/>
          <w:szCs w:val="32"/>
          <w:lang w:val="zh-CN"/>
        </w:rPr>
        <w:t>万元，资金到位情况与资金计划进行比对，资金到位率100%、到位及时。</w:t>
      </w:r>
    </w:p>
    <w:p w14:paraId="313B9C30">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2．资金使用。</w:t>
      </w:r>
    </w:p>
    <w:p w14:paraId="6EA71ED2">
      <w:pPr>
        <w:adjustRightInd w:val="0"/>
        <w:snapToGrid w:val="0"/>
        <w:spacing w:line="560" w:lineRule="exact"/>
        <w:ind w:firstLine="720"/>
        <w:outlineLvl w:val="9"/>
        <w:rPr>
          <w:rFonts w:hint="eastAsia" w:ascii="仿宋" w:hAnsi="仿宋" w:eastAsia="仿宋" w:cs="仿宋"/>
          <w:color w:val="FF0000"/>
          <w:sz w:val="32"/>
          <w:szCs w:val="32"/>
          <w:lang w:val="zh-CN"/>
        </w:rPr>
      </w:pPr>
      <w:r>
        <w:rPr>
          <w:rFonts w:hint="eastAsia" w:ascii="仿宋" w:hAnsi="仿宋" w:eastAsia="仿宋" w:cs="仿宋"/>
          <w:color w:val="auto"/>
          <w:sz w:val="32"/>
          <w:szCs w:val="32"/>
          <w:lang w:val="en-US" w:eastAsia="zh-CN"/>
        </w:rPr>
        <w:t>截至2023年12月31日支付</w:t>
      </w:r>
      <w:r>
        <w:rPr>
          <w:rFonts w:hint="eastAsia" w:ascii="仿宋" w:hAnsi="仿宋" w:eastAsia="仿宋" w:cs="仿宋"/>
          <w:sz w:val="32"/>
          <w:szCs w:val="32"/>
          <w:lang w:val="en-US" w:eastAsia="zh-CN"/>
        </w:rPr>
        <w:t>山洪灾害预警、水库安全管理61.5419</w:t>
      </w:r>
      <w:r>
        <w:rPr>
          <w:rFonts w:hint="eastAsia" w:ascii="仿宋" w:hAnsi="仿宋" w:eastAsia="仿宋" w:cs="仿宋"/>
          <w:color w:val="auto"/>
          <w:sz w:val="32"/>
          <w:szCs w:val="32"/>
          <w:lang w:val="en-US" w:eastAsia="zh-CN"/>
        </w:rPr>
        <w:t>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资金支付82%</w:t>
      </w:r>
      <w:r>
        <w:rPr>
          <w:rFonts w:hint="eastAsia" w:ascii="仿宋" w:hAnsi="仿宋" w:eastAsia="仿宋" w:cs="仿宋"/>
          <w:color w:val="auto"/>
          <w:sz w:val="32"/>
          <w:szCs w:val="32"/>
          <w:lang w:val="zh-CN"/>
        </w:rPr>
        <w:t>。</w:t>
      </w:r>
    </w:p>
    <w:p w14:paraId="55A11A03">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（二）项目财务管理情况。</w:t>
      </w:r>
    </w:p>
    <w:p w14:paraId="28D3AB25">
      <w:pPr>
        <w:adjustRightInd w:val="0"/>
        <w:snapToGrid w:val="0"/>
        <w:spacing w:line="600" w:lineRule="exact"/>
        <w:ind w:firstLine="720"/>
        <w:outlineLvl w:val="9"/>
        <w:rPr>
          <w:rFonts w:hint="eastAsia" w:ascii="仿宋" w:hAnsi="仿宋" w:eastAsia="仿宋" w:cs="仿宋"/>
          <w:color w:val="000000"/>
          <w:sz w:val="32"/>
          <w:szCs w:val="32"/>
          <w:lang w:val="zh-CN"/>
        </w:rPr>
      </w:pPr>
      <w:r>
        <w:rPr>
          <w:rFonts w:hint="eastAsia" w:ascii="仿宋" w:hAnsi="仿宋" w:eastAsia="仿宋" w:cs="仿宋"/>
          <w:color w:val="000000"/>
          <w:sz w:val="32"/>
          <w:szCs w:val="32"/>
          <w:lang w:val="zh-CN"/>
        </w:rPr>
        <w:t>该项目资金严格按照财经管理制度规定使用，财务处理及时、规范，资料齐全、归档及时，无</w:t>
      </w:r>
      <w:r>
        <w:rPr>
          <w:rFonts w:hint="eastAsia" w:ascii="仿宋" w:hAnsi="仿宋" w:eastAsia="仿宋" w:cs="仿宋"/>
          <w:color w:val="000000"/>
          <w:kern w:val="0"/>
          <w:sz w:val="32"/>
          <w:szCs w:val="32"/>
          <w:shd w:val="clear" w:color="auto" w:fill="FFFFFF"/>
          <w:lang w:val="zh-CN"/>
        </w:rPr>
        <w:t>截留、挤占、挪用、套取、转移和浪费的现象，无任何违规记录。</w:t>
      </w:r>
    </w:p>
    <w:p w14:paraId="47B11D07">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（三）项目组织实施情况。</w:t>
      </w:r>
    </w:p>
    <w:p w14:paraId="3238031C">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color w:val="000000"/>
          <w:sz w:val="32"/>
          <w:szCs w:val="32"/>
        </w:rPr>
        <w:t>项目</w:t>
      </w:r>
      <w:r>
        <w:rPr>
          <w:rFonts w:hint="eastAsia" w:ascii="仿宋" w:hAnsi="仿宋" w:eastAsia="仿宋" w:cs="仿宋"/>
          <w:color w:val="000000"/>
          <w:sz w:val="32"/>
          <w:szCs w:val="32"/>
          <w:lang w:val="en-US" w:eastAsia="zh-CN"/>
        </w:rPr>
        <w:t>通过水务局各业务股室组织实施</w:t>
      </w:r>
      <w:r>
        <w:rPr>
          <w:rFonts w:hint="eastAsia" w:ascii="仿宋" w:hAnsi="仿宋" w:eastAsia="仿宋" w:cs="仿宋"/>
          <w:sz w:val="32"/>
          <w:szCs w:val="32"/>
          <w:lang w:val="zh-CN"/>
        </w:rPr>
        <w:t>，</w:t>
      </w:r>
      <w:r>
        <w:rPr>
          <w:rFonts w:hint="eastAsia" w:ascii="仿宋" w:hAnsi="仿宋" w:eastAsia="仿宋" w:cs="仿宋"/>
          <w:sz w:val="32"/>
          <w:szCs w:val="32"/>
          <w:lang w:val="en-US" w:eastAsia="zh-CN"/>
        </w:rPr>
        <w:t>完成后提供真实报账资料报账</w:t>
      </w:r>
      <w:r>
        <w:rPr>
          <w:rFonts w:hint="eastAsia" w:ascii="仿宋" w:hAnsi="仿宋" w:eastAsia="仿宋" w:cs="仿宋"/>
          <w:sz w:val="32"/>
          <w:szCs w:val="32"/>
          <w:lang w:val="zh-CN"/>
        </w:rPr>
        <w:t>。</w:t>
      </w:r>
    </w:p>
    <w:p w14:paraId="236FDCEF">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三、项目绩效情况</w:t>
      </w:r>
      <w:r>
        <w:rPr>
          <w:rFonts w:hint="eastAsia" w:ascii="仿宋" w:hAnsi="仿宋" w:eastAsia="仿宋" w:cs="仿宋"/>
          <w:sz w:val="32"/>
          <w:szCs w:val="32"/>
          <w:lang w:val="zh-CN"/>
        </w:rPr>
        <w:tab/>
      </w:r>
    </w:p>
    <w:p w14:paraId="1C157524">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2281382D">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该项目完成有效提升河湖管理水平、水土流失治理提高、提升水环境和水资源有效利用</w:t>
      </w:r>
      <w:r>
        <w:rPr>
          <w:rFonts w:hint="eastAsia" w:ascii="仿宋" w:hAnsi="仿宋" w:eastAsia="仿宋" w:cs="仿宋"/>
          <w:sz w:val="32"/>
          <w:szCs w:val="32"/>
          <w:lang w:val="zh-CN"/>
        </w:rPr>
        <w:t>。</w:t>
      </w:r>
    </w:p>
    <w:p w14:paraId="6AB8A4A2">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0E1F86FE">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sz w:val="32"/>
          <w:szCs w:val="32"/>
          <w:lang w:val="zh-CN"/>
        </w:rPr>
        <w:t>本项目实施后，可进一步</w:t>
      </w:r>
      <w:r>
        <w:rPr>
          <w:rFonts w:hint="eastAsia" w:ascii="仿宋" w:hAnsi="仿宋" w:eastAsia="仿宋" w:cs="仿宋"/>
          <w:sz w:val="32"/>
          <w:szCs w:val="32"/>
          <w:lang w:val="en-US" w:eastAsia="zh-CN"/>
        </w:rPr>
        <w:t>提高河道下流群众生命财产安全保障，河道行洪能力有效提升，提升河湖管理水平、水土流失治理提高，水库安全运行。</w:t>
      </w:r>
      <w:r>
        <w:rPr>
          <w:rFonts w:hint="eastAsia" w:ascii="仿宋" w:hAnsi="仿宋" w:eastAsia="仿宋" w:cs="仿宋"/>
          <w:color w:val="000000"/>
          <w:sz w:val="32"/>
          <w:szCs w:val="32"/>
          <w:lang w:val="en-US" w:eastAsia="zh-CN"/>
        </w:rPr>
        <w:t>服务对象</w:t>
      </w:r>
      <w:r>
        <w:rPr>
          <w:rFonts w:hint="eastAsia" w:ascii="仿宋" w:hAnsi="仿宋" w:eastAsia="仿宋" w:cs="仿宋"/>
          <w:color w:val="000000"/>
          <w:sz w:val="32"/>
          <w:szCs w:val="32"/>
        </w:rPr>
        <w:t>满意度</w:t>
      </w:r>
      <w:r>
        <w:rPr>
          <w:rFonts w:hint="eastAsia" w:ascii="仿宋" w:hAnsi="仿宋" w:eastAsia="仿宋" w:cs="仿宋"/>
          <w:color w:val="000000"/>
          <w:sz w:val="32"/>
          <w:szCs w:val="32"/>
          <w:lang w:val="en-US" w:eastAsia="zh-CN"/>
        </w:rPr>
        <w:t>100</w:t>
      </w:r>
      <w:r>
        <w:rPr>
          <w:rFonts w:hint="eastAsia" w:ascii="仿宋" w:hAnsi="仿宋" w:eastAsia="仿宋" w:cs="仿宋"/>
          <w:color w:val="000000"/>
          <w:sz w:val="32"/>
          <w:szCs w:val="32"/>
        </w:rPr>
        <w:t>%。</w:t>
      </w:r>
    </w:p>
    <w:p w14:paraId="736FD7C4">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四、问题及建议</w:t>
      </w:r>
    </w:p>
    <w:p w14:paraId="4534BC3E">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（一）存在的问题。</w:t>
      </w:r>
    </w:p>
    <w:p w14:paraId="739B54C8">
      <w:pPr>
        <w:numPr>
          <w:ilvl w:val="0"/>
          <w:numId w:val="0"/>
        </w:numPr>
        <w:adjustRightInd w:val="0"/>
        <w:snapToGrid w:val="0"/>
        <w:spacing w:line="560" w:lineRule="exact"/>
        <w:ind w:firstLine="643" w:firstLineChars="20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w:t>
      </w:r>
      <w:r>
        <w:rPr>
          <w:rFonts w:hint="eastAsia" w:ascii="仿宋" w:hAnsi="仿宋" w:eastAsia="仿宋" w:cs="仿宋"/>
          <w:b/>
          <w:sz w:val="32"/>
          <w:szCs w:val="32"/>
          <w:lang w:val="en-US" w:eastAsia="zh-CN"/>
        </w:rPr>
        <w:t>二</w:t>
      </w:r>
      <w:r>
        <w:rPr>
          <w:rFonts w:hint="eastAsia" w:ascii="仿宋" w:hAnsi="仿宋" w:eastAsia="仿宋" w:cs="仿宋"/>
          <w:b/>
          <w:sz w:val="32"/>
          <w:szCs w:val="32"/>
          <w:lang w:val="zh-CN"/>
        </w:rPr>
        <w:t>）相关建议。</w:t>
      </w:r>
    </w:p>
    <w:p w14:paraId="5122A76C">
      <w:pPr>
        <w:pStyle w:val="5"/>
        <w:outlineLvl w:val="9"/>
        <w:rPr>
          <w:rFonts w:hint="eastAsia" w:ascii="仿宋" w:hAnsi="仿宋" w:eastAsia="仿宋" w:cs="仿宋"/>
          <w:color w:val="auto"/>
          <w:kern w:val="0"/>
          <w:sz w:val="32"/>
          <w:szCs w:val="32"/>
          <w:highlight w:val="none"/>
          <w:shd w:val="clear" w:color="auto" w:fill="FFFFFF"/>
          <w:lang w:val="zh-CN"/>
        </w:rPr>
      </w:pPr>
    </w:p>
    <w:p w14:paraId="49F2E34B">
      <w:pPr>
        <w:pStyle w:val="5"/>
        <w:outlineLvl w:val="9"/>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3" o:spt="75" type="#_x0000_t75" style="height:655.3pt;width:415.05pt;" o:ole="t" filled="f" o:preferrelative="t" stroked="f" coordsize="21600,21600">
            <v:path/>
            <v:fill on="f" focussize="0,0"/>
            <v:stroke on="f"/>
            <v:imagedata r:id="rId31" o:title=""/>
            <o:lock v:ext="edit" aspectratio="f"/>
            <w10:wrap type="none"/>
            <w10:anchorlock/>
          </v:shape>
          <o:OLEObject Type="Embed" ProgID="Excel.Sheet.12" ShapeID="_x0000_i1033" DrawAspect="Content" ObjectID="_1468075733" r:id="rId30">
            <o:LockedField>false</o:LockedField>
          </o:OLEObject>
        </w:object>
      </w:r>
    </w:p>
    <w:p w14:paraId="2FC14459">
      <w:pPr>
        <w:pStyle w:val="25"/>
        <w:spacing w:line="600" w:lineRule="exact"/>
        <w:jc w:val="center"/>
        <w:outlineLvl w:val="9"/>
        <w:rPr>
          <w:rFonts w:hint="eastAsia" w:ascii="方正小标宋简体" w:hAnsi="宋体" w:eastAsia="方正小标宋简体"/>
          <w:sz w:val="44"/>
          <w:szCs w:val="44"/>
        </w:rPr>
      </w:pPr>
      <w:r>
        <w:rPr>
          <w:rFonts w:hint="eastAsia" w:ascii="方正小标宋简体" w:hAnsi="方正小标宋简体" w:eastAsia="方正小标宋简体" w:cs="方正小标宋简体"/>
          <w:sz w:val="44"/>
          <w:szCs w:val="44"/>
          <w:lang w:val="en-US" w:eastAsia="zh-CN"/>
        </w:rPr>
        <w:t>小型水利项目前期经费</w:t>
      </w:r>
      <w:r>
        <w:rPr>
          <w:rFonts w:hint="eastAsia" w:ascii="方正小标宋简体" w:hAnsi="宋体" w:eastAsia="方正小标宋简体"/>
          <w:sz w:val="44"/>
          <w:szCs w:val="44"/>
        </w:rPr>
        <w:t>项目支出绩效</w:t>
      </w:r>
    </w:p>
    <w:p w14:paraId="7BC4E822">
      <w:pPr>
        <w:pStyle w:val="25"/>
        <w:spacing w:line="600" w:lineRule="exact"/>
        <w:jc w:val="center"/>
        <w:outlineLvl w:val="9"/>
        <w:rPr>
          <w:rFonts w:ascii="方正小标宋简体" w:hAnsi="宋体" w:eastAsia="方正小标宋简体"/>
          <w:sz w:val="44"/>
          <w:szCs w:val="44"/>
        </w:rPr>
      </w:pPr>
      <w:r>
        <w:rPr>
          <w:rFonts w:hint="eastAsia" w:ascii="方正小标宋简体" w:hAnsi="宋体" w:eastAsia="方正小标宋简体"/>
          <w:sz w:val="44"/>
          <w:szCs w:val="44"/>
        </w:rPr>
        <w:t>自评报告</w:t>
      </w:r>
    </w:p>
    <w:p w14:paraId="64E07778">
      <w:pPr>
        <w:pStyle w:val="25"/>
        <w:spacing w:line="560" w:lineRule="exact"/>
        <w:ind w:firstLine="640"/>
        <w:jc w:val="center"/>
        <w:outlineLvl w:val="9"/>
        <w:rPr>
          <w:rFonts w:ascii="宋体" w:hAnsi="宋体"/>
          <w:color w:val="auto"/>
          <w:kern w:val="2"/>
          <w:sz w:val="32"/>
          <w:szCs w:val="32"/>
        </w:rPr>
      </w:pPr>
    </w:p>
    <w:p w14:paraId="05BD7AE9">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一、</w:t>
      </w:r>
      <w:r>
        <w:rPr>
          <w:rFonts w:hint="eastAsia" w:ascii="仿宋" w:hAnsi="仿宋" w:eastAsia="仿宋" w:cs="仿宋"/>
          <w:sz w:val="32"/>
          <w:szCs w:val="32"/>
          <w:lang w:val="zh-CN"/>
        </w:rPr>
        <w:t>项目概况</w:t>
      </w:r>
    </w:p>
    <w:p w14:paraId="412FECE3">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058AE14B">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峨边彝族自治县财政局《关于批复2023年部门预算的通知》下达</w:t>
      </w:r>
      <w:r>
        <w:rPr>
          <w:rFonts w:hint="eastAsia" w:ascii="仿宋" w:hAnsi="仿宋" w:eastAsia="仿宋" w:cs="仿宋"/>
          <w:sz w:val="32"/>
          <w:szCs w:val="32"/>
          <w:lang w:val="zh-CN"/>
        </w:rPr>
        <w:t>水务局</w:t>
      </w:r>
      <w:r>
        <w:rPr>
          <w:rFonts w:hint="eastAsia" w:ascii="仿宋" w:hAnsi="仿宋" w:eastAsia="仿宋" w:cs="仿宋"/>
          <w:sz w:val="32"/>
          <w:szCs w:val="32"/>
          <w:lang w:val="en-US" w:eastAsia="zh-CN"/>
        </w:rPr>
        <w:t>小型水利项目前期经费40万元</w:t>
      </w:r>
      <w:r>
        <w:rPr>
          <w:rFonts w:hint="eastAsia" w:ascii="仿宋" w:hAnsi="仿宋" w:eastAsia="仿宋" w:cs="仿宋"/>
          <w:sz w:val="32"/>
          <w:szCs w:val="32"/>
          <w:lang w:val="zh-CN"/>
        </w:rPr>
        <w:t>。</w:t>
      </w:r>
    </w:p>
    <w:p w14:paraId="12BB5C30">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07BB3306">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zh-CN"/>
        </w:rPr>
        <w:t>完成大渡河干流峨边彝族自治县2022年度河道采砂实施方案编制。</w:t>
      </w:r>
    </w:p>
    <w:p w14:paraId="6E829FA1">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（三）项目资金申报相符性。</w:t>
      </w:r>
    </w:p>
    <w:p w14:paraId="7F82612F">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峨边彝族自治县财政局《关于批复2023年部门预算的通知》</w:t>
      </w:r>
      <w:r>
        <w:rPr>
          <w:rFonts w:hint="eastAsia" w:ascii="仿宋" w:hAnsi="仿宋" w:eastAsia="仿宋" w:cs="仿宋"/>
          <w:sz w:val="32"/>
          <w:szCs w:val="32"/>
          <w:lang w:val="zh-CN"/>
        </w:rPr>
        <w:t>。项目申报内容与具体实施内容相符。</w:t>
      </w:r>
    </w:p>
    <w:p w14:paraId="11DD9097">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二、项目实施及管理情况</w:t>
      </w:r>
    </w:p>
    <w:p w14:paraId="02C37D5D">
      <w:pPr>
        <w:adjustRightInd w:val="0"/>
        <w:snapToGrid w:val="0"/>
        <w:spacing w:line="560" w:lineRule="exact"/>
        <w:ind w:firstLine="720"/>
        <w:outlineLvl w:val="9"/>
        <w:rPr>
          <w:rFonts w:hint="eastAsia" w:ascii="仿宋" w:hAnsi="仿宋" w:eastAsia="仿宋" w:cs="仿宋"/>
          <w:b/>
          <w:color w:val="auto"/>
          <w:sz w:val="32"/>
          <w:szCs w:val="32"/>
          <w:lang w:val="zh-CN"/>
        </w:rPr>
      </w:pPr>
      <w:r>
        <w:rPr>
          <w:rFonts w:hint="eastAsia" w:ascii="仿宋" w:hAnsi="仿宋" w:eastAsia="仿宋" w:cs="仿宋"/>
          <w:color w:val="auto"/>
          <w:sz w:val="32"/>
          <w:szCs w:val="32"/>
          <w:lang w:val="zh-CN"/>
        </w:rPr>
        <w:tab/>
      </w:r>
      <w:r>
        <w:rPr>
          <w:rFonts w:hint="eastAsia" w:ascii="仿宋" w:hAnsi="仿宋" w:eastAsia="仿宋" w:cs="仿宋"/>
          <w:b/>
          <w:color w:val="auto"/>
          <w:sz w:val="32"/>
          <w:szCs w:val="32"/>
          <w:lang w:val="zh-CN"/>
        </w:rPr>
        <w:t>（一）资金计划、到位及使用情况。</w:t>
      </w:r>
    </w:p>
    <w:p w14:paraId="1E5E937E">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1．资金计划及时到位。截至2023年</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lang w:val="en-US" w:eastAsia="zh-CN"/>
        </w:rPr>
        <w:t>31</w:t>
      </w:r>
      <w:r>
        <w:rPr>
          <w:rFonts w:hint="eastAsia" w:ascii="仿宋" w:hAnsi="仿宋" w:eastAsia="仿宋" w:cs="仿宋"/>
          <w:color w:val="auto"/>
          <w:sz w:val="32"/>
          <w:szCs w:val="32"/>
          <w:lang w:val="zh-CN"/>
        </w:rPr>
        <w:t>日，该项目资金到位</w:t>
      </w:r>
      <w:r>
        <w:rPr>
          <w:rFonts w:hint="eastAsia" w:ascii="仿宋" w:hAnsi="仿宋" w:eastAsia="仿宋" w:cs="仿宋"/>
          <w:color w:val="auto"/>
          <w:sz w:val="32"/>
          <w:szCs w:val="32"/>
          <w:lang w:val="en-US" w:eastAsia="zh-CN"/>
        </w:rPr>
        <w:t>40</w:t>
      </w:r>
      <w:r>
        <w:rPr>
          <w:rFonts w:hint="eastAsia" w:ascii="仿宋" w:hAnsi="仿宋" w:eastAsia="仿宋" w:cs="仿宋"/>
          <w:color w:val="auto"/>
          <w:sz w:val="32"/>
          <w:szCs w:val="32"/>
          <w:lang w:val="zh-CN"/>
        </w:rPr>
        <w:t>万元，资金到位情况与资金计划进行比对，资金到位率100%、到位及时。</w:t>
      </w:r>
    </w:p>
    <w:p w14:paraId="5FBD9C1E">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2．资金使用。</w:t>
      </w:r>
    </w:p>
    <w:p w14:paraId="74585CDC">
      <w:pPr>
        <w:adjustRightInd w:val="0"/>
        <w:snapToGrid w:val="0"/>
        <w:spacing w:line="560" w:lineRule="exact"/>
        <w:ind w:firstLine="720"/>
        <w:outlineLvl w:val="9"/>
        <w:rPr>
          <w:rFonts w:hint="eastAsia" w:ascii="仿宋" w:hAnsi="仿宋" w:eastAsia="仿宋" w:cs="仿宋"/>
          <w:color w:val="FF0000"/>
          <w:sz w:val="32"/>
          <w:szCs w:val="32"/>
          <w:lang w:val="zh-CN"/>
        </w:rPr>
      </w:pPr>
      <w:r>
        <w:rPr>
          <w:rFonts w:hint="eastAsia" w:ascii="仿宋" w:hAnsi="仿宋" w:eastAsia="仿宋" w:cs="仿宋"/>
          <w:color w:val="auto"/>
          <w:sz w:val="32"/>
          <w:szCs w:val="32"/>
          <w:lang w:val="en-US" w:eastAsia="zh-CN"/>
        </w:rPr>
        <w:t>截至2023年12月31日支付</w:t>
      </w:r>
      <w:r>
        <w:rPr>
          <w:rFonts w:hint="eastAsia" w:ascii="仿宋" w:hAnsi="仿宋" w:eastAsia="仿宋" w:cs="仿宋"/>
          <w:sz w:val="32"/>
          <w:szCs w:val="32"/>
          <w:lang w:val="zh-CN"/>
        </w:rPr>
        <w:t>渡河干流峨边彝族自治县2022年度河道采砂实施方案编制费</w:t>
      </w:r>
      <w:r>
        <w:rPr>
          <w:rFonts w:hint="eastAsia" w:ascii="仿宋" w:hAnsi="仿宋" w:eastAsia="仿宋" w:cs="仿宋"/>
          <w:color w:val="auto"/>
          <w:sz w:val="32"/>
          <w:szCs w:val="32"/>
          <w:lang w:val="en-US" w:eastAsia="zh-CN"/>
        </w:rPr>
        <w:t>40万元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资金支付100%</w:t>
      </w:r>
      <w:r>
        <w:rPr>
          <w:rFonts w:hint="eastAsia" w:ascii="仿宋" w:hAnsi="仿宋" w:eastAsia="仿宋" w:cs="仿宋"/>
          <w:color w:val="auto"/>
          <w:sz w:val="32"/>
          <w:szCs w:val="32"/>
          <w:lang w:val="zh-CN"/>
        </w:rPr>
        <w:t>。</w:t>
      </w:r>
    </w:p>
    <w:p w14:paraId="5B33099B">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（二）项目财务管理情况。</w:t>
      </w:r>
    </w:p>
    <w:p w14:paraId="1EE5B97F">
      <w:pPr>
        <w:adjustRightInd w:val="0"/>
        <w:snapToGrid w:val="0"/>
        <w:spacing w:line="600" w:lineRule="exact"/>
        <w:ind w:firstLine="720"/>
        <w:outlineLvl w:val="9"/>
        <w:rPr>
          <w:rFonts w:hint="eastAsia" w:ascii="仿宋" w:hAnsi="仿宋" w:eastAsia="仿宋" w:cs="仿宋"/>
          <w:color w:val="000000"/>
          <w:sz w:val="32"/>
          <w:szCs w:val="32"/>
          <w:lang w:val="zh-CN"/>
        </w:rPr>
      </w:pPr>
      <w:r>
        <w:rPr>
          <w:rFonts w:hint="eastAsia" w:ascii="仿宋" w:hAnsi="仿宋" w:eastAsia="仿宋" w:cs="仿宋"/>
          <w:color w:val="000000"/>
          <w:sz w:val="32"/>
          <w:szCs w:val="32"/>
          <w:lang w:val="zh-CN"/>
        </w:rPr>
        <w:t>该项目资金严格按照财经管理制度规定使用，财务处理及时、规范，资料齐全、归档及时，无</w:t>
      </w:r>
      <w:r>
        <w:rPr>
          <w:rFonts w:hint="eastAsia" w:ascii="仿宋" w:hAnsi="仿宋" w:eastAsia="仿宋" w:cs="仿宋"/>
          <w:color w:val="000000"/>
          <w:kern w:val="0"/>
          <w:sz w:val="32"/>
          <w:szCs w:val="32"/>
          <w:shd w:val="clear" w:color="auto" w:fill="FFFFFF"/>
          <w:lang w:val="zh-CN"/>
        </w:rPr>
        <w:t>截留、挤占、挪用、套取、转移和浪费的现象，无任何违规记录。</w:t>
      </w:r>
    </w:p>
    <w:p w14:paraId="4C754853">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（三）项目组织实施情况。</w:t>
      </w:r>
    </w:p>
    <w:p w14:paraId="4CAD33E4">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color w:val="000000"/>
          <w:sz w:val="32"/>
          <w:szCs w:val="32"/>
        </w:rPr>
        <w:t>项目</w:t>
      </w:r>
      <w:r>
        <w:rPr>
          <w:rFonts w:hint="eastAsia" w:ascii="仿宋" w:hAnsi="仿宋" w:eastAsia="仿宋" w:cs="仿宋"/>
          <w:color w:val="000000"/>
          <w:sz w:val="32"/>
          <w:szCs w:val="32"/>
          <w:lang w:val="en-US" w:eastAsia="zh-CN"/>
        </w:rPr>
        <w:t>通过水务局政府采购组织实施，通过编制大</w:t>
      </w:r>
      <w:r>
        <w:rPr>
          <w:rFonts w:hint="eastAsia" w:ascii="仿宋" w:hAnsi="仿宋" w:eastAsia="仿宋" w:cs="仿宋"/>
          <w:sz w:val="32"/>
          <w:szCs w:val="32"/>
          <w:lang w:val="zh-CN"/>
        </w:rPr>
        <w:t>渡河干流峨边彝族自治县2022年度河道采砂实施方案，</w:t>
      </w:r>
      <w:r>
        <w:rPr>
          <w:rFonts w:hint="eastAsia" w:ascii="仿宋" w:hAnsi="仿宋" w:eastAsia="仿宋" w:cs="仿宋"/>
          <w:sz w:val="32"/>
          <w:szCs w:val="32"/>
          <w:lang w:val="en-US" w:eastAsia="zh-CN"/>
        </w:rPr>
        <w:t>通过专家批复后支付编制费</w:t>
      </w:r>
      <w:r>
        <w:rPr>
          <w:rFonts w:hint="eastAsia" w:ascii="仿宋" w:hAnsi="仿宋" w:eastAsia="仿宋" w:cs="仿宋"/>
          <w:sz w:val="32"/>
          <w:szCs w:val="32"/>
          <w:lang w:val="zh-CN"/>
        </w:rPr>
        <w:t>。</w:t>
      </w:r>
    </w:p>
    <w:p w14:paraId="410DF8CE">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三、项目绩效情况</w:t>
      </w:r>
      <w:r>
        <w:rPr>
          <w:rFonts w:hint="eastAsia" w:ascii="仿宋" w:hAnsi="仿宋" w:eastAsia="仿宋" w:cs="仿宋"/>
          <w:sz w:val="32"/>
          <w:szCs w:val="32"/>
          <w:lang w:val="zh-CN"/>
        </w:rPr>
        <w:tab/>
      </w:r>
    </w:p>
    <w:p w14:paraId="4C56746D">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11EB8E6F">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该项目已完成2022年度河道采砂实施方案编制并通过专家评审</w:t>
      </w:r>
      <w:r>
        <w:rPr>
          <w:rFonts w:hint="eastAsia" w:ascii="仿宋" w:hAnsi="仿宋" w:eastAsia="仿宋" w:cs="仿宋"/>
          <w:sz w:val="32"/>
          <w:szCs w:val="32"/>
          <w:lang w:val="zh-CN"/>
        </w:rPr>
        <w:t>。</w:t>
      </w:r>
    </w:p>
    <w:p w14:paraId="2D8B4695">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72DC73D8">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sz w:val="32"/>
          <w:szCs w:val="32"/>
          <w:lang w:val="zh-CN"/>
        </w:rPr>
        <w:t>本项目实施后，可进一步</w:t>
      </w:r>
      <w:r>
        <w:rPr>
          <w:rFonts w:hint="eastAsia" w:ascii="仿宋" w:hAnsi="仿宋" w:eastAsia="仿宋" w:cs="仿宋"/>
          <w:sz w:val="32"/>
          <w:szCs w:val="32"/>
          <w:lang w:val="en-US" w:eastAsia="zh-CN"/>
        </w:rPr>
        <w:t>增加地方财政收入，提高河道下流群众生命财产安全保障，河道行洪能力有效提升，河湖四乱问题整治效果明显。</w:t>
      </w:r>
      <w:r>
        <w:rPr>
          <w:rFonts w:hint="eastAsia" w:ascii="仿宋" w:hAnsi="仿宋" w:eastAsia="仿宋" w:cs="仿宋"/>
          <w:color w:val="000000"/>
          <w:sz w:val="32"/>
          <w:szCs w:val="32"/>
          <w:lang w:val="en-US" w:eastAsia="zh-CN"/>
        </w:rPr>
        <w:t>服务对象</w:t>
      </w:r>
      <w:r>
        <w:rPr>
          <w:rFonts w:hint="eastAsia" w:ascii="仿宋" w:hAnsi="仿宋" w:eastAsia="仿宋" w:cs="仿宋"/>
          <w:color w:val="000000"/>
          <w:sz w:val="32"/>
          <w:szCs w:val="32"/>
        </w:rPr>
        <w:t>满意度</w:t>
      </w:r>
      <w:r>
        <w:rPr>
          <w:rFonts w:hint="eastAsia" w:ascii="仿宋" w:hAnsi="仿宋" w:eastAsia="仿宋" w:cs="仿宋"/>
          <w:color w:val="000000"/>
          <w:sz w:val="32"/>
          <w:szCs w:val="32"/>
          <w:lang w:val="en-US" w:eastAsia="zh-CN"/>
        </w:rPr>
        <w:t>100</w:t>
      </w:r>
      <w:r>
        <w:rPr>
          <w:rFonts w:hint="eastAsia" w:ascii="仿宋" w:hAnsi="仿宋" w:eastAsia="仿宋" w:cs="仿宋"/>
          <w:color w:val="000000"/>
          <w:sz w:val="32"/>
          <w:szCs w:val="32"/>
        </w:rPr>
        <w:t>%。</w:t>
      </w:r>
    </w:p>
    <w:p w14:paraId="52078748">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四、问题及建议</w:t>
      </w:r>
    </w:p>
    <w:p w14:paraId="12749C8E">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（一）存在的问题。</w:t>
      </w:r>
    </w:p>
    <w:p w14:paraId="2EDAAB4D">
      <w:pPr>
        <w:numPr>
          <w:ilvl w:val="0"/>
          <w:numId w:val="0"/>
        </w:numPr>
        <w:adjustRightInd w:val="0"/>
        <w:snapToGrid w:val="0"/>
        <w:spacing w:line="560" w:lineRule="exact"/>
        <w:ind w:firstLine="643" w:firstLineChars="20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w:t>
      </w:r>
      <w:r>
        <w:rPr>
          <w:rFonts w:hint="eastAsia" w:ascii="仿宋" w:hAnsi="仿宋" w:eastAsia="仿宋" w:cs="仿宋"/>
          <w:b/>
          <w:sz w:val="32"/>
          <w:szCs w:val="32"/>
          <w:lang w:val="en-US" w:eastAsia="zh-CN"/>
        </w:rPr>
        <w:t>二</w:t>
      </w:r>
      <w:r>
        <w:rPr>
          <w:rFonts w:hint="eastAsia" w:ascii="仿宋" w:hAnsi="仿宋" w:eastAsia="仿宋" w:cs="仿宋"/>
          <w:b/>
          <w:sz w:val="32"/>
          <w:szCs w:val="32"/>
          <w:lang w:val="zh-CN"/>
        </w:rPr>
        <w:t>）相关建议。</w:t>
      </w:r>
    </w:p>
    <w:p w14:paraId="7EF05BE4">
      <w:pPr>
        <w:pStyle w:val="5"/>
        <w:outlineLvl w:val="9"/>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4" o:spt="75" type="#_x0000_t75" style="height:662.8pt;width:415.05pt;" o:ole="t" filled="f" o:preferrelative="t" stroked="f" coordsize="21600,21600">
            <v:path/>
            <v:fill on="f" focussize="0,0"/>
            <v:stroke on="f"/>
            <v:imagedata r:id="rId33" o:title=""/>
            <o:lock v:ext="edit" aspectratio="f"/>
            <w10:wrap type="none"/>
            <w10:anchorlock/>
          </v:shape>
          <o:OLEObject Type="Embed" ProgID="Excel.Sheet.12" ShapeID="_x0000_i1034" DrawAspect="Content" ObjectID="_1468075734" r:id="rId32">
            <o:LockedField>false</o:LockedField>
          </o:OLEObject>
        </w:object>
      </w:r>
    </w:p>
    <w:p w14:paraId="5945756C">
      <w:pPr>
        <w:pStyle w:val="25"/>
        <w:spacing w:line="600" w:lineRule="exact"/>
        <w:jc w:val="center"/>
        <w:outlineLvl w:val="9"/>
        <w:rPr>
          <w:rFonts w:ascii="方正小标宋简体" w:hAnsi="宋体" w:eastAsia="方正小标宋简体"/>
          <w:sz w:val="44"/>
          <w:szCs w:val="44"/>
        </w:rPr>
      </w:pPr>
      <w:r>
        <w:rPr>
          <w:rFonts w:hint="eastAsia" w:ascii="方正小标宋简体" w:hAnsi="方正小标宋简体" w:eastAsia="方正小标宋简体" w:cs="方正小标宋简体"/>
          <w:sz w:val="44"/>
          <w:szCs w:val="44"/>
          <w:lang w:val="en-US" w:eastAsia="zh-CN"/>
        </w:rPr>
        <w:t>政府批示【2022】79-80号峨边彝族自治县河湖健康评价</w:t>
      </w:r>
      <w:r>
        <w:rPr>
          <w:rFonts w:hint="eastAsia" w:ascii="方正小标宋简体" w:hAnsi="宋体" w:eastAsia="方正小标宋简体"/>
          <w:sz w:val="44"/>
          <w:szCs w:val="44"/>
        </w:rPr>
        <w:t>项目支出绩效自评报告</w:t>
      </w:r>
    </w:p>
    <w:p w14:paraId="5A3650ED">
      <w:pPr>
        <w:pStyle w:val="25"/>
        <w:spacing w:line="560" w:lineRule="exact"/>
        <w:ind w:firstLine="640"/>
        <w:jc w:val="center"/>
        <w:outlineLvl w:val="9"/>
        <w:rPr>
          <w:rFonts w:ascii="宋体" w:hAnsi="宋体"/>
          <w:color w:val="auto"/>
          <w:kern w:val="2"/>
          <w:sz w:val="32"/>
          <w:szCs w:val="32"/>
        </w:rPr>
      </w:pPr>
    </w:p>
    <w:p w14:paraId="5EDBDD1E">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一、</w:t>
      </w:r>
      <w:r>
        <w:rPr>
          <w:rFonts w:hint="eastAsia" w:ascii="仿宋" w:hAnsi="仿宋" w:eastAsia="仿宋" w:cs="仿宋"/>
          <w:sz w:val="32"/>
          <w:szCs w:val="32"/>
          <w:lang w:val="zh-CN"/>
        </w:rPr>
        <w:t>项目概况</w:t>
      </w:r>
    </w:p>
    <w:p w14:paraId="22EF5F14">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02948B0E">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2022年峨边彝族自治县人民政府批复政府批示【2022】79-80号峨边彝族自治县河湖健康评价，下达资金41万元</w:t>
      </w:r>
      <w:r>
        <w:rPr>
          <w:rFonts w:hint="eastAsia" w:ascii="仿宋" w:hAnsi="仿宋" w:eastAsia="仿宋" w:cs="仿宋"/>
          <w:sz w:val="32"/>
          <w:szCs w:val="32"/>
          <w:lang w:val="zh-CN"/>
        </w:rPr>
        <w:t>。</w:t>
      </w:r>
    </w:p>
    <w:p w14:paraId="263D9B0A">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7050FF43">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zh-CN"/>
        </w:rPr>
        <w:t>完成</w:t>
      </w:r>
      <w:r>
        <w:rPr>
          <w:rFonts w:hint="eastAsia" w:ascii="仿宋" w:hAnsi="仿宋" w:eastAsia="仿宋" w:cs="仿宋"/>
          <w:sz w:val="32"/>
          <w:szCs w:val="32"/>
          <w:lang w:val="en-US" w:eastAsia="zh-CN"/>
        </w:rPr>
        <w:t>白沙河、白杨河河湖健康评价编制</w:t>
      </w:r>
      <w:r>
        <w:rPr>
          <w:rFonts w:hint="eastAsia" w:ascii="仿宋" w:hAnsi="仿宋" w:eastAsia="仿宋" w:cs="仿宋"/>
          <w:sz w:val="32"/>
          <w:szCs w:val="32"/>
          <w:lang w:val="zh-CN"/>
        </w:rPr>
        <w:t>。</w:t>
      </w:r>
    </w:p>
    <w:p w14:paraId="2E56E14D">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（三）项目资金申报相符性。</w:t>
      </w:r>
    </w:p>
    <w:p w14:paraId="52691A06">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2022年峨边彝族自治县人民政府批复政府批示【2022】79-80号峨边彝族自治县河湖健康评价，下达资金41万元</w:t>
      </w:r>
      <w:r>
        <w:rPr>
          <w:rFonts w:hint="eastAsia" w:ascii="仿宋" w:hAnsi="仿宋" w:eastAsia="仿宋" w:cs="仿宋"/>
          <w:sz w:val="32"/>
          <w:szCs w:val="32"/>
          <w:lang w:val="zh-CN"/>
        </w:rPr>
        <w:t>。项目申报内容与具体实施内容相符。</w:t>
      </w:r>
    </w:p>
    <w:p w14:paraId="247DCA68">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二、项目实施及管理情况</w:t>
      </w:r>
    </w:p>
    <w:p w14:paraId="6CCCAC73">
      <w:pPr>
        <w:adjustRightInd w:val="0"/>
        <w:snapToGrid w:val="0"/>
        <w:spacing w:line="560" w:lineRule="exact"/>
        <w:ind w:firstLine="720"/>
        <w:outlineLvl w:val="9"/>
        <w:rPr>
          <w:rFonts w:hint="eastAsia" w:ascii="仿宋" w:hAnsi="仿宋" w:eastAsia="仿宋" w:cs="仿宋"/>
          <w:b/>
          <w:color w:val="auto"/>
          <w:sz w:val="32"/>
          <w:szCs w:val="32"/>
          <w:lang w:val="zh-CN"/>
        </w:rPr>
      </w:pPr>
      <w:r>
        <w:rPr>
          <w:rFonts w:hint="eastAsia" w:ascii="仿宋" w:hAnsi="仿宋" w:eastAsia="仿宋" w:cs="仿宋"/>
          <w:color w:val="auto"/>
          <w:sz w:val="32"/>
          <w:szCs w:val="32"/>
          <w:lang w:val="zh-CN"/>
        </w:rPr>
        <w:tab/>
      </w:r>
      <w:r>
        <w:rPr>
          <w:rFonts w:hint="eastAsia" w:ascii="仿宋" w:hAnsi="仿宋" w:eastAsia="仿宋" w:cs="仿宋"/>
          <w:b/>
          <w:color w:val="auto"/>
          <w:sz w:val="32"/>
          <w:szCs w:val="32"/>
          <w:lang w:val="zh-CN"/>
        </w:rPr>
        <w:t>（一）资金计划、到位及使用情况。</w:t>
      </w:r>
    </w:p>
    <w:p w14:paraId="1262C430">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1．资金计划及时到位。截至2023年</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lang w:val="en-US" w:eastAsia="zh-CN"/>
        </w:rPr>
        <w:t>31</w:t>
      </w:r>
      <w:r>
        <w:rPr>
          <w:rFonts w:hint="eastAsia" w:ascii="仿宋" w:hAnsi="仿宋" w:eastAsia="仿宋" w:cs="仿宋"/>
          <w:color w:val="auto"/>
          <w:sz w:val="32"/>
          <w:szCs w:val="32"/>
          <w:lang w:val="zh-CN"/>
        </w:rPr>
        <w:t>日，该项目资金到位</w:t>
      </w:r>
      <w:r>
        <w:rPr>
          <w:rFonts w:hint="eastAsia" w:ascii="仿宋" w:hAnsi="仿宋" w:eastAsia="仿宋" w:cs="仿宋"/>
          <w:color w:val="auto"/>
          <w:sz w:val="32"/>
          <w:szCs w:val="32"/>
          <w:lang w:val="en-US" w:eastAsia="zh-CN"/>
        </w:rPr>
        <w:t>37.9</w:t>
      </w:r>
      <w:r>
        <w:rPr>
          <w:rFonts w:hint="eastAsia" w:ascii="仿宋" w:hAnsi="仿宋" w:eastAsia="仿宋" w:cs="仿宋"/>
          <w:color w:val="auto"/>
          <w:sz w:val="32"/>
          <w:szCs w:val="32"/>
          <w:lang w:val="zh-CN"/>
        </w:rPr>
        <w:t>万元，资金到位情况与资金计划进行比对，资金到位率100%、到位及时。</w:t>
      </w:r>
    </w:p>
    <w:p w14:paraId="541AE53D">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2．资金使用。</w:t>
      </w:r>
    </w:p>
    <w:p w14:paraId="218B94F3">
      <w:pPr>
        <w:adjustRightInd w:val="0"/>
        <w:snapToGrid w:val="0"/>
        <w:spacing w:line="560" w:lineRule="exact"/>
        <w:ind w:firstLine="720"/>
        <w:outlineLvl w:val="9"/>
        <w:rPr>
          <w:rFonts w:hint="eastAsia" w:ascii="仿宋" w:hAnsi="仿宋" w:eastAsia="仿宋" w:cs="仿宋"/>
          <w:color w:val="FF0000"/>
          <w:sz w:val="32"/>
          <w:szCs w:val="32"/>
          <w:lang w:val="zh-CN"/>
        </w:rPr>
      </w:pPr>
      <w:r>
        <w:rPr>
          <w:rFonts w:hint="eastAsia" w:ascii="仿宋" w:hAnsi="仿宋" w:eastAsia="仿宋" w:cs="仿宋"/>
          <w:color w:val="auto"/>
          <w:sz w:val="32"/>
          <w:szCs w:val="32"/>
          <w:lang w:val="en-US" w:eastAsia="zh-CN"/>
        </w:rPr>
        <w:t>截至2023年12月31日支付</w:t>
      </w:r>
      <w:r>
        <w:rPr>
          <w:rFonts w:hint="eastAsia" w:ascii="仿宋" w:hAnsi="仿宋" w:eastAsia="仿宋" w:cs="仿宋"/>
          <w:sz w:val="32"/>
          <w:szCs w:val="32"/>
          <w:lang w:val="en-US" w:eastAsia="zh-CN"/>
        </w:rPr>
        <w:t>山洪灾害预警、水库安全管理37.9</w:t>
      </w:r>
      <w:r>
        <w:rPr>
          <w:rFonts w:hint="eastAsia" w:ascii="仿宋" w:hAnsi="仿宋" w:eastAsia="仿宋" w:cs="仿宋"/>
          <w:color w:val="auto"/>
          <w:sz w:val="32"/>
          <w:szCs w:val="32"/>
          <w:lang w:val="en-US" w:eastAsia="zh-CN"/>
        </w:rPr>
        <w:t>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资金支付100%</w:t>
      </w:r>
      <w:r>
        <w:rPr>
          <w:rFonts w:hint="eastAsia" w:ascii="仿宋" w:hAnsi="仿宋" w:eastAsia="仿宋" w:cs="仿宋"/>
          <w:color w:val="auto"/>
          <w:sz w:val="32"/>
          <w:szCs w:val="32"/>
          <w:lang w:val="zh-CN"/>
        </w:rPr>
        <w:t>。</w:t>
      </w:r>
    </w:p>
    <w:p w14:paraId="7AAD7BE7">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（二）项目财务管理情况。</w:t>
      </w:r>
    </w:p>
    <w:p w14:paraId="3158602D">
      <w:pPr>
        <w:adjustRightInd w:val="0"/>
        <w:snapToGrid w:val="0"/>
        <w:spacing w:line="600" w:lineRule="exact"/>
        <w:ind w:firstLine="720"/>
        <w:outlineLvl w:val="9"/>
        <w:rPr>
          <w:rFonts w:hint="eastAsia" w:ascii="仿宋" w:hAnsi="仿宋" w:eastAsia="仿宋" w:cs="仿宋"/>
          <w:color w:val="000000"/>
          <w:sz w:val="32"/>
          <w:szCs w:val="32"/>
          <w:lang w:val="zh-CN"/>
        </w:rPr>
      </w:pPr>
      <w:r>
        <w:rPr>
          <w:rFonts w:hint="eastAsia" w:ascii="仿宋" w:hAnsi="仿宋" w:eastAsia="仿宋" w:cs="仿宋"/>
          <w:color w:val="000000"/>
          <w:sz w:val="32"/>
          <w:szCs w:val="32"/>
          <w:lang w:val="zh-CN"/>
        </w:rPr>
        <w:t>该项目资金严格按照财经管理制度规定使用，财务处理及时、规范，资料齐全、归档及时，无</w:t>
      </w:r>
      <w:r>
        <w:rPr>
          <w:rFonts w:hint="eastAsia" w:ascii="仿宋" w:hAnsi="仿宋" w:eastAsia="仿宋" w:cs="仿宋"/>
          <w:color w:val="000000"/>
          <w:kern w:val="0"/>
          <w:sz w:val="32"/>
          <w:szCs w:val="32"/>
          <w:shd w:val="clear" w:color="auto" w:fill="FFFFFF"/>
          <w:lang w:val="zh-CN"/>
        </w:rPr>
        <w:t>截留、挤占、挪用、套取、转移和浪费的现象，无任何违规记录。</w:t>
      </w:r>
    </w:p>
    <w:p w14:paraId="5C67AFC9">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（三）项目组织实施情况。</w:t>
      </w:r>
    </w:p>
    <w:p w14:paraId="138E2DAD">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color w:val="000000"/>
          <w:sz w:val="32"/>
          <w:szCs w:val="32"/>
        </w:rPr>
        <w:t>项目</w:t>
      </w:r>
      <w:r>
        <w:rPr>
          <w:rFonts w:hint="eastAsia" w:ascii="仿宋" w:hAnsi="仿宋" w:eastAsia="仿宋" w:cs="仿宋"/>
          <w:color w:val="000000"/>
          <w:sz w:val="32"/>
          <w:szCs w:val="32"/>
          <w:lang w:val="en-US" w:eastAsia="zh-CN"/>
        </w:rPr>
        <w:t>通过政府采购确定编制单位组织实施</w:t>
      </w:r>
      <w:r>
        <w:rPr>
          <w:rFonts w:hint="eastAsia" w:ascii="仿宋" w:hAnsi="仿宋" w:eastAsia="仿宋" w:cs="仿宋"/>
          <w:sz w:val="32"/>
          <w:szCs w:val="32"/>
          <w:lang w:val="zh-CN"/>
        </w:rPr>
        <w:t>，</w:t>
      </w:r>
      <w:r>
        <w:rPr>
          <w:rFonts w:hint="eastAsia" w:ascii="仿宋" w:hAnsi="仿宋" w:eastAsia="仿宋" w:cs="仿宋"/>
          <w:sz w:val="32"/>
          <w:szCs w:val="32"/>
          <w:lang w:val="en-US" w:eastAsia="zh-CN"/>
        </w:rPr>
        <w:t>完成后提供真实报账资料报账</w:t>
      </w:r>
      <w:r>
        <w:rPr>
          <w:rFonts w:hint="eastAsia" w:ascii="仿宋" w:hAnsi="仿宋" w:eastAsia="仿宋" w:cs="仿宋"/>
          <w:sz w:val="32"/>
          <w:szCs w:val="32"/>
          <w:lang w:val="zh-CN"/>
        </w:rPr>
        <w:t>。</w:t>
      </w:r>
    </w:p>
    <w:p w14:paraId="2F03BA80">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三、项目绩效情况</w:t>
      </w:r>
      <w:r>
        <w:rPr>
          <w:rFonts w:hint="eastAsia" w:ascii="仿宋" w:hAnsi="仿宋" w:eastAsia="仿宋" w:cs="仿宋"/>
          <w:sz w:val="32"/>
          <w:szCs w:val="32"/>
          <w:lang w:val="zh-CN"/>
        </w:rPr>
        <w:tab/>
      </w:r>
    </w:p>
    <w:p w14:paraId="2C3753E9">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08342A3F">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该项目完成有效提升河湖管理水平、水土流失治理提高、提升水环境和水资源有效利用</w:t>
      </w:r>
      <w:r>
        <w:rPr>
          <w:rFonts w:hint="eastAsia" w:ascii="仿宋" w:hAnsi="仿宋" w:eastAsia="仿宋" w:cs="仿宋"/>
          <w:sz w:val="32"/>
          <w:szCs w:val="32"/>
          <w:lang w:val="zh-CN"/>
        </w:rPr>
        <w:t>。</w:t>
      </w:r>
    </w:p>
    <w:p w14:paraId="1666442E">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0B585E6A">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sz w:val="32"/>
          <w:szCs w:val="32"/>
          <w:lang w:val="zh-CN"/>
        </w:rPr>
        <w:t>本项目实施后，可进一步</w:t>
      </w:r>
      <w:r>
        <w:rPr>
          <w:rFonts w:hint="eastAsia" w:ascii="仿宋" w:hAnsi="仿宋" w:eastAsia="仿宋" w:cs="仿宋"/>
          <w:sz w:val="32"/>
          <w:szCs w:val="32"/>
          <w:lang w:val="en-US" w:eastAsia="zh-CN"/>
        </w:rPr>
        <w:t>提高河道下流群众生命财产安全保障，河道行洪能力有效提升，提升河湖管理水平、水土流失治理提高，水库安全运行。</w:t>
      </w:r>
      <w:r>
        <w:rPr>
          <w:rFonts w:hint="eastAsia" w:ascii="仿宋" w:hAnsi="仿宋" w:eastAsia="仿宋" w:cs="仿宋"/>
          <w:color w:val="000000"/>
          <w:sz w:val="32"/>
          <w:szCs w:val="32"/>
          <w:lang w:val="en-US" w:eastAsia="zh-CN"/>
        </w:rPr>
        <w:t>服务对象</w:t>
      </w:r>
      <w:r>
        <w:rPr>
          <w:rFonts w:hint="eastAsia" w:ascii="仿宋" w:hAnsi="仿宋" w:eastAsia="仿宋" w:cs="仿宋"/>
          <w:color w:val="000000"/>
          <w:sz w:val="32"/>
          <w:szCs w:val="32"/>
        </w:rPr>
        <w:t>满意度</w:t>
      </w:r>
      <w:r>
        <w:rPr>
          <w:rFonts w:hint="eastAsia" w:ascii="仿宋" w:hAnsi="仿宋" w:eastAsia="仿宋" w:cs="仿宋"/>
          <w:color w:val="000000"/>
          <w:sz w:val="32"/>
          <w:szCs w:val="32"/>
          <w:lang w:val="en-US" w:eastAsia="zh-CN"/>
        </w:rPr>
        <w:t>100</w:t>
      </w:r>
      <w:r>
        <w:rPr>
          <w:rFonts w:hint="eastAsia" w:ascii="仿宋" w:hAnsi="仿宋" w:eastAsia="仿宋" w:cs="仿宋"/>
          <w:color w:val="000000"/>
          <w:sz w:val="32"/>
          <w:szCs w:val="32"/>
        </w:rPr>
        <w:t>%。</w:t>
      </w:r>
    </w:p>
    <w:p w14:paraId="4B63352A">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四、问题及建议</w:t>
      </w:r>
    </w:p>
    <w:p w14:paraId="355ADEE8">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（一）存在的问题。</w:t>
      </w:r>
    </w:p>
    <w:p w14:paraId="2216E71E">
      <w:pPr>
        <w:numPr>
          <w:ilvl w:val="0"/>
          <w:numId w:val="0"/>
        </w:numPr>
        <w:adjustRightInd w:val="0"/>
        <w:snapToGrid w:val="0"/>
        <w:spacing w:line="560" w:lineRule="exact"/>
        <w:ind w:firstLine="643" w:firstLineChars="20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w:t>
      </w:r>
      <w:r>
        <w:rPr>
          <w:rFonts w:hint="eastAsia" w:ascii="仿宋" w:hAnsi="仿宋" w:eastAsia="仿宋" w:cs="仿宋"/>
          <w:b/>
          <w:sz w:val="32"/>
          <w:szCs w:val="32"/>
          <w:lang w:val="en-US" w:eastAsia="zh-CN"/>
        </w:rPr>
        <w:t>二</w:t>
      </w:r>
      <w:r>
        <w:rPr>
          <w:rFonts w:hint="eastAsia" w:ascii="仿宋" w:hAnsi="仿宋" w:eastAsia="仿宋" w:cs="仿宋"/>
          <w:b/>
          <w:sz w:val="32"/>
          <w:szCs w:val="32"/>
          <w:lang w:val="zh-CN"/>
        </w:rPr>
        <w:t>）相关建议。</w:t>
      </w:r>
    </w:p>
    <w:p w14:paraId="1C3A5707">
      <w:pPr>
        <w:pStyle w:val="5"/>
        <w:outlineLvl w:val="9"/>
        <w:rPr>
          <w:rFonts w:hint="eastAsia" w:ascii="仿宋" w:hAnsi="仿宋" w:eastAsia="仿宋" w:cs="仿宋"/>
          <w:color w:val="auto"/>
          <w:kern w:val="0"/>
          <w:sz w:val="32"/>
          <w:szCs w:val="32"/>
          <w:highlight w:val="none"/>
          <w:shd w:val="clear" w:color="auto" w:fill="FFFFFF"/>
          <w:lang w:val="zh-CN"/>
        </w:rPr>
      </w:pPr>
      <w:r>
        <w:rPr>
          <w:rFonts w:hint="eastAsia" w:ascii="仿宋" w:hAnsi="仿宋" w:eastAsia="仿宋" w:cs="仿宋"/>
          <w:color w:val="auto"/>
          <w:kern w:val="0"/>
          <w:sz w:val="32"/>
          <w:szCs w:val="32"/>
          <w:highlight w:val="none"/>
          <w:shd w:val="clear" w:color="auto" w:fill="FFFFFF"/>
          <w:lang w:val="zh-CN"/>
        </w:rPr>
        <w:object>
          <v:shape id="_x0000_i1035" o:spt="75" type="#_x0000_t75" style="height:645.5pt;width:415.05pt;" o:ole="t" filled="f" o:preferrelative="t" stroked="f" coordsize="21600,21600">
            <v:path/>
            <v:fill on="f" focussize="0,0"/>
            <v:stroke on="f"/>
            <v:imagedata r:id="rId35" o:title=""/>
            <o:lock v:ext="edit" aspectratio="f"/>
            <w10:wrap type="none"/>
            <w10:anchorlock/>
          </v:shape>
          <o:OLEObject Type="Embed" ProgID="Excel.Sheet.12" ShapeID="_x0000_i1035" DrawAspect="Content" ObjectID="_1468075735" r:id="rId34">
            <o:LockedField>false</o:LockedField>
          </o:OLEObject>
        </w:object>
      </w:r>
    </w:p>
    <w:p w14:paraId="73A00326">
      <w:pPr>
        <w:pStyle w:val="5"/>
        <w:outlineLvl w:val="9"/>
        <w:rPr>
          <w:rFonts w:hint="eastAsia" w:hAnsi="宋体" w:cs="宋体"/>
          <w:color w:val="auto"/>
          <w:kern w:val="0"/>
          <w:sz w:val="32"/>
          <w:szCs w:val="32"/>
          <w:highlight w:val="none"/>
          <w:shd w:val="clear" w:color="auto" w:fill="FFFFFF"/>
          <w:lang w:val="zh-CN"/>
        </w:rPr>
      </w:pPr>
    </w:p>
    <w:p w14:paraId="657390E5">
      <w:pPr>
        <w:pStyle w:val="25"/>
        <w:spacing w:line="600" w:lineRule="exact"/>
        <w:jc w:val="center"/>
        <w:outlineLvl w:val="9"/>
        <w:rPr>
          <w:rFonts w:ascii="方正小标宋简体" w:hAnsi="宋体" w:eastAsia="方正小标宋简体"/>
          <w:sz w:val="44"/>
          <w:szCs w:val="44"/>
        </w:rPr>
      </w:pPr>
      <w:r>
        <w:rPr>
          <w:rFonts w:hint="eastAsia" w:ascii="方正小标宋简体" w:hAnsi="方正小标宋简体" w:eastAsia="方正小标宋简体" w:cs="方正小标宋简体"/>
          <w:sz w:val="44"/>
          <w:szCs w:val="44"/>
          <w:lang w:val="en-US" w:eastAsia="zh-CN"/>
        </w:rPr>
        <w:t>政府批示〔2023〕42号关于解决峨边彝族自治县2017年山洪灾害防治非工程措施项目资金的请示</w:t>
      </w:r>
      <w:r>
        <w:rPr>
          <w:rFonts w:hint="eastAsia" w:ascii="方正小标宋简体" w:hAnsi="宋体" w:eastAsia="方正小标宋简体"/>
          <w:sz w:val="44"/>
          <w:szCs w:val="44"/>
        </w:rPr>
        <w:t>项目支出绩效自评报告</w:t>
      </w:r>
    </w:p>
    <w:p w14:paraId="0D80FE20">
      <w:pPr>
        <w:pStyle w:val="25"/>
        <w:spacing w:line="560" w:lineRule="exact"/>
        <w:ind w:firstLine="640"/>
        <w:jc w:val="center"/>
        <w:outlineLvl w:val="9"/>
        <w:rPr>
          <w:rFonts w:ascii="宋体" w:hAnsi="宋体"/>
          <w:color w:val="auto"/>
          <w:kern w:val="2"/>
          <w:sz w:val="32"/>
          <w:szCs w:val="32"/>
        </w:rPr>
      </w:pPr>
    </w:p>
    <w:p w14:paraId="5BDB6FBC">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一、</w:t>
      </w:r>
      <w:r>
        <w:rPr>
          <w:rFonts w:hint="eastAsia" w:ascii="仿宋" w:hAnsi="仿宋" w:eastAsia="仿宋" w:cs="仿宋"/>
          <w:sz w:val="32"/>
          <w:szCs w:val="32"/>
          <w:lang w:val="zh-CN"/>
        </w:rPr>
        <w:t>项目概况</w:t>
      </w:r>
    </w:p>
    <w:p w14:paraId="2FF53A1E">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（一）项目资金申报及批复情况。</w:t>
      </w:r>
    </w:p>
    <w:p w14:paraId="7AB7E5CE">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政府批示〔2023〕42号关于解决峨边彝族自治县2017年山洪灾害防治非工程措施项目资金的请示，下达资金59.1780万元</w:t>
      </w:r>
      <w:r>
        <w:rPr>
          <w:rFonts w:hint="eastAsia" w:ascii="仿宋" w:hAnsi="仿宋" w:eastAsia="仿宋" w:cs="仿宋"/>
          <w:sz w:val="32"/>
          <w:szCs w:val="32"/>
          <w:lang w:val="zh-CN"/>
        </w:rPr>
        <w:t>。</w:t>
      </w:r>
    </w:p>
    <w:p w14:paraId="6BB07289">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（二）项目绩效目标。</w:t>
      </w:r>
    </w:p>
    <w:p w14:paraId="63C18500">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zh-CN"/>
        </w:rPr>
        <w:t>完成</w:t>
      </w:r>
      <w:r>
        <w:rPr>
          <w:rFonts w:hint="eastAsia" w:ascii="仿宋" w:hAnsi="仿宋" w:eastAsia="仿宋" w:cs="仿宋"/>
          <w:sz w:val="32"/>
          <w:szCs w:val="32"/>
          <w:lang w:val="zh-CN" w:eastAsia="zh-CN"/>
        </w:rPr>
        <w:t>2017年山洪灾害防治非工程措施项目资金</w:t>
      </w:r>
      <w:r>
        <w:rPr>
          <w:rFonts w:hint="eastAsia" w:ascii="仿宋" w:hAnsi="仿宋" w:eastAsia="仿宋" w:cs="仿宋"/>
          <w:sz w:val="32"/>
          <w:szCs w:val="32"/>
          <w:lang w:val="en-US" w:eastAsia="zh-CN"/>
        </w:rPr>
        <w:t>尾款支付</w:t>
      </w:r>
      <w:r>
        <w:rPr>
          <w:rFonts w:hint="eastAsia" w:ascii="仿宋" w:hAnsi="仿宋" w:eastAsia="仿宋" w:cs="仿宋"/>
          <w:sz w:val="32"/>
          <w:szCs w:val="32"/>
          <w:lang w:val="zh-CN"/>
        </w:rPr>
        <w:t>。</w:t>
      </w:r>
    </w:p>
    <w:p w14:paraId="7282833C">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（三）项目资金申报相符性。</w:t>
      </w:r>
    </w:p>
    <w:p w14:paraId="00E0F0E2">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政府批示〔2023〕42号关于解决峨边彝族自治县2017年山洪灾害防治非工程措施项目资金的请示，下达资金59.1780万元</w:t>
      </w:r>
      <w:r>
        <w:rPr>
          <w:rFonts w:hint="eastAsia" w:ascii="仿宋" w:hAnsi="仿宋" w:eastAsia="仿宋" w:cs="仿宋"/>
          <w:sz w:val="32"/>
          <w:szCs w:val="32"/>
          <w:lang w:val="zh-CN"/>
        </w:rPr>
        <w:t>。项目申报内容与具体实施内容相符。</w:t>
      </w:r>
    </w:p>
    <w:p w14:paraId="192325D6">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二、项目实施及管理情况</w:t>
      </w:r>
    </w:p>
    <w:p w14:paraId="2528058F">
      <w:pPr>
        <w:adjustRightInd w:val="0"/>
        <w:snapToGrid w:val="0"/>
        <w:spacing w:line="560" w:lineRule="exact"/>
        <w:ind w:firstLine="720"/>
        <w:outlineLvl w:val="9"/>
        <w:rPr>
          <w:rFonts w:hint="eastAsia" w:ascii="仿宋" w:hAnsi="仿宋" w:eastAsia="仿宋" w:cs="仿宋"/>
          <w:b/>
          <w:color w:val="auto"/>
          <w:sz w:val="32"/>
          <w:szCs w:val="32"/>
          <w:lang w:val="zh-CN"/>
        </w:rPr>
      </w:pPr>
      <w:r>
        <w:rPr>
          <w:rFonts w:hint="eastAsia" w:ascii="仿宋" w:hAnsi="仿宋" w:eastAsia="仿宋" w:cs="仿宋"/>
          <w:color w:val="auto"/>
          <w:sz w:val="32"/>
          <w:szCs w:val="32"/>
          <w:lang w:val="zh-CN"/>
        </w:rPr>
        <w:tab/>
      </w:r>
      <w:r>
        <w:rPr>
          <w:rFonts w:hint="eastAsia" w:ascii="仿宋" w:hAnsi="仿宋" w:eastAsia="仿宋" w:cs="仿宋"/>
          <w:b/>
          <w:color w:val="auto"/>
          <w:sz w:val="32"/>
          <w:szCs w:val="32"/>
          <w:lang w:val="zh-CN"/>
        </w:rPr>
        <w:t>（一）资金计划、到位及使用情况。</w:t>
      </w:r>
    </w:p>
    <w:p w14:paraId="621725B8">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1．资金计划及时到位。截至2023年</w:t>
      </w: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lang w:val="en-US" w:eastAsia="zh-CN"/>
        </w:rPr>
        <w:t>31</w:t>
      </w:r>
      <w:r>
        <w:rPr>
          <w:rFonts w:hint="eastAsia" w:ascii="仿宋" w:hAnsi="仿宋" w:eastAsia="仿宋" w:cs="仿宋"/>
          <w:color w:val="auto"/>
          <w:sz w:val="32"/>
          <w:szCs w:val="32"/>
          <w:lang w:val="zh-CN"/>
        </w:rPr>
        <w:t>日，该项目资金到位</w:t>
      </w:r>
      <w:r>
        <w:rPr>
          <w:rFonts w:hint="eastAsia" w:ascii="仿宋" w:hAnsi="仿宋" w:eastAsia="仿宋" w:cs="仿宋"/>
          <w:color w:val="auto"/>
          <w:sz w:val="32"/>
          <w:szCs w:val="32"/>
          <w:lang w:val="en-US" w:eastAsia="zh-CN"/>
        </w:rPr>
        <w:t>59.1780</w:t>
      </w:r>
      <w:r>
        <w:rPr>
          <w:rFonts w:hint="eastAsia" w:ascii="仿宋" w:hAnsi="仿宋" w:eastAsia="仿宋" w:cs="仿宋"/>
          <w:color w:val="auto"/>
          <w:sz w:val="32"/>
          <w:szCs w:val="32"/>
          <w:lang w:val="zh-CN"/>
        </w:rPr>
        <w:t>万元，资金到位情况与资金计划进行比对，资金到位率100%、到位及时。</w:t>
      </w:r>
    </w:p>
    <w:p w14:paraId="0D32174C">
      <w:pPr>
        <w:adjustRightInd w:val="0"/>
        <w:snapToGrid w:val="0"/>
        <w:spacing w:line="560" w:lineRule="exact"/>
        <w:ind w:firstLine="720"/>
        <w:outlineLvl w:val="9"/>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2．资金使用。</w:t>
      </w:r>
    </w:p>
    <w:p w14:paraId="69FE4575">
      <w:pPr>
        <w:adjustRightInd w:val="0"/>
        <w:snapToGrid w:val="0"/>
        <w:spacing w:line="560" w:lineRule="exact"/>
        <w:ind w:firstLine="720"/>
        <w:outlineLvl w:val="9"/>
        <w:rPr>
          <w:rFonts w:hint="eastAsia" w:ascii="仿宋" w:hAnsi="仿宋" w:eastAsia="仿宋" w:cs="仿宋"/>
          <w:color w:val="FF0000"/>
          <w:sz w:val="32"/>
          <w:szCs w:val="32"/>
          <w:lang w:val="zh-CN"/>
        </w:rPr>
      </w:pPr>
      <w:r>
        <w:rPr>
          <w:rFonts w:hint="eastAsia" w:ascii="仿宋" w:hAnsi="仿宋" w:eastAsia="仿宋" w:cs="仿宋"/>
          <w:color w:val="auto"/>
          <w:sz w:val="32"/>
          <w:szCs w:val="32"/>
          <w:lang w:val="en-US" w:eastAsia="zh-CN"/>
        </w:rPr>
        <w:t>截至2023年12月31日支付</w:t>
      </w:r>
      <w:r>
        <w:rPr>
          <w:rFonts w:hint="eastAsia" w:ascii="仿宋" w:hAnsi="仿宋" w:eastAsia="仿宋" w:cs="仿宋"/>
          <w:sz w:val="32"/>
          <w:szCs w:val="32"/>
          <w:lang w:val="en-US" w:eastAsia="zh-CN"/>
        </w:rPr>
        <w:t>2017年山洪灾害防治非工程措施项目资金59.1780万元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资金支付100%</w:t>
      </w:r>
      <w:r>
        <w:rPr>
          <w:rFonts w:hint="eastAsia" w:ascii="仿宋" w:hAnsi="仿宋" w:eastAsia="仿宋" w:cs="仿宋"/>
          <w:color w:val="auto"/>
          <w:sz w:val="32"/>
          <w:szCs w:val="32"/>
          <w:lang w:val="zh-CN"/>
        </w:rPr>
        <w:t>。</w:t>
      </w:r>
    </w:p>
    <w:p w14:paraId="556D980F">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（二）项目财务管理情况。</w:t>
      </w:r>
    </w:p>
    <w:p w14:paraId="5B5C4CD9">
      <w:pPr>
        <w:adjustRightInd w:val="0"/>
        <w:snapToGrid w:val="0"/>
        <w:spacing w:line="600" w:lineRule="exact"/>
        <w:ind w:firstLine="720"/>
        <w:outlineLvl w:val="9"/>
        <w:rPr>
          <w:rFonts w:hint="eastAsia" w:ascii="仿宋" w:hAnsi="仿宋" w:eastAsia="仿宋" w:cs="仿宋"/>
          <w:color w:val="000000"/>
          <w:sz w:val="32"/>
          <w:szCs w:val="32"/>
          <w:lang w:val="zh-CN"/>
        </w:rPr>
      </w:pPr>
      <w:r>
        <w:rPr>
          <w:rFonts w:hint="eastAsia" w:ascii="仿宋" w:hAnsi="仿宋" w:eastAsia="仿宋" w:cs="仿宋"/>
          <w:color w:val="000000"/>
          <w:sz w:val="32"/>
          <w:szCs w:val="32"/>
          <w:lang w:val="zh-CN"/>
        </w:rPr>
        <w:t>该项目资金严格按照财经管理制度规定使用，财务处理及时、规范，资料齐全、归档及时，无</w:t>
      </w:r>
      <w:r>
        <w:rPr>
          <w:rFonts w:hint="eastAsia" w:ascii="仿宋" w:hAnsi="仿宋" w:eastAsia="仿宋" w:cs="仿宋"/>
          <w:color w:val="000000"/>
          <w:kern w:val="0"/>
          <w:sz w:val="32"/>
          <w:szCs w:val="32"/>
          <w:shd w:val="clear" w:color="auto" w:fill="FFFFFF"/>
          <w:lang w:val="zh-CN"/>
        </w:rPr>
        <w:t>截留、挤占、挪用、套取、转移和浪费的现象，无任何违规记录。</w:t>
      </w:r>
    </w:p>
    <w:p w14:paraId="3033C1CC">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（三）项目组织实施情况。</w:t>
      </w:r>
    </w:p>
    <w:p w14:paraId="529B679E">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color w:val="000000"/>
          <w:sz w:val="32"/>
          <w:szCs w:val="32"/>
        </w:rPr>
        <w:t>项目</w:t>
      </w:r>
      <w:r>
        <w:rPr>
          <w:rFonts w:hint="eastAsia" w:ascii="仿宋" w:hAnsi="仿宋" w:eastAsia="仿宋" w:cs="仿宋"/>
          <w:color w:val="000000"/>
          <w:sz w:val="32"/>
          <w:szCs w:val="32"/>
          <w:lang w:val="en-US" w:eastAsia="zh-CN"/>
        </w:rPr>
        <w:t>通过政府采购确定编制单位组织实施</w:t>
      </w:r>
      <w:r>
        <w:rPr>
          <w:rFonts w:hint="eastAsia" w:ascii="仿宋" w:hAnsi="仿宋" w:eastAsia="仿宋" w:cs="仿宋"/>
          <w:sz w:val="32"/>
          <w:szCs w:val="32"/>
          <w:lang w:val="zh-CN"/>
        </w:rPr>
        <w:t>，</w:t>
      </w:r>
      <w:r>
        <w:rPr>
          <w:rFonts w:hint="eastAsia" w:ascii="仿宋" w:hAnsi="仿宋" w:eastAsia="仿宋" w:cs="仿宋"/>
          <w:sz w:val="32"/>
          <w:szCs w:val="32"/>
          <w:lang w:val="en-US" w:eastAsia="zh-CN"/>
        </w:rPr>
        <w:t>完成后提供真实报账资料报账</w:t>
      </w:r>
      <w:r>
        <w:rPr>
          <w:rFonts w:hint="eastAsia" w:ascii="仿宋" w:hAnsi="仿宋" w:eastAsia="仿宋" w:cs="仿宋"/>
          <w:sz w:val="32"/>
          <w:szCs w:val="32"/>
          <w:lang w:val="zh-CN"/>
        </w:rPr>
        <w:t>。</w:t>
      </w:r>
    </w:p>
    <w:p w14:paraId="3D065F87">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rPr>
        <w:t>三、项目绩效情况</w:t>
      </w:r>
      <w:r>
        <w:rPr>
          <w:rFonts w:hint="eastAsia" w:ascii="仿宋" w:hAnsi="仿宋" w:eastAsia="仿宋" w:cs="仿宋"/>
          <w:sz w:val="32"/>
          <w:szCs w:val="32"/>
          <w:lang w:val="zh-CN"/>
        </w:rPr>
        <w:tab/>
      </w:r>
    </w:p>
    <w:p w14:paraId="2B5F79F9">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（一）项目完成情况。</w:t>
      </w:r>
    </w:p>
    <w:p w14:paraId="7BC3B7C9">
      <w:pPr>
        <w:adjustRightInd w:val="0"/>
        <w:snapToGrid w:val="0"/>
        <w:spacing w:line="560" w:lineRule="exact"/>
        <w:ind w:firstLine="720"/>
        <w:outlineLvl w:val="9"/>
        <w:rPr>
          <w:rFonts w:hint="eastAsia" w:ascii="仿宋" w:hAnsi="仿宋" w:eastAsia="仿宋" w:cs="仿宋"/>
          <w:sz w:val="32"/>
          <w:szCs w:val="32"/>
          <w:lang w:val="zh-CN"/>
        </w:rPr>
      </w:pPr>
      <w:r>
        <w:rPr>
          <w:rFonts w:hint="eastAsia" w:ascii="仿宋" w:hAnsi="仿宋" w:eastAsia="仿宋" w:cs="仿宋"/>
          <w:sz w:val="32"/>
          <w:szCs w:val="32"/>
          <w:lang w:val="en-US" w:eastAsia="zh-CN"/>
        </w:rPr>
        <w:t>该项目完成有效提升河湖管理水平、水土流失治理提高、提升水环境和水资源有效利用</w:t>
      </w:r>
      <w:r>
        <w:rPr>
          <w:rFonts w:hint="eastAsia" w:ascii="仿宋" w:hAnsi="仿宋" w:eastAsia="仿宋" w:cs="仿宋"/>
          <w:sz w:val="32"/>
          <w:szCs w:val="32"/>
          <w:lang w:val="zh-CN"/>
        </w:rPr>
        <w:t>。</w:t>
      </w:r>
    </w:p>
    <w:p w14:paraId="1565DCAF">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（二）项目效益情况。</w:t>
      </w:r>
    </w:p>
    <w:p w14:paraId="339F14AA">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sz w:val="32"/>
          <w:szCs w:val="32"/>
          <w:lang w:val="zh-CN"/>
        </w:rPr>
        <w:t>本项目实施后，可进一步</w:t>
      </w:r>
      <w:r>
        <w:rPr>
          <w:rFonts w:hint="eastAsia" w:ascii="仿宋" w:hAnsi="仿宋" w:eastAsia="仿宋" w:cs="仿宋"/>
          <w:sz w:val="32"/>
          <w:szCs w:val="32"/>
          <w:lang w:val="en-US" w:eastAsia="zh-CN"/>
        </w:rPr>
        <w:t>提高河道下流群众生命财产安全保障，河道行洪能力有效提升，提升河湖管理水平、水土流失治理提高，水库安全运行。</w:t>
      </w:r>
      <w:r>
        <w:rPr>
          <w:rFonts w:hint="eastAsia" w:ascii="仿宋" w:hAnsi="仿宋" w:eastAsia="仿宋" w:cs="仿宋"/>
          <w:color w:val="000000"/>
          <w:sz w:val="32"/>
          <w:szCs w:val="32"/>
          <w:lang w:val="en-US" w:eastAsia="zh-CN"/>
        </w:rPr>
        <w:t>服务对象</w:t>
      </w:r>
      <w:r>
        <w:rPr>
          <w:rFonts w:hint="eastAsia" w:ascii="仿宋" w:hAnsi="仿宋" w:eastAsia="仿宋" w:cs="仿宋"/>
          <w:color w:val="000000"/>
          <w:sz w:val="32"/>
          <w:szCs w:val="32"/>
        </w:rPr>
        <w:t>满意度</w:t>
      </w:r>
      <w:r>
        <w:rPr>
          <w:rFonts w:hint="eastAsia" w:ascii="仿宋" w:hAnsi="仿宋" w:eastAsia="仿宋" w:cs="仿宋"/>
          <w:color w:val="000000"/>
          <w:sz w:val="32"/>
          <w:szCs w:val="32"/>
          <w:lang w:val="en-US" w:eastAsia="zh-CN"/>
        </w:rPr>
        <w:t>100</w:t>
      </w:r>
      <w:r>
        <w:rPr>
          <w:rFonts w:hint="eastAsia" w:ascii="仿宋" w:hAnsi="仿宋" w:eastAsia="仿宋" w:cs="仿宋"/>
          <w:color w:val="000000"/>
          <w:sz w:val="32"/>
          <w:szCs w:val="32"/>
        </w:rPr>
        <w:t>%。</w:t>
      </w:r>
    </w:p>
    <w:p w14:paraId="59FD001D">
      <w:pPr>
        <w:adjustRightInd w:val="0"/>
        <w:snapToGrid w:val="0"/>
        <w:spacing w:line="560" w:lineRule="exact"/>
        <w:ind w:firstLine="720"/>
        <w:outlineLvl w:val="9"/>
        <w:rPr>
          <w:rFonts w:hint="eastAsia" w:ascii="仿宋" w:hAnsi="仿宋" w:eastAsia="仿宋" w:cs="仿宋"/>
          <w:sz w:val="32"/>
          <w:szCs w:val="32"/>
        </w:rPr>
      </w:pPr>
      <w:r>
        <w:rPr>
          <w:rFonts w:hint="eastAsia" w:ascii="仿宋" w:hAnsi="仿宋" w:eastAsia="仿宋" w:cs="仿宋"/>
          <w:sz w:val="32"/>
          <w:szCs w:val="32"/>
        </w:rPr>
        <w:t>四、问题及建议</w:t>
      </w:r>
    </w:p>
    <w:p w14:paraId="62953C97">
      <w:pPr>
        <w:adjustRightInd w:val="0"/>
        <w:snapToGrid w:val="0"/>
        <w:spacing w:line="560" w:lineRule="exact"/>
        <w:ind w:firstLine="72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（一）存在的问题。</w:t>
      </w:r>
    </w:p>
    <w:p w14:paraId="06D6E3B0">
      <w:pPr>
        <w:numPr>
          <w:ilvl w:val="0"/>
          <w:numId w:val="0"/>
        </w:numPr>
        <w:adjustRightInd w:val="0"/>
        <w:snapToGrid w:val="0"/>
        <w:spacing w:line="560" w:lineRule="exact"/>
        <w:ind w:firstLine="643" w:firstLineChars="200"/>
        <w:outlineLvl w:val="9"/>
        <w:rPr>
          <w:rFonts w:hint="eastAsia" w:ascii="仿宋" w:hAnsi="仿宋" w:eastAsia="仿宋" w:cs="仿宋"/>
          <w:b/>
          <w:sz w:val="32"/>
          <w:szCs w:val="32"/>
          <w:lang w:val="zh-CN"/>
        </w:rPr>
      </w:pPr>
      <w:r>
        <w:rPr>
          <w:rFonts w:hint="eastAsia" w:ascii="仿宋" w:hAnsi="仿宋" w:eastAsia="仿宋" w:cs="仿宋"/>
          <w:b/>
          <w:sz w:val="32"/>
          <w:szCs w:val="32"/>
          <w:lang w:val="zh-CN"/>
        </w:rPr>
        <w:t>（</w:t>
      </w:r>
      <w:r>
        <w:rPr>
          <w:rFonts w:hint="eastAsia" w:ascii="仿宋" w:hAnsi="仿宋" w:eastAsia="仿宋" w:cs="仿宋"/>
          <w:b/>
          <w:sz w:val="32"/>
          <w:szCs w:val="32"/>
          <w:lang w:val="en-US" w:eastAsia="zh-CN"/>
        </w:rPr>
        <w:t>二</w:t>
      </w:r>
      <w:r>
        <w:rPr>
          <w:rFonts w:hint="eastAsia" w:ascii="仿宋" w:hAnsi="仿宋" w:eastAsia="仿宋" w:cs="仿宋"/>
          <w:b/>
          <w:sz w:val="32"/>
          <w:szCs w:val="32"/>
          <w:lang w:val="zh-CN"/>
        </w:rPr>
        <w:t>）相关建议。</w:t>
      </w:r>
    </w:p>
    <w:p w14:paraId="135C38AF">
      <w:pPr>
        <w:pStyle w:val="5"/>
        <w:outlineLvl w:val="9"/>
        <w:rPr>
          <w:rFonts w:hint="eastAsia" w:hAnsi="宋体" w:cs="宋体"/>
          <w:color w:val="auto"/>
          <w:kern w:val="0"/>
          <w:sz w:val="32"/>
          <w:szCs w:val="32"/>
          <w:highlight w:val="none"/>
          <w:shd w:val="clear" w:color="auto" w:fill="FFFFFF"/>
          <w:lang w:val="zh-CN"/>
        </w:rPr>
      </w:pPr>
      <w:r>
        <w:rPr>
          <w:rFonts w:hint="eastAsia" w:hAnsi="宋体" w:cs="宋体"/>
          <w:color w:val="auto"/>
          <w:kern w:val="0"/>
          <w:sz w:val="32"/>
          <w:szCs w:val="32"/>
          <w:highlight w:val="none"/>
          <w:shd w:val="clear" w:color="auto" w:fill="FFFFFF"/>
          <w:lang w:val="zh-CN"/>
        </w:rPr>
        <w:object>
          <v:shape id="_x0000_i1036" o:spt="75" type="#_x0000_t75" style="height:611.05pt;width:415.05pt;" o:ole="t" filled="f" o:preferrelative="t" stroked="f" coordsize="21600,21600">
            <v:path/>
            <v:fill on="f" focussize="0,0"/>
            <v:stroke on="f"/>
            <v:imagedata r:id="rId37" o:title=""/>
            <o:lock v:ext="edit" aspectratio="f"/>
            <w10:wrap type="none"/>
            <w10:anchorlock/>
          </v:shape>
          <o:OLEObject Type="Embed" ProgID="Excel.Sheet.12" ShapeID="_x0000_i1036" DrawAspect="Content" ObjectID="_1468075736" r:id="rId36">
            <o:LockedField>false</o:LockedField>
          </o:OLEObject>
        </w:object>
      </w:r>
    </w:p>
    <w:p w14:paraId="4FB572A0">
      <w:pPr>
        <w:pStyle w:val="5"/>
        <w:outlineLvl w:val="9"/>
        <w:rPr>
          <w:rFonts w:hint="eastAsia" w:hAnsi="宋体" w:cs="宋体"/>
          <w:color w:val="auto"/>
          <w:kern w:val="0"/>
          <w:sz w:val="32"/>
          <w:szCs w:val="32"/>
          <w:highlight w:val="none"/>
          <w:shd w:val="clear" w:color="auto" w:fill="FFFFFF"/>
          <w:lang w:val="zh-CN"/>
        </w:rPr>
      </w:pPr>
    </w:p>
    <w:p w14:paraId="4BA8ABA9">
      <w:pPr>
        <w:pStyle w:val="5"/>
        <w:rPr>
          <w:rFonts w:hint="eastAsia" w:hAnsi="宋体" w:cs="宋体"/>
          <w:color w:val="auto"/>
          <w:kern w:val="0"/>
          <w:sz w:val="32"/>
          <w:szCs w:val="32"/>
          <w:highlight w:val="none"/>
          <w:shd w:val="clear" w:color="auto" w:fill="FFFFFF"/>
          <w:lang w:val="zh-CN"/>
        </w:rPr>
      </w:pPr>
    </w:p>
    <w:p w14:paraId="34CF469C">
      <w:pPr>
        <w:spacing w:line="600" w:lineRule="exact"/>
        <w:jc w:val="center"/>
        <w:outlineLvl w:val="0"/>
        <w:rPr>
          <w:rFonts w:hint="eastAsia" w:ascii="仿宋" w:hAnsi="仿宋" w:eastAsia="仿宋"/>
          <w:b w:val="0"/>
          <w:color w:val="auto"/>
          <w:highlight w:val="none"/>
        </w:rPr>
      </w:pPr>
      <w:bookmarkStart w:id="85" w:name="_Toc14303"/>
      <w:bookmarkStart w:id="86" w:name="_Toc15396618"/>
      <w:bookmarkStart w:id="87" w:name="_Toc1573"/>
      <w:r>
        <w:rPr>
          <w:rFonts w:hint="eastAsia" w:ascii="黑体" w:hAnsi="黑体" w:eastAsia="黑体"/>
          <w:color w:val="auto"/>
          <w:sz w:val="44"/>
          <w:szCs w:val="44"/>
          <w:highlight w:val="none"/>
        </w:rPr>
        <w:t>第</w:t>
      </w:r>
      <w:r>
        <w:rPr>
          <w:rStyle w:val="21"/>
          <w:rFonts w:hint="eastAsia" w:ascii="黑体" w:hAnsi="黑体" w:eastAsia="黑体"/>
          <w:b w:val="0"/>
          <w:color w:val="auto"/>
          <w:highlight w:val="none"/>
        </w:rPr>
        <w:t>五部分 附表</w:t>
      </w:r>
      <w:bookmarkEnd w:id="82"/>
      <w:bookmarkEnd w:id="85"/>
      <w:bookmarkEnd w:id="86"/>
      <w:bookmarkEnd w:id="87"/>
      <w:bookmarkStart w:id="88" w:name="_Toc15396619"/>
    </w:p>
    <w:p w14:paraId="4E5CF4DF">
      <w:pPr>
        <w:pStyle w:val="3"/>
        <w:rPr>
          <w:rFonts w:ascii="仿宋" w:hAnsi="仿宋" w:eastAsia="仿宋"/>
          <w:color w:val="auto"/>
          <w:highlight w:val="none"/>
        </w:rPr>
      </w:pPr>
      <w:bookmarkStart w:id="89" w:name="_Toc31467"/>
      <w:bookmarkStart w:id="90" w:name="_Toc19394"/>
      <w:r>
        <w:rPr>
          <w:rFonts w:hint="eastAsia" w:ascii="仿宋" w:hAnsi="仿宋" w:eastAsia="仿宋"/>
          <w:b w:val="0"/>
          <w:color w:val="auto"/>
          <w:highlight w:val="none"/>
        </w:rPr>
        <w:t>一、收</w:t>
      </w:r>
      <w:r>
        <w:rPr>
          <w:rStyle w:val="22"/>
          <w:rFonts w:hint="eastAsia" w:ascii="仿宋" w:hAnsi="仿宋" w:eastAsia="仿宋"/>
          <w:b w:val="0"/>
          <w:bCs w:val="0"/>
          <w:color w:val="auto"/>
          <w:highlight w:val="none"/>
        </w:rPr>
        <w:t>入支出决算总表</w:t>
      </w:r>
      <w:bookmarkEnd w:id="88"/>
      <w:bookmarkEnd w:id="89"/>
      <w:bookmarkEnd w:id="90"/>
    </w:p>
    <w:p w14:paraId="2B79430D">
      <w:pPr>
        <w:pStyle w:val="3"/>
        <w:rPr>
          <w:rFonts w:ascii="仿宋" w:hAnsi="仿宋" w:eastAsia="仿宋"/>
          <w:color w:val="auto"/>
          <w:highlight w:val="none"/>
        </w:rPr>
      </w:pPr>
      <w:bookmarkStart w:id="91" w:name="_Toc16074"/>
      <w:bookmarkStart w:id="92" w:name="_Toc15396620"/>
      <w:bookmarkStart w:id="93" w:name="_Toc16879"/>
      <w:r>
        <w:rPr>
          <w:rFonts w:hint="eastAsia" w:ascii="仿宋" w:hAnsi="仿宋" w:eastAsia="仿宋"/>
          <w:b w:val="0"/>
          <w:color w:val="auto"/>
          <w:highlight w:val="none"/>
        </w:rPr>
        <w:t>二、收</w:t>
      </w:r>
      <w:r>
        <w:rPr>
          <w:rStyle w:val="22"/>
          <w:rFonts w:hint="eastAsia" w:ascii="仿宋" w:hAnsi="仿宋" w:eastAsia="仿宋"/>
          <w:b w:val="0"/>
          <w:bCs w:val="0"/>
          <w:color w:val="auto"/>
          <w:highlight w:val="none"/>
        </w:rPr>
        <w:t>入决算表</w:t>
      </w:r>
      <w:bookmarkEnd w:id="91"/>
      <w:bookmarkEnd w:id="92"/>
      <w:bookmarkEnd w:id="93"/>
    </w:p>
    <w:p w14:paraId="39041022">
      <w:pPr>
        <w:pStyle w:val="3"/>
        <w:rPr>
          <w:rFonts w:ascii="仿宋" w:hAnsi="仿宋" w:eastAsia="仿宋"/>
          <w:color w:val="auto"/>
          <w:highlight w:val="none"/>
        </w:rPr>
      </w:pPr>
      <w:bookmarkStart w:id="94" w:name="_Toc21641"/>
      <w:bookmarkStart w:id="95" w:name="_Toc15396621"/>
      <w:bookmarkStart w:id="96" w:name="_Toc29402"/>
      <w:r>
        <w:rPr>
          <w:rStyle w:val="22"/>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2"/>
          <w:rFonts w:hint="eastAsia" w:ascii="仿宋" w:hAnsi="仿宋" w:eastAsia="仿宋"/>
          <w:b w:val="0"/>
          <w:bCs w:val="0"/>
          <w:color w:val="auto"/>
          <w:highlight w:val="none"/>
        </w:rPr>
        <w:t>出决算表</w:t>
      </w:r>
      <w:bookmarkEnd w:id="94"/>
      <w:bookmarkEnd w:id="95"/>
      <w:bookmarkEnd w:id="96"/>
    </w:p>
    <w:p w14:paraId="3A87B30D">
      <w:pPr>
        <w:pStyle w:val="3"/>
        <w:rPr>
          <w:rFonts w:ascii="仿宋" w:hAnsi="仿宋" w:eastAsia="仿宋"/>
          <w:b w:val="0"/>
          <w:color w:val="auto"/>
          <w:highlight w:val="none"/>
        </w:rPr>
      </w:pPr>
      <w:bookmarkStart w:id="97" w:name="_Toc27386"/>
      <w:bookmarkStart w:id="98" w:name="_Toc22376"/>
      <w:bookmarkStart w:id="99" w:name="_Toc15396622"/>
      <w:r>
        <w:rPr>
          <w:rStyle w:val="22"/>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2"/>
          <w:rFonts w:hint="eastAsia" w:ascii="仿宋" w:hAnsi="仿宋" w:eastAsia="仿宋"/>
          <w:b w:val="0"/>
          <w:bCs w:val="0"/>
          <w:color w:val="auto"/>
          <w:highlight w:val="none"/>
        </w:rPr>
        <w:t>政拨款收入支出决算总表</w:t>
      </w:r>
      <w:bookmarkEnd w:id="97"/>
      <w:bookmarkEnd w:id="98"/>
      <w:bookmarkEnd w:id="99"/>
    </w:p>
    <w:p w14:paraId="320D5750">
      <w:pPr>
        <w:pStyle w:val="3"/>
        <w:rPr>
          <w:rStyle w:val="22"/>
          <w:rFonts w:ascii="仿宋" w:hAnsi="仿宋" w:eastAsia="仿宋"/>
          <w:b w:val="0"/>
          <w:bCs w:val="0"/>
          <w:color w:val="auto"/>
          <w:highlight w:val="none"/>
        </w:rPr>
      </w:pPr>
      <w:bookmarkStart w:id="100" w:name="_Toc15396623"/>
      <w:bookmarkStart w:id="101" w:name="_Toc21094"/>
      <w:bookmarkStart w:id="102" w:name="_Toc2537"/>
      <w:r>
        <w:rPr>
          <w:rStyle w:val="22"/>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2"/>
          <w:rFonts w:hint="eastAsia" w:ascii="仿宋" w:hAnsi="仿宋" w:eastAsia="仿宋"/>
          <w:b w:val="0"/>
          <w:bCs w:val="0"/>
          <w:color w:val="auto"/>
          <w:highlight w:val="none"/>
        </w:rPr>
        <w:t>政拨款支出决算明细表</w:t>
      </w:r>
      <w:bookmarkEnd w:id="100"/>
      <w:bookmarkEnd w:id="101"/>
      <w:bookmarkEnd w:id="102"/>
      <w:bookmarkStart w:id="103" w:name="_Toc15396624"/>
    </w:p>
    <w:p w14:paraId="02FB1AC4">
      <w:pPr>
        <w:pStyle w:val="3"/>
        <w:rPr>
          <w:rFonts w:ascii="仿宋" w:hAnsi="仿宋" w:eastAsia="仿宋"/>
          <w:color w:val="auto"/>
          <w:highlight w:val="none"/>
        </w:rPr>
      </w:pPr>
      <w:bookmarkStart w:id="104" w:name="_Toc27320"/>
      <w:bookmarkStart w:id="105" w:name="_Toc7021"/>
      <w:r>
        <w:rPr>
          <w:rStyle w:val="22"/>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2"/>
          <w:rFonts w:hint="eastAsia" w:ascii="仿宋" w:hAnsi="仿宋" w:eastAsia="仿宋"/>
          <w:b w:val="0"/>
          <w:bCs w:val="0"/>
          <w:color w:val="auto"/>
          <w:highlight w:val="none"/>
        </w:rPr>
        <w:t>般公共预算财政拨款支出决算表</w:t>
      </w:r>
      <w:bookmarkEnd w:id="103"/>
      <w:bookmarkEnd w:id="104"/>
      <w:bookmarkEnd w:id="105"/>
    </w:p>
    <w:p w14:paraId="446F2D99">
      <w:pPr>
        <w:pStyle w:val="3"/>
        <w:rPr>
          <w:rFonts w:ascii="仿宋" w:hAnsi="仿宋" w:eastAsia="仿宋"/>
          <w:color w:val="auto"/>
          <w:highlight w:val="none"/>
        </w:rPr>
      </w:pPr>
      <w:bookmarkStart w:id="106" w:name="_Toc13924"/>
      <w:bookmarkStart w:id="107" w:name="_Toc15396625"/>
      <w:bookmarkStart w:id="108" w:name="_Toc8768"/>
      <w:r>
        <w:rPr>
          <w:rStyle w:val="22"/>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2"/>
          <w:rFonts w:hint="eastAsia" w:ascii="仿宋" w:hAnsi="仿宋" w:eastAsia="仿宋"/>
          <w:b w:val="0"/>
          <w:bCs w:val="0"/>
          <w:color w:val="auto"/>
          <w:highlight w:val="none"/>
        </w:rPr>
        <w:t>般公共预算财政拨款支出决算明细表</w:t>
      </w:r>
      <w:bookmarkEnd w:id="106"/>
      <w:bookmarkEnd w:id="107"/>
      <w:bookmarkEnd w:id="108"/>
    </w:p>
    <w:p w14:paraId="37712E44">
      <w:pPr>
        <w:pStyle w:val="3"/>
        <w:rPr>
          <w:rFonts w:ascii="仿宋" w:hAnsi="仿宋" w:eastAsia="仿宋"/>
          <w:color w:val="auto"/>
          <w:highlight w:val="none"/>
        </w:rPr>
      </w:pPr>
      <w:bookmarkStart w:id="109" w:name="_Toc26508"/>
      <w:bookmarkStart w:id="110" w:name="_Toc25854"/>
      <w:bookmarkStart w:id="111" w:name="_Toc15396626"/>
      <w:r>
        <w:rPr>
          <w:rStyle w:val="22"/>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2"/>
          <w:rFonts w:hint="eastAsia" w:ascii="仿宋" w:hAnsi="仿宋" w:eastAsia="仿宋"/>
          <w:b w:val="0"/>
          <w:bCs w:val="0"/>
          <w:color w:val="auto"/>
          <w:highlight w:val="none"/>
        </w:rPr>
        <w:t>般公共预算财政拨款基本支出决算表</w:t>
      </w:r>
      <w:bookmarkEnd w:id="109"/>
      <w:bookmarkEnd w:id="110"/>
      <w:bookmarkEnd w:id="111"/>
    </w:p>
    <w:p w14:paraId="5ADCCCCB">
      <w:pPr>
        <w:pStyle w:val="3"/>
        <w:rPr>
          <w:rFonts w:ascii="仿宋" w:hAnsi="仿宋" w:eastAsia="仿宋"/>
          <w:color w:val="auto"/>
          <w:highlight w:val="none"/>
        </w:rPr>
      </w:pPr>
      <w:bookmarkStart w:id="112" w:name="_Toc15396627"/>
      <w:bookmarkStart w:id="113" w:name="_Toc24923"/>
      <w:bookmarkStart w:id="114" w:name="_Toc15159"/>
      <w:r>
        <w:rPr>
          <w:rStyle w:val="22"/>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2"/>
          <w:rFonts w:hint="eastAsia" w:ascii="仿宋" w:hAnsi="仿宋" w:eastAsia="仿宋"/>
          <w:b w:val="0"/>
          <w:bCs w:val="0"/>
          <w:color w:val="auto"/>
          <w:highlight w:val="none"/>
        </w:rPr>
        <w:t>般公共预算财政拨款项目支出决算表</w:t>
      </w:r>
      <w:bookmarkEnd w:id="112"/>
      <w:bookmarkEnd w:id="113"/>
      <w:bookmarkEnd w:id="114"/>
    </w:p>
    <w:p w14:paraId="1F9B9863">
      <w:pPr>
        <w:pStyle w:val="3"/>
        <w:rPr>
          <w:rFonts w:ascii="仿宋" w:hAnsi="仿宋" w:eastAsia="仿宋"/>
          <w:color w:val="auto"/>
          <w:highlight w:val="none"/>
        </w:rPr>
      </w:pPr>
      <w:bookmarkStart w:id="115" w:name="_Toc15396628"/>
      <w:bookmarkStart w:id="116" w:name="_Toc3550"/>
      <w:bookmarkStart w:id="117" w:name="_Toc20939"/>
      <w:r>
        <w:rPr>
          <w:rStyle w:val="22"/>
          <w:rFonts w:hint="eastAsia" w:ascii="仿宋" w:hAnsi="仿宋" w:eastAsia="仿宋"/>
          <w:b w:val="0"/>
          <w:bCs w:val="0"/>
          <w:color w:val="auto"/>
          <w:highlight w:val="none"/>
        </w:rPr>
        <w:t>十、</w:t>
      </w:r>
      <w:bookmarkEnd w:id="115"/>
      <w:r>
        <w:rPr>
          <w:rFonts w:hint="eastAsia" w:ascii="仿宋" w:hAnsi="仿宋" w:eastAsia="仿宋"/>
          <w:b w:val="0"/>
          <w:color w:val="auto"/>
          <w:highlight w:val="none"/>
        </w:rPr>
        <w:t>政</w:t>
      </w:r>
      <w:r>
        <w:rPr>
          <w:rStyle w:val="22"/>
          <w:rFonts w:hint="eastAsia" w:ascii="仿宋" w:hAnsi="仿宋" w:eastAsia="仿宋"/>
          <w:b w:val="0"/>
          <w:bCs w:val="0"/>
          <w:color w:val="auto"/>
          <w:highlight w:val="none"/>
        </w:rPr>
        <w:t>府性基金预算财政拨款收入支出决算表</w:t>
      </w:r>
      <w:bookmarkEnd w:id="116"/>
      <w:bookmarkEnd w:id="117"/>
    </w:p>
    <w:p w14:paraId="0AB81F2B">
      <w:pPr>
        <w:pStyle w:val="3"/>
        <w:rPr>
          <w:rFonts w:ascii="仿宋" w:hAnsi="仿宋" w:eastAsia="仿宋"/>
          <w:color w:val="auto"/>
          <w:highlight w:val="none"/>
        </w:rPr>
      </w:pPr>
      <w:bookmarkStart w:id="118" w:name="_Toc15396629"/>
      <w:bookmarkStart w:id="119" w:name="_Toc5582"/>
      <w:bookmarkStart w:id="120" w:name="_Toc17378"/>
      <w:r>
        <w:rPr>
          <w:rStyle w:val="22"/>
          <w:rFonts w:hint="eastAsia" w:ascii="仿宋" w:hAnsi="仿宋" w:eastAsia="仿宋"/>
          <w:b w:val="0"/>
          <w:bCs w:val="0"/>
          <w:color w:val="auto"/>
          <w:highlight w:val="none"/>
        </w:rPr>
        <w:t>十一、</w:t>
      </w:r>
      <w:bookmarkEnd w:id="118"/>
      <w:r>
        <w:rPr>
          <w:rFonts w:hint="eastAsia" w:ascii="仿宋" w:hAnsi="仿宋" w:eastAsia="仿宋"/>
          <w:b w:val="0"/>
          <w:color w:val="auto"/>
          <w:highlight w:val="none"/>
        </w:rPr>
        <w:t>国</w:t>
      </w:r>
      <w:r>
        <w:rPr>
          <w:rStyle w:val="22"/>
          <w:rFonts w:hint="eastAsia" w:ascii="仿宋" w:hAnsi="仿宋" w:eastAsia="仿宋"/>
          <w:b w:val="0"/>
          <w:bCs w:val="0"/>
          <w:color w:val="auto"/>
          <w:highlight w:val="none"/>
        </w:rPr>
        <w:t>有资本经营预算</w:t>
      </w:r>
      <w:r>
        <w:rPr>
          <w:rStyle w:val="22"/>
          <w:rFonts w:hint="eastAsia" w:ascii="仿宋" w:hAnsi="仿宋" w:eastAsia="仿宋"/>
          <w:b w:val="0"/>
          <w:bCs w:val="0"/>
          <w:color w:val="auto"/>
          <w:highlight w:val="none"/>
          <w:lang w:eastAsia="zh-CN"/>
        </w:rPr>
        <w:t>财政拨款收入</w:t>
      </w:r>
      <w:r>
        <w:rPr>
          <w:rStyle w:val="22"/>
          <w:rFonts w:hint="eastAsia" w:ascii="仿宋" w:hAnsi="仿宋" w:eastAsia="仿宋"/>
          <w:b w:val="0"/>
          <w:bCs w:val="0"/>
          <w:color w:val="auto"/>
          <w:highlight w:val="none"/>
        </w:rPr>
        <w:t>支出决算表</w:t>
      </w:r>
      <w:bookmarkEnd w:id="119"/>
      <w:bookmarkEnd w:id="120"/>
    </w:p>
    <w:p w14:paraId="6092321F">
      <w:pPr>
        <w:pStyle w:val="3"/>
        <w:rPr>
          <w:rFonts w:ascii="仿宋" w:hAnsi="仿宋" w:eastAsia="仿宋"/>
          <w:color w:val="auto"/>
          <w:highlight w:val="none"/>
        </w:rPr>
      </w:pPr>
      <w:bookmarkStart w:id="121" w:name="_Toc15396630"/>
      <w:bookmarkStart w:id="122" w:name="_Toc15614"/>
      <w:bookmarkStart w:id="123" w:name="_Toc19999"/>
      <w:r>
        <w:rPr>
          <w:rStyle w:val="22"/>
          <w:rFonts w:hint="eastAsia" w:ascii="仿宋" w:hAnsi="仿宋" w:eastAsia="仿宋"/>
          <w:b w:val="0"/>
          <w:bCs w:val="0"/>
          <w:color w:val="auto"/>
          <w:highlight w:val="none"/>
        </w:rPr>
        <w:t>十二、</w:t>
      </w:r>
      <w:bookmarkEnd w:id="121"/>
      <w:r>
        <w:rPr>
          <w:rStyle w:val="22"/>
          <w:rFonts w:hint="eastAsia" w:ascii="仿宋" w:hAnsi="仿宋" w:eastAsia="仿宋"/>
          <w:b w:val="0"/>
          <w:bCs w:val="0"/>
          <w:color w:val="auto"/>
          <w:highlight w:val="none"/>
          <w:lang w:eastAsia="zh-CN"/>
        </w:rPr>
        <w:t>国有资本经营预算财政拨款支出决算表</w:t>
      </w:r>
      <w:bookmarkEnd w:id="122"/>
      <w:bookmarkEnd w:id="123"/>
    </w:p>
    <w:p w14:paraId="72CB8699">
      <w:pPr>
        <w:pStyle w:val="3"/>
        <w:rPr>
          <w:rFonts w:hint="eastAsia" w:eastAsia="仿宋"/>
          <w:color w:val="auto"/>
          <w:highlight w:val="none"/>
          <w:lang w:eastAsia="zh-CN"/>
        </w:rPr>
      </w:pPr>
      <w:bookmarkStart w:id="124" w:name="_Toc15396631"/>
      <w:bookmarkStart w:id="125" w:name="_Toc5177"/>
      <w:bookmarkStart w:id="126" w:name="_Toc18430"/>
      <w:r>
        <w:rPr>
          <w:rStyle w:val="22"/>
          <w:rFonts w:hint="eastAsia" w:ascii="仿宋" w:hAnsi="仿宋" w:eastAsia="仿宋"/>
          <w:b w:val="0"/>
          <w:bCs w:val="0"/>
          <w:color w:val="auto"/>
          <w:highlight w:val="none"/>
        </w:rPr>
        <w:t>十三、</w:t>
      </w:r>
      <w:bookmarkEnd w:id="124"/>
      <w:r>
        <w:rPr>
          <w:rStyle w:val="22"/>
          <w:rFonts w:hint="eastAsia" w:ascii="仿宋" w:hAnsi="仿宋" w:eastAsia="仿宋"/>
          <w:b w:val="0"/>
          <w:bCs w:val="0"/>
          <w:color w:val="auto"/>
          <w:highlight w:val="none"/>
          <w:lang w:eastAsia="zh-CN"/>
        </w:rPr>
        <w:t>财政拨款“三公”经费支出决算表</w:t>
      </w:r>
      <w:bookmarkEnd w:id="125"/>
      <w:bookmarkEnd w:id="126"/>
    </w:p>
    <w:p w14:paraId="3092E38F"/>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F7A2F07-4861-423B-932E-93222E16FF4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181196E9-3855-451D-9727-2FA09316735A}"/>
  </w:font>
  <w:font w:name="Calibri Light">
    <w:panose1 w:val="020F0302020204030204"/>
    <w:charset w:val="00"/>
    <w:family w:val="auto"/>
    <w:pitch w:val="default"/>
    <w:sig w:usb0="A00002EF" w:usb1="4000207B" w:usb2="00000000" w:usb3="00000000" w:csb0="2000019F" w:csb1="00000000"/>
    <w:embedRegular r:id="rId3" w:fontKey="{75D12EAD-4CCF-4AF7-9877-1DB2FE6034A7}"/>
  </w:font>
  <w:font w:name="仿宋_GB2312">
    <w:panose1 w:val="02010609030101010101"/>
    <w:charset w:val="86"/>
    <w:family w:val="modern"/>
    <w:pitch w:val="default"/>
    <w:sig w:usb0="00000001" w:usb1="080E0000" w:usb2="00000000" w:usb3="00000000" w:csb0="00040000" w:csb1="00000000"/>
    <w:embedRegular r:id="rId4" w:fontKey="{99F11D6A-8D35-4D3D-83DE-3C8D206481AD}"/>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E0000" w:usb2="00000000" w:usb3="00000000" w:csb0="00040000" w:csb1="00000000"/>
    <w:embedRegular r:id="rId5" w:fontKey="{CFCFF738-9CEC-498C-8619-08170CEF19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6D7FC88D">
        <w:pPr>
          <w:pStyle w:val="9"/>
          <w:jc w:val="center"/>
        </w:pPr>
        <w:r>
          <w:fldChar w:fldCharType="begin"/>
        </w:r>
        <w:r>
          <w:instrText xml:space="preserve">PAGE   \* MERGEFORMAT</w:instrText>
        </w:r>
        <w:r>
          <w:fldChar w:fldCharType="separate"/>
        </w:r>
        <w:r>
          <w:rPr>
            <w:lang w:val="zh-CN"/>
          </w:rPr>
          <w:t>8</w:t>
        </w:r>
        <w:r>
          <w:fldChar w:fldCharType="end"/>
        </w:r>
      </w:p>
    </w:sdtContent>
  </w:sdt>
  <w:p w14:paraId="708A7FF8">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30017">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5D60F7"/>
    <w:multiLevelType w:val="singleLevel"/>
    <w:tmpl w:val="895D60F7"/>
    <w:lvl w:ilvl="0" w:tentative="0">
      <w:start w:val="2"/>
      <w:numFmt w:val="chineseCounting"/>
      <w:suff w:val="nothing"/>
      <w:lvlText w:val="（%1）"/>
      <w:lvlJc w:val="left"/>
      <w:rPr>
        <w:rFonts w:hint="eastAsia"/>
      </w:rPr>
    </w:lvl>
  </w:abstractNum>
  <w:abstractNum w:abstractNumId="1">
    <w:nsid w:val="8E97F500"/>
    <w:multiLevelType w:val="singleLevel"/>
    <w:tmpl w:val="8E97F500"/>
    <w:lvl w:ilvl="0" w:tentative="0">
      <w:start w:val="6"/>
      <w:numFmt w:val="decimal"/>
      <w:lvlText w:val="%1."/>
      <w:lvlJc w:val="left"/>
      <w:pPr>
        <w:tabs>
          <w:tab w:val="left" w:pos="312"/>
        </w:tabs>
        <w:ind w:left="-13"/>
      </w:pPr>
    </w:lvl>
  </w:abstractNum>
  <w:abstractNum w:abstractNumId="2">
    <w:nsid w:val="AAC306DC"/>
    <w:multiLevelType w:val="singleLevel"/>
    <w:tmpl w:val="AAC306DC"/>
    <w:lvl w:ilvl="0" w:tentative="0">
      <w:start w:val="1"/>
      <w:numFmt w:val="decimal"/>
      <w:lvlText w:val="%1."/>
      <w:lvlJc w:val="left"/>
      <w:pPr>
        <w:tabs>
          <w:tab w:val="left" w:pos="312"/>
        </w:tabs>
      </w:pPr>
    </w:lvl>
  </w:abstractNum>
  <w:abstractNum w:abstractNumId="3">
    <w:nsid w:val="CF652CEC"/>
    <w:multiLevelType w:val="singleLevel"/>
    <w:tmpl w:val="CF652CEC"/>
    <w:lvl w:ilvl="0" w:tentative="0">
      <w:start w:val="9"/>
      <w:numFmt w:val="chineseCounting"/>
      <w:suff w:val="nothing"/>
      <w:lvlText w:val="%1、"/>
      <w:lvlJc w:val="left"/>
      <w:rPr>
        <w:rFonts w:hint="eastAsia"/>
      </w:rPr>
    </w:lvl>
  </w:abstractNum>
  <w:abstractNum w:abstractNumId="4">
    <w:nsid w:val="E2FA047D"/>
    <w:multiLevelType w:val="singleLevel"/>
    <w:tmpl w:val="E2FA047D"/>
    <w:lvl w:ilvl="0" w:tentative="0">
      <w:start w:val="3"/>
      <w:numFmt w:val="chineseCounting"/>
      <w:suff w:val="space"/>
      <w:lvlText w:val="第%1部分"/>
      <w:lvlJc w:val="left"/>
      <w:rPr>
        <w:rFonts w:hint="eastAsia"/>
      </w:rPr>
    </w:lvl>
  </w:abstractNum>
  <w:abstractNum w:abstractNumId="5">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224AD87F"/>
    <w:multiLevelType w:val="singleLevel"/>
    <w:tmpl w:val="224AD87F"/>
    <w:lvl w:ilvl="0" w:tentative="0">
      <w:start w:val="2"/>
      <w:numFmt w:val="chineseCounting"/>
      <w:suff w:val="nothing"/>
      <w:lvlText w:val="（%1）"/>
      <w:lvlJc w:val="left"/>
      <w:pPr>
        <w:ind w:left="120"/>
      </w:pPr>
      <w:rPr>
        <w:rFonts w:hint="eastAsia"/>
      </w:rPr>
    </w:lvl>
  </w:abstractNum>
  <w:abstractNum w:abstractNumId="7">
    <w:nsid w:val="2643E8FF"/>
    <w:multiLevelType w:val="singleLevel"/>
    <w:tmpl w:val="2643E8FF"/>
    <w:lvl w:ilvl="0" w:tentative="0">
      <w:start w:val="1"/>
      <w:numFmt w:val="chineseCounting"/>
      <w:suff w:val="nothing"/>
      <w:lvlText w:val="%1、"/>
      <w:lvlJc w:val="left"/>
      <w:rPr>
        <w:rFonts w:hint="eastAsia"/>
      </w:rPr>
    </w:lvl>
  </w:abstractNum>
  <w:abstractNum w:abstractNumId="8">
    <w:nsid w:val="55BF94D5"/>
    <w:multiLevelType w:val="singleLevel"/>
    <w:tmpl w:val="55BF94D5"/>
    <w:lvl w:ilvl="0" w:tentative="0">
      <w:start w:val="1"/>
      <w:numFmt w:val="decimal"/>
      <w:lvlText w:val="%1."/>
      <w:lvlJc w:val="left"/>
      <w:pPr>
        <w:tabs>
          <w:tab w:val="left" w:pos="312"/>
        </w:tabs>
        <w:ind w:left="-13"/>
      </w:pPr>
    </w:lvl>
  </w:abstractNum>
  <w:abstractNum w:abstractNumId="9">
    <w:nsid w:val="7E1583B5"/>
    <w:multiLevelType w:val="singleLevel"/>
    <w:tmpl w:val="7E1583B5"/>
    <w:lvl w:ilvl="0" w:tentative="0">
      <w:start w:val="5"/>
      <w:numFmt w:val="decimal"/>
      <w:lvlText w:val="%1."/>
      <w:lvlJc w:val="left"/>
      <w:pPr>
        <w:tabs>
          <w:tab w:val="left" w:pos="312"/>
        </w:tabs>
      </w:pPr>
    </w:lvl>
  </w:abstractNum>
  <w:num w:numId="1">
    <w:abstractNumId w:val="7"/>
  </w:num>
  <w:num w:numId="2">
    <w:abstractNumId w:val="5"/>
  </w:num>
  <w:num w:numId="3">
    <w:abstractNumId w:val="8"/>
  </w:num>
  <w:num w:numId="4">
    <w:abstractNumId w:val="9"/>
  </w:num>
  <w:num w:numId="5">
    <w:abstractNumId w:val="1"/>
  </w:num>
  <w:num w:numId="6">
    <w:abstractNumId w:val="3"/>
  </w:num>
  <w:num w:numId="7">
    <w:abstractNumId w:val="4"/>
  </w:num>
  <w:num w:numId="8">
    <w:abstractNumId w:val="2"/>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MjFjMDUwODIwZDg4NDczZTI5ZmU1NTQ5YzljMTkifQ=="/>
  </w:docVars>
  <w:rsids>
    <w:rsidRoot w:val="00172A27"/>
    <w:rsid w:val="00F931CB"/>
    <w:rsid w:val="044805FB"/>
    <w:rsid w:val="04BC208B"/>
    <w:rsid w:val="05850837"/>
    <w:rsid w:val="05D400DA"/>
    <w:rsid w:val="085F7631"/>
    <w:rsid w:val="0926757C"/>
    <w:rsid w:val="09E755B2"/>
    <w:rsid w:val="09F1085E"/>
    <w:rsid w:val="0A191A16"/>
    <w:rsid w:val="0A2D7678"/>
    <w:rsid w:val="0B494BFB"/>
    <w:rsid w:val="0B70136A"/>
    <w:rsid w:val="0D8B3D4E"/>
    <w:rsid w:val="0DC0599B"/>
    <w:rsid w:val="10381D06"/>
    <w:rsid w:val="10725EA8"/>
    <w:rsid w:val="11BB2254"/>
    <w:rsid w:val="125F08AF"/>
    <w:rsid w:val="170D786A"/>
    <w:rsid w:val="19B6274A"/>
    <w:rsid w:val="1A714A69"/>
    <w:rsid w:val="1A826E43"/>
    <w:rsid w:val="1B6965E6"/>
    <w:rsid w:val="1D0635FD"/>
    <w:rsid w:val="1E6F0352"/>
    <w:rsid w:val="1EC94745"/>
    <w:rsid w:val="1F2153A3"/>
    <w:rsid w:val="20626519"/>
    <w:rsid w:val="21E03BF9"/>
    <w:rsid w:val="21E52A0E"/>
    <w:rsid w:val="22E85FCD"/>
    <w:rsid w:val="230371D1"/>
    <w:rsid w:val="259143DC"/>
    <w:rsid w:val="289B55F1"/>
    <w:rsid w:val="28FF3A59"/>
    <w:rsid w:val="297452C9"/>
    <w:rsid w:val="2BF3422E"/>
    <w:rsid w:val="2C5F11A5"/>
    <w:rsid w:val="2D713318"/>
    <w:rsid w:val="2E4A6356"/>
    <w:rsid w:val="30B15232"/>
    <w:rsid w:val="31382C1E"/>
    <w:rsid w:val="317445E3"/>
    <w:rsid w:val="352E7489"/>
    <w:rsid w:val="38FF5082"/>
    <w:rsid w:val="3C961D78"/>
    <w:rsid w:val="3D1877F6"/>
    <w:rsid w:val="3D2A3AB3"/>
    <w:rsid w:val="3E2B69E1"/>
    <w:rsid w:val="3F0A20B3"/>
    <w:rsid w:val="3F581EC6"/>
    <w:rsid w:val="401C4AD3"/>
    <w:rsid w:val="429B4945"/>
    <w:rsid w:val="474455BE"/>
    <w:rsid w:val="49734824"/>
    <w:rsid w:val="4CB9385B"/>
    <w:rsid w:val="4F5C0CAC"/>
    <w:rsid w:val="4F6B522B"/>
    <w:rsid w:val="4F6C34E7"/>
    <w:rsid w:val="50226A19"/>
    <w:rsid w:val="505B414C"/>
    <w:rsid w:val="518F7E35"/>
    <w:rsid w:val="533D51D3"/>
    <w:rsid w:val="54FD2982"/>
    <w:rsid w:val="55AE1387"/>
    <w:rsid w:val="562B6FE0"/>
    <w:rsid w:val="566C201F"/>
    <w:rsid w:val="5A5844E5"/>
    <w:rsid w:val="624A3FBB"/>
    <w:rsid w:val="643A4FAE"/>
    <w:rsid w:val="646619F8"/>
    <w:rsid w:val="64E82DF7"/>
    <w:rsid w:val="67C53F90"/>
    <w:rsid w:val="688659D7"/>
    <w:rsid w:val="6ADF7DE7"/>
    <w:rsid w:val="6BE453CA"/>
    <w:rsid w:val="6D417768"/>
    <w:rsid w:val="6FDC649C"/>
    <w:rsid w:val="748A7D5E"/>
    <w:rsid w:val="76DE234A"/>
    <w:rsid w:val="76DF7BED"/>
    <w:rsid w:val="776530D5"/>
    <w:rsid w:val="77B5098F"/>
    <w:rsid w:val="79912616"/>
    <w:rsid w:val="7B5F585C"/>
    <w:rsid w:val="7D0B129F"/>
    <w:rsid w:val="7F8C1B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rFonts w:ascii="Calibri" w:hAnsi="Calibri" w:eastAsia="仿宋_GB2312"/>
      <w:sz w:val="24"/>
    </w:rPr>
  </w:style>
  <w:style w:type="paragraph" w:styleId="5">
    <w:name w:val="Body Text"/>
    <w:basedOn w:val="1"/>
    <w:qFormat/>
    <w:uiPriority w:val="99"/>
    <w:pPr>
      <w:spacing w:beforeLines="30"/>
    </w:pPr>
    <w:rPr>
      <w:rFonts w:ascii="仿宋_GB2312" w:eastAsia="仿宋_GB2312"/>
      <w:kern w:val="0"/>
      <w:sz w:val="30"/>
    </w:rPr>
  </w:style>
  <w:style w:type="paragraph" w:styleId="6">
    <w:name w:val="Body Text Indent"/>
    <w:basedOn w:val="1"/>
    <w:next w:val="7"/>
    <w:qFormat/>
    <w:uiPriority w:val="0"/>
    <w:pPr>
      <w:spacing w:after="120"/>
      <w:ind w:leftChars="200"/>
    </w:pPr>
    <w:rPr>
      <w:rFonts w:ascii="仿宋_GB2312"/>
      <w:szCs w:val="32"/>
    </w:rPr>
  </w:style>
  <w:style w:type="paragraph" w:styleId="7">
    <w:name w:val="Body Text First Indent 2"/>
    <w:basedOn w:val="6"/>
    <w:next w:val="1"/>
    <w:unhideWhenUsed/>
    <w:qFormat/>
    <w:uiPriority w:val="99"/>
    <w:pPr>
      <w:ind w:firstLine="420" w:firstLineChars="200"/>
    </w:pPr>
  </w:style>
  <w:style w:type="paragraph" w:styleId="8">
    <w:name w:val="Plain Text"/>
    <w:basedOn w:val="1"/>
    <w:qFormat/>
    <w:uiPriority w:val="0"/>
    <w:rPr>
      <w:rFonts w:ascii="宋体" w:hAnsi="Courier New" w:eastAsia="宋体" w:cs="Courier New"/>
      <w:szCs w:val="21"/>
    </w:rPr>
  </w:style>
  <w:style w:type="paragraph" w:styleId="9">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footnote text"/>
    <w:basedOn w:val="1"/>
    <w:next w:val="7"/>
    <w:semiHidden/>
    <w:qFormat/>
    <w:uiPriority w:val="0"/>
    <w:pPr>
      <w:snapToGrid w:val="0"/>
      <w:jc w:val="left"/>
    </w:pPr>
    <w:rPr>
      <w:sz w:val="18"/>
      <w:szCs w:val="18"/>
    </w:rPr>
  </w:style>
  <w:style w:type="paragraph" w:styleId="13">
    <w:name w:val="toc 2"/>
    <w:basedOn w:val="1"/>
    <w:next w:val="1"/>
    <w:unhideWhenUsed/>
    <w:qFormat/>
    <w:uiPriority w:val="39"/>
    <w:pPr>
      <w:tabs>
        <w:tab w:val="right" w:leader="dot" w:pos="8296"/>
      </w:tabs>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qFormat/>
    <w:uiPriority w:val="0"/>
    <w:pPr>
      <w:spacing w:before="240" w:after="60"/>
      <w:jc w:val="center"/>
      <w:outlineLvl w:val="0"/>
    </w:pPr>
    <w:rPr>
      <w:rFonts w:ascii="Arial" w:hAnsi="Arial" w:cs="Arial"/>
      <w:b/>
      <w:bCs/>
      <w:sz w:val="32"/>
      <w:szCs w:val="32"/>
    </w:rPr>
  </w:style>
  <w:style w:type="character" w:styleId="18">
    <w:name w:val="Strong"/>
    <w:basedOn w:val="17"/>
    <w:qFormat/>
    <w:uiPriority w:val="99"/>
    <w:rPr>
      <w:b/>
    </w:rPr>
  </w:style>
  <w:style w:type="character" w:styleId="19">
    <w:name w:val="Emphasis"/>
    <w:basedOn w:val="17"/>
    <w:qFormat/>
    <w:uiPriority w:val="0"/>
    <w:rPr>
      <w:i/>
    </w:rPr>
  </w:style>
  <w:style w:type="character" w:styleId="20">
    <w:name w:val="Hyperlink"/>
    <w:basedOn w:val="17"/>
    <w:unhideWhenUsed/>
    <w:qFormat/>
    <w:uiPriority w:val="99"/>
    <w:rPr>
      <w:color w:val="0563C1" w:themeColor="hyperlink"/>
      <w:u w:val="single"/>
      <w14:textFill>
        <w14:solidFill>
          <w14:schemeClr w14:val="hlink"/>
        </w14:solidFill>
      </w14:textFill>
    </w:rPr>
  </w:style>
  <w:style w:type="character" w:customStyle="1" w:styleId="21">
    <w:name w:val="标题 1 Char"/>
    <w:basedOn w:val="17"/>
    <w:link w:val="2"/>
    <w:qFormat/>
    <w:uiPriority w:val="9"/>
    <w:rPr>
      <w:b/>
      <w:bCs/>
      <w:kern w:val="44"/>
      <w:sz w:val="44"/>
      <w:szCs w:val="44"/>
    </w:rPr>
  </w:style>
  <w:style w:type="character" w:customStyle="1" w:styleId="22">
    <w:name w:val="标题 2 Char"/>
    <w:basedOn w:val="17"/>
    <w:link w:val="3"/>
    <w:qFormat/>
    <w:uiPriority w:val="9"/>
    <w:rPr>
      <w:rFonts w:asciiTheme="majorHAnsi" w:hAnsiTheme="majorHAnsi" w:eastAsiaTheme="majorEastAsia" w:cstheme="majorBidi"/>
      <w:b/>
      <w:bCs/>
      <w:sz w:val="32"/>
      <w:szCs w:val="32"/>
    </w:rPr>
  </w:style>
  <w:style w:type="paragraph" w:styleId="23">
    <w:name w:val="List Paragraph"/>
    <w:basedOn w:val="1"/>
    <w:qFormat/>
    <w:uiPriority w:val="34"/>
    <w:pPr>
      <w:ind w:firstLine="420" w:firstLineChars="200"/>
    </w:pPr>
  </w:style>
  <w:style w:type="paragraph" w:customStyle="1" w:styleId="24">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25">
    <w:name w:val="四号正文"/>
    <w:basedOn w:val="1"/>
    <w:qFormat/>
    <w:uiPriority w:val="0"/>
    <w:pPr>
      <w:spacing w:line="360" w:lineRule="auto"/>
    </w:pPr>
    <w:rPr>
      <w:rFonts w:ascii="??" w:hAnsi="??" w:eastAsia="宋体"/>
      <w:color w:val="000000"/>
      <w:kern w:val="0"/>
      <w:sz w:val="28"/>
      <w:szCs w:val="21"/>
      <w:lang w:val="zh-CN" w:eastAsia="zh-CN"/>
    </w:rPr>
  </w:style>
  <w:style w:type="paragraph" w:styleId="26">
    <w:name w:val="Quote"/>
    <w:basedOn w:val="1"/>
    <w:next w:val="1"/>
    <w:qFormat/>
    <w:uiPriority w:val="29"/>
    <w:rPr>
      <w:i/>
      <w:iCs/>
      <w:color w:val="000000"/>
    </w:rPr>
  </w:style>
  <w:style w:type="character" w:customStyle="1" w:styleId="27">
    <w:name w:val="NormalCharacter"/>
    <w:link w:val="28"/>
    <w:qFormat/>
    <w:uiPriority w:val="0"/>
  </w:style>
  <w:style w:type="paragraph" w:customStyle="1" w:styleId="28">
    <w:name w:val="UserStyle_4"/>
    <w:basedOn w:val="29"/>
    <w:next w:val="29"/>
    <w:link w:val="27"/>
    <w:qFormat/>
    <w:uiPriority w:val="0"/>
    <w:pPr>
      <w:spacing w:line="240" w:lineRule="atLeast"/>
      <w:ind w:left="420" w:firstLine="420"/>
      <w:jc w:val="left"/>
    </w:pPr>
  </w:style>
  <w:style w:type="paragraph" w:customStyle="1" w:styleId="29">
    <w:name w:val="UserStyle_5"/>
    <w:qFormat/>
    <w:uiPriority w:val="0"/>
    <w:pPr>
      <w:jc w:val="both"/>
      <w:textAlignment w:val="baseline"/>
    </w:pPr>
    <w:rPr>
      <w:rFonts w:ascii="Calibri" w:hAnsi="Calibri" w:eastAsia="宋体" w:cs="黑体"/>
      <w:kern w:val="2"/>
      <w:sz w:val="21"/>
      <w:szCs w:val="24"/>
      <w:lang w:val="en-US" w:eastAsia="zh-CN" w:bidi="ar-SA"/>
    </w:rPr>
  </w:style>
  <w:style w:type="paragraph" w:customStyle="1" w:styleId="30">
    <w:name w:val="WPSOffice手动目录 1"/>
    <w:qFormat/>
    <w:uiPriority w:val="0"/>
    <w:pPr>
      <w:ind w:leftChars="0"/>
    </w:pPr>
    <w:rPr>
      <w:rFonts w:ascii="Times New Roman" w:hAnsi="Times New Roman" w:eastAsia="宋体" w:cs="Times New Roman"/>
      <w:sz w:val="20"/>
      <w:szCs w:val="20"/>
    </w:rPr>
  </w:style>
  <w:style w:type="paragraph" w:customStyle="1" w:styleId="31">
    <w:name w:val="WPSOffice手动目录 2"/>
    <w:qFormat/>
    <w:uiPriority w:val="0"/>
    <w:pPr>
      <w:ind w:leftChars="200"/>
    </w:pPr>
    <w:rPr>
      <w:rFonts w:ascii="Times New Roman" w:hAnsi="Times New Roman" w:eastAsia="宋体" w:cs="Times New Roman"/>
      <w:sz w:val="20"/>
      <w:szCs w:val="20"/>
    </w:rPr>
  </w:style>
  <w:style w:type="paragraph" w:styleId="32">
    <w:name w:val="No Spacing"/>
    <w:qFormat/>
    <w:uiPriority w:val="0"/>
    <w:pPr>
      <w:widowControl w:val="0"/>
      <w:spacing w:before="50" w:after="50" w:line="300" w:lineRule="exact"/>
      <w:jc w:val="center"/>
      <w:outlineLvl w:val="3"/>
    </w:pPr>
    <w:rPr>
      <w:rFonts w:ascii="Times New Roman" w:hAnsi="Times New Roman" w:eastAsia="黑体" w:cs="Times New Roman"/>
      <w:b/>
      <w:kern w:val="2"/>
      <w:sz w:val="24"/>
      <w:szCs w:val="22"/>
      <w:lang w:val="en-US" w:eastAsia="zh-CN" w:bidi="ar-SA"/>
    </w:rPr>
  </w:style>
  <w:style w:type="paragraph" w:customStyle="1" w:styleId="33">
    <w:name w:val="图表目录1"/>
    <w:basedOn w:val="1"/>
    <w:qFormat/>
    <w:uiPriority w:val="0"/>
    <w:pPr>
      <w:ind w:left="200" w:leftChars="200" w:hanging="200" w:hangingChars="200"/>
    </w:pPr>
    <w:rPr>
      <w:rFonts w:eastAsia="仿宋"/>
      <w:sz w:val="32"/>
      <w:szCs w:val="24"/>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13.emf"/><Relationship Id="rId36" Type="http://schemas.openxmlformats.org/officeDocument/2006/relationships/oleObject" Target="embeddings/oleObject12.bin"/><Relationship Id="rId35" Type="http://schemas.openxmlformats.org/officeDocument/2006/relationships/image" Target="media/image12.emf"/><Relationship Id="rId34" Type="http://schemas.openxmlformats.org/officeDocument/2006/relationships/oleObject" Target="embeddings/oleObject11.bin"/><Relationship Id="rId33" Type="http://schemas.openxmlformats.org/officeDocument/2006/relationships/image" Target="media/image11.emf"/><Relationship Id="rId32" Type="http://schemas.openxmlformats.org/officeDocument/2006/relationships/oleObject" Target="embeddings/oleObject10.bin"/><Relationship Id="rId31" Type="http://schemas.openxmlformats.org/officeDocument/2006/relationships/image" Target="media/image10.emf"/><Relationship Id="rId30" Type="http://schemas.openxmlformats.org/officeDocument/2006/relationships/oleObject" Target="embeddings/oleObject9.bin"/><Relationship Id="rId3" Type="http://schemas.openxmlformats.org/officeDocument/2006/relationships/header" Target="header1.xml"/><Relationship Id="rId29" Type="http://schemas.openxmlformats.org/officeDocument/2006/relationships/image" Target="media/image9.emf"/><Relationship Id="rId28" Type="http://schemas.openxmlformats.org/officeDocument/2006/relationships/oleObject" Target="embeddings/oleObject8.bin"/><Relationship Id="rId27" Type="http://schemas.openxmlformats.org/officeDocument/2006/relationships/image" Target="media/image8.emf"/><Relationship Id="rId26" Type="http://schemas.openxmlformats.org/officeDocument/2006/relationships/oleObject" Target="embeddings/oleObject7.bin"/><Relationship Id="rId25" Type="http://schemas.openxmlformats.org/officeDocument/2006/relationships/image" Target="media/image7.emf"/><Relationship Id="rId24" Type="http://schemas.openxmlformats.org/officeDocument/2006/relationships/oleObject" Target="embeddings/oleObject6.bin"/><Relationship Id="rId23" Type="http://schemas.openxmlformats.org/officeDocument/2006/relationships/image" Target="media/image6.emf"/><Relationship Id="rId22" Type="http://schemas.openxmlformats.org/officeDocument/2006/relationships/oleObject" Target="embeddings/oleObject5.bin"/><Relationship Id="rId21" Type="http://schemas.openxmlformats.org/officeDocument/2006/relationships/image" Target="media/image5.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3.bin"/><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jpeg"/><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1.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7.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收、支决算总计变动情况图（万元）</a:t>
            </a:r>
          </a:p>
        </c:rich>
      </c:tx>
      <c:layout/>
      <c:overlay val="0"/>
      <c:spPr>
        <a:noFill/>
        <a:ln>
          <a:noFill/>
        </a:ln>
        <a:effectLst/>
      </c:spPr>
    </c:title>
    <c:autoTitleDeleted val="0"/>
    <c:plotArea>
      <c:layout>
        <c:manualLayout>
          <c:layoutTarget val="inner"/>
          <c:xMode val="edge"/>
          <c:yMode val="edge"/>
          <c:x val="0.0870500120802126"/>
          <c:y val="0.159796005099872"/>
          <c:w val="0.886373520173955"/>
          <c:h val="0.735741606459839"/>
        </c:manualLayout>
      </c:layout>
      <c:barChart>
        <c:barDir val="col"/>
        <c:grouping val="clustered"/>
        <c:varyColors val="0"/>
        <c:ser>
          <c:idx val="0"/>
          <c:order val="0"/>
          <c:tx>
            <c:strRef>
              <c:f>Sheet1!$B$1</c:f>
              <c:strCache>
                <c:ptCount val="1"/>
                <c:pt idx="0">
                  <c:v>2022年</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总收入</c:v>
                </c:pt>
                <c:pt idx="1">
                  <c:v>总支出</c:v>
                </c:pt>
              </c:strCache>
            </c:strRef>
          </c:cat>
          <c:val>
            <c:numRef>
              <c:f>Sheet1!$B$2:$B$3</c:f>
              <c:numCache>
                <c:formatCode>General</c:formatCode>
                <c:ptCount val="2"/>
                <c:pt idx="0">
                  <c:v>6742.11</c:v>
                </c:pt>
                <c:pt idx="1">
                  <c:v>6742.11</c:v>
                </c:pt>
              </c:numCache>
            </c:numRef>
          </c:val>
        </c:ser>
        <c:ser>
          <c:idx val="1"/>
          <c:order val="1"/>
          <c:tx>
            <c:strRef>
              <c:f>Sheet1!$C$1</c:f>
              <c:strCache>
                <c:ptCount val="1"/>
                <c:pt idx="0">
                  <c:v>2023年</c:v>
                </c:pt>
              </c:strCache>
            </c:strRef>
          </c:tx>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总收入</c:v>
                </c:pt>
                <c:pt idx="1">
                  <c:v>总支出</c:v>
                </c:pt>
              </c:strCache>
            </c:strRef>
          </c:cat>
          <c:val>
            <c:numRef>
              <c:f>Sheet1!$C$2:$C$3</c:f>
              <c:numCache>
                <c:formatCode>General</c:formatCode>
                <c:ptCount val="2"/>
                <c:pt idx="0">
                  <c:v>5478.24</c:v>
                </c:pt>
                <c:pt idx="1">
                  <c:v>5478.24</c:v>
                </c:pt>
              </c:numCache>
            </c:numRef>
          </c:val>
        </c:ser>
        <c:ser>
          <c:idx val="2"/>
          <c:order val="2"/>
          <c:tx>
            <c:strRef>
              <c:f>Sheet1!#REF!</c:f>
              <c:strCache>
                <c:ptCount val="1"/>
                <c:pt idx="0">
                  <c:v/>
                </c:pt>
              </c:strCache>
            </c:strRef>
          </c:tx>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a:outerShdw blurRad="76200" dist="25400" dir="2700000" algn="tl" rotWithShape="0">
                <a:schemeClr val="accent3">
                  <a:lumMod val="50000"/>
                  <a:alpha val="30000"/>
                </a:schemeClr>
              </a:outerShdw>
            </a:effectLst>
          </c:spPr>
          <c:invertIfNegative val="0"/>
          <c:dLbls>
            <c:delete val="1"/>
          </c:dLbls>
          <c:cat>
            <c:strRef>
              <c:f>Sheet1!$A$2:$A$3</c:f>
              <c:strCache>
                <c:ptCount val="2"/>
                <c:pt idx="0">
                  <c:v>总收入</c:v>
                </c:pt>
                <c:pt idx="1">
                  <c:v>总支出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gapWidth val="246"/>
        <c:overlap val="-28"/>
        <c:axId val="330334769"/>
        <c:axId val="680092138"/>
      </c:barChart>
      <c:catAx>
        <c:axId val="33033476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0092138"/>
        <c:crosses val="autoZero"/>
        <c:auto val="1"/>
        <c:lblAlgn val="ctr"/>
        <c:lblOffset val="100"/>
        <c:noMultiLvlLbl val="0"/>
      </c:catAx>
      <c:valAx>
        <c:axId val="680092138"/>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0334769"/>
        <c:crosses val="autoZero"/>
        <c:crossBetween val="between"/>
      </c:valAx>
      <c:spPr>
        <a:noFill/>
        <a:ln>
          <a:noFill/>
        </a:ln>
        <a:effectLst/>
      </c:spPr>
    </c:plotArea>
    <c:legend>
      <c:legendPos val="r"/>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35fdb58-c13b-463f-a8a6-4a26b3987e4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t>收入决算结构图</a:t>
            </a:r>
          </a:p>
        </c:rich>
      </c:tx>
      <c:layout>
        <c:manualLayout>
          <c:xMode val="edge"/>
          <c:yMode val="edge"/>
          <c:x val="0.374377353905965"/>
          <c:y val="0.0345067160722557"/>
        </c:manualLayout>
      </c:layout>
      <c:overlay val="0"/>
      <c:spPr>
        <a:noFill/>
        <a:ln>
          <a:noFill/>
        </a:ln>
        <a:effectLst/>
      </c:spPr>
    </c:title>
    <c:autoTitleDeleted val="0"/>
    <c:plotArea>
      <c:layout>
        <c:manualLayout>
          <c:layoutTarget val="inner"/>
          <c:xMode val="edge"/>
          <c:yMode val="edge"/>
          <c:x val="0.13005710120277"/>
          <c:y val="0.220472440944882"/>
          <c:w val="0.405297047746325"/>
          <c:h val="0.772579898100973"/>
        </c:manualLayout>
      </c:layout>
      <c:pieChart>
        <c:varyColors val="1"/>
        <c:ser>
          <c:idx val="0"/>
          <c:order val="0"/>
          <c:tx>
            <c:strRef>
              <c:f>Sheet1!$B$1</c:f>
              <c:strCache>
                <c:ptCount val="1"/>
                <c:pt idx="0">
                  <c:v>收入</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42.94</a:t>
                    </a:r>
                    <a:r>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57.06</a:t>
                    </a:r>
                    <a:r>
                      <a:t>%</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Sheet1!$A$2:$A$3</c:f>
              <c:strCache>
                <c:ptCount val="2"/>
                <c:pt idx="0">
                  <c:v>一般公共预算财政拨款收入2352.17万元</c:v>
                </c:pt>
                <c:pt idx="1">
                  <c:v>政府性基金预算财政拨款收入3126.07万元</c:v>
                </c:pt>
              </c:strCache>
            </c:strRef>
          </c:cat>
          <c:val>
            <c:numRef>
              <c:f>Sheet1!$B$2:$B$3</c:f>
              <c:numCache>
                <c:formatCode>#,##0.00</c:formatCode>
                <c:ptCount val="2"/>
                <c:pt idx="0">
                  <c:v>2352.17</c:v>
                </c:pt>
                <c:pt idx="1" c:formatCode="General">
                  <c:v>3126.07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extLst>
      <c:ext uri="{0b15fc19-7d7d-44ad-8c2d-2c3a37ce22c3}">
        <chartProps xmlns="https://web.wps.cn/et/2018/main" chartId="{73d35694-7ab1-4630-897b-fd3a7247ce2c}"/>
      </c:ext>
    </c:extLst>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支出决算结构图</a:t>
            </a:r>
          </a:p>
        </c:rich>
      </c:tx>
      <c:layout>
        <c:manualLayout>
          <c:xMode val="edge"/>
          <c:yMode val="edge"/>
          <c:x val="0.374377353905965"/>
          <c:y val="0.0321908290875406"/>
        </c:manualLayout>
      </c:layout>
      <c:overlay val="0"/>
      <c:spPr>
        <a:noFill/>
        <a:ln>
          <a:noFill/>
        </a:ln>
        <a:effectLst/>
      </c:spPr>
    </c:title>
    <c:autoTitleDeleted val="0"/>
    <c:plotArea>
      <c:layout>
        <c:manualLayout>
          <c:layoutTarget val="inner"/>
          <c:xMode val="edge"/>
          <c:yMode val="edge"/>
          <c:x val="0.131272020410643"/>
          <c:y val="0.220472440944881"/>
          <c:w val="0.405297047746325"/>
          <c:h val="0.772579898100973"/>
        </c:manualLayout>
      </c:layout>
      <c:pieChart>
        <c:varyColors val="1"/>
        <c:ser>
          <c:idx val="0"/>
          <c:order val="0"/>
          <c:tx>
            <c:strRef>
              <c:f>Sheet1!$B$1</c:f>
              <c:strCache>
                <c:ptCount val="1"/>
                <c:pt idx="0">
                  <c:v>销售额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manualLayout>
                  <c:x val="-0.0365899943466905"/>
                  <c:y val="0.197596963138547"/>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15.98</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84.02</a:t>
                    </a:r>
                    <a:r>
                      <a:t>%</a:t>
                    </a:r>
                  </a:p>
                </c:rich>
              </c:tx>
              <c:dLblPos val="ct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基本支出1093.64万元</c:v>
                </c:pt>
                <c:pt idx="1">
                  <c:v>项目支出5750.18万元</c:v>
                </c:pt>
              </c:strCache>
            </c:strRef>
          </c:cat>
          <c:val>
            <c:numRef>
              <c:f>Sheet1!$B$2:$B$3</c:f>
              <c:numCache>
                <c:formatCode>#,##0.00</c:formatCode>
                <c:ptCount val="2"/>
                <c:pt idx="0">
                  <c:v>1093.64</c:v>
                </c:pt>
                <c:pt idx="1">
                  <c:v>5750.18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66626169359738"/>
          <c:y val="0.14532190829087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dc2570b-f5f3-496c-9673-5d62c3c9495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财政拨款收、支决算总计变动情况（万元）</a:t>
            </a:r>
          </a:p>
        </c:rich>
      </c:tx>
      <c:layout/>
      <c:overlay val="0"/>
      <c:spPr>
        <a:noFill/>
        <a:ln>
          <a:noFill/>
        </a:ln>
        <a:effectLst/>
      </c:spPr>
    </c:title>
    <c:autoTitleDeleted val="0"/>
    <c:plotArea>
      <c:layout>
        <c:manualLayout>
          <c:layoutTarget val="inner"/>
          <c:xMode val="edge"/>
          <c:yMode val="edge"/>
          <c:x val="0.0208987678183136"/>
          <c:y val="0.219294517637059"/>
          <c:w val="0.946847064508335"/>
          <c:h val="0.63905652358691"/>
        </c:manualLayout>
      </c:layout>
      <c:barChart>
        <c:barDir val="col"/>
        <c:grouping val="clustered"/>
        <c:varyColors val="0"/>
        <c:ser>
          <c:idx val="0"/>
          <c:order val="0"/>
          <c:tx>
            <c:strRef>
              <c:f>Sheet1!$B$1</c:f>
              <c:strCache>
                <c:ptCount val="1"/>
                <c:pt idx="0">
                  <c:v>2022</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财政拨款收入</c:v>
                </c:pt>
                <c:pt idx="1">
                  <c:v>财政拨款支出</c:v>
                </c:pt>
              </c:strCache>
            </c:strRef>
          </c:cat>
          <c:val>
            <c:numRef>
              <c:f>Sheet1!$B$2:$B$3</c:f>
              <c:numCache>
                <c:formatCode>#,##0.00</c:formatCode>
                <c:ptCount val="2"/>
                <c:pt idx="0">
                  <c:v>6742.11</c:v>
                </c:pt>
                <c:pt idx="1">
                  <c:v>11039.18</c:v>
                </c:pt>
              </c:numCache>
            </c:numRef>
          </c:val>
        </c:ser>
        <c:ser>
          <c:idx val="1"/>
          <c:order val="1"/>
          <c:tx>
            <c:strRef>
              <c:f>Sheet1!$C$1</c:f>
              <c:strCache>
                <c:ptCount val="1"/>
                <c:pt idx="0">
                  <c:v>2023</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财政拨款收入</c:v>
                </c:pt>
                <c:pt idx="1">
                  <c:v>财政拨款支出</c:v>
                </c:pt>
              </c:strCache>
            </c:strRef>
          </c:cat>
          <c:val>
            <c:numRef>
              <c:f>Sheet1!$C$2:$C$3</c:f>
              <c:numCache>
                <c:formatCode>General</c:formatCode>
                <c:ptCount val="2"/>
                <c:pt idx="0">
                  <c:v>5748.24</c:v>
                </c:pt>
                <c:pt idx="1">
                  <c:v>6843.83</c:v>
                </c:pt>
              </c:numCache>
            </c:numRef>
          </c:val>
        </c:ser>
        <c:dLbls>
          <c:showLegendKey val="0"/>
          <c:showVal val="1"/>
          <c:showCatName val="0"/>
          <c:showSerName val="0"/>
          <c:showPercent val="0"/>
          <c:showBubbleSize val="0"/>
        </c:dLbls>
        <c:gapWidth val="150"/>
        <c:overlap val="-25"/>
        <c:axId val="790328396"/>
        <c:axId val="919084943"/>
      </c:barChart>
      <c:catAx>
        <c:axId val="7903283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9084943"/>
        <c:crosses val="autoZero"/>
        <c:auto val="1"/>
        <c:lblAlgn val="ctr"/>
        <c:lblOffset val="100"/>
        <c:noMultiLvlLbl val="0"/>
      </c:catAx>
      <c:valAx>
        <c:axId val="919084943"/>
        <c:scaling>
          <c:orientation val="minMax"/>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0328396"/>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8d3944b-afa0-4239-b529-07d95124b81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bg1"/>
                </a:solidFill>
                <a:latin typeface="+mn-lt"/>
                <a:ea typeface="+mn-ea"/>
                <a:cs typeface="+mn-cs"/>
              </a:defRPr>
            </a:pPr>
            <a:r>
              <a:t>一般公共预算财政拨款支出决算变动情况</a:t>
            </a:r>
          </a:p>
        </c:rich>
      </c:tx>
      <c:layout>
        <c:manualLayout>
          <c:xMode val="edge"/>
          <c:yMode val="edge"/>
          <c:x val="0.185504452123522"/>
          <c:y val="0.0489208690400159"/>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总支出</c:v>
                </c:pt>
              </c:strCache>
            </c:strRef>
          </c:tx>
          <c:spPr>
            <a:gradFill>
              <a:gsLst>
                <a:gs pos="0">
                  <a:schemeClr val="accent1">
                    <a:lumMod val="60000"/>
                    <a:lumOff val="40000"/>
                  </a:schemeClr>
                </a:gs>
                <a:gs pos="50000">
                  <a:schemeClr val="accent1"/>
                </a:gs>
              </a:gsLst>
              <a:lin ang="2700000"/>
            </a:gradFill>
            <a:ln>
              <a:noFill/>
            </a:ln>
            <a:effectLst>
              <a:outerShdw blurRad="50800" dist="38100" dir="2700000" algn="tl" rotWithShape="0">
                <a:prstClr val="black">
                  <a:alpha val="70000"/>
                </a:prst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lumMod val="7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2023</c:v>
                </c:pt>
                <c:pt idx="1">
                  <c:v>2022</c:v>
                </c:pt>
              </c:numCache>
            </c:numRef>
          </c:cat>
          <c:val>
            <c:numRef>
              <c:f>Sheet1!$B$2:$B$3</c:f>
              <c:numCache>
                <c:formatCode>General</c:formatCode>
                <c:ptCount val="2"/>
                <c:pt idx="0">
                  <c:v>6843.83</c:v>
                </c:pt>
                <c:pt idx="1">
                  <c:v>11039.18</c:v>
                </c:pt>
              </c:numCache>
            </c:numRef>
          </c:val>
        </c:ser>
        <c:ser>
          <c:idx val="1"/>
          <c:order val="1"/>
          <c:tx>
            <c:strRef>
              <c:f>Sheet1!$C$1</c:f>
              <c:strCache>
                <c:ptCount val="1"/>
                <c:pt idx="0">
                  <c:v>一般公共预算支出</c:v>
                </c:pt>
              </c:strCache>
            </c:strRef>
          </c:tx>
          <c:spPr>
            <a:solidFill>
              <a:srgbClr val="5B9BD5"/>
            </a:solidFill>
            <a:ln>
              <a:noFill/>
            </a:ln>
            <a:effectLst>
              <a:outerShdw blurRad="50800" dist="38100" dir="2700000" algn="tl" rotWithShape="0">
                <a:prstClr val="black">
                  <a:alpha val="70000"/>
                </a:prst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lumMod val="7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2023</c:v>
                </c:pt>
                <c:pt idx="1">
                  <c:v>2022</c:v>
                </c:pt>
              </c:numCache>
            </c:numRef>
          </c:cat>
          <c:val>
            <c:numRef>
              <c:f>Sheet1!$C$2:$C$3</c:f>
              <c:numCache>
                <c:formatCode>General</c:formatCode>
                <c:ptCount val="2"/>
                <c:pt idx="0">
                  <c:v>3490.66</c:v>
                </c:pt>
                <c:pt idx="1">
                  <c:v>10110.12</c:v>
                </c:pt>
              </c:numCache>
            </c:numRef>
          </c:val>
        </c:ser>
        <c:dLbls>
          <c:showLegendKey val="0"/>
          <c:showVal val="1"/>
          <c:showCatName val="0"/>
          <c:showSerName val="0"/>
          <c:showPercent val="0"/>
          <c:showBubbleSize val="0"/>
        </c:dLbls>
        <c:gapWidth val="219"/>
        <c:overlap val="-27"/>
        <c:axId val="29819914"/>
        <c:axId val="809134686"/>
      </c:barChart>
      <c:catAx>
        <c:axId val="29819914"/>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bg1">
                    <a:lumMod val="75000"/>
                  </a:schemeClr>
                </a:solidFill>
                <a:latin typeface="+mn-lt"/>
                <a:ea typeface="+mn-ea"/>
                <a:cs typeface="+mn-cs"/>
              </a:defRPr>
            </a:pPr>
          </a:p>
        </c:txPr>
        <c:crossAx val="809134686"/>
        <c:crosses val="autoZero"/>
        <c:auto val="1"/>
        <c:lblAlgn val="ctr"/>
        <c:lblOffset val="100"/>
        <c:noMultiLvlLbl val="0"/>
      </c:catAx>
      <c:valAx>
        <c:axId val="809134686"/>
        <c:scaling>
          <c:orientation val="minMax"/>
        </c:scaling>
        <c:delete val="0"/>
        <c:axPos val="l"/>
        <c:majorGridlines>
          <c:spPr>
            <a:ln w="9525" cap="flat" cmpd="sng" algn="ctr">
              <a:solidFill>
                <a:schemeClr val="tx1">
                  <a:lumMod val="50000"/>
                  <a:lumOff val="50000"/>
                  <a:alpha val="40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bg1">
                    <a:lumMod val="75000"/>
                  </a:schemeClr>
                </a:solidFill>
                <a:latin typeface="+mn-lt"/>
                <a:ea typeface="+mn-ea"/>
                <a:cs typeface="+mn-cs"/>
              </a:defRPr>
            </a:pPr>
          </a:p>
        </c:txPr>
        <c:crossAx val="2981991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bg1">
                  <a:lumMod val="75000"/>
                </a:schemeClr>
              </a:solidFill>
              <a:latin typeface="+mn-lt"/>
              <a:ea typeface="+mn-ea"/>
              <a:cs typeface="+mn-cs"/>
            </a:defRPr>
          </a:pPr>
        </a:p>
      </c:txPr>
    </c:legend>
    <c:plotVisOnly val="1"/>
    <c:dispBlanksAs val="gap"/>
    <c:showDLblsOverMax val="0"/>
    <c:extLst>
      <c:ext uri="{0b15fc19-7d7d-44ad-8c2d-2c3a37ce22c3}">
        <chartProps xmlns="https://web.wps.cn/et/2018/main" chartId="{31778088-31db-47e3-a8a7-c701b24f62a2}"/>
      </c:ext>
    </c:extLst>
  </c:chart>
  <c:spPr>
    <a:gradFill>
      <a:gsLst>
        <a:gs pos="0">
          <a:schemeClr val="dk1">
            <a:lumMod val="65000"/>
            <a:lumOff val="35000"/>
          </a:schemeClr>
        </a:gs>
        <a:gs pos="100000">
          <a:schemeClr val="dk1">
            <a:lumMod val="85000"/>
            <a:lumOff val="15000"/>
          </a:schemeClr>
        </a:gs>
      </a:gsLst>
      <a:path path="circle">
        <a:fillToRect l="50000" t="50000" r="50000" b="50000"/>
      </a:path>
      <a:tileRect/>
    </a:gradFill>
    <a:ln w="9525" cap="flat" cmpd="sng" algn="ctr">
      <a:solidFill>
        <a:schemeClr val="bg1">
          <a:lumMod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bg1"/>
                </a:solidFill>
                <a:latin typeface="+mn-lt"/>
                <a:ea typeface="+mn-ea"/>
                <a:cs typeface="+mn-cs"/>
              </a:defRPr>
            </a:pPr>
            <a:r>
              <a:t>一般公共预算财政拨款支出决算结构</a:t>
            </a:r>
          </a:p>
        </c:rich>
      </c:tx>
      <c:layout/>
      <c:overlay val="0"/>
      <c:spPr>
        <a:noFill/>
        <a:ln>
          <a:noFill/>
        </a:ln>
        <a:effectLst/>
      </c:spPr>
    </c:title>
    <c:autoTitleDeleted val="0"/>
    <c:plotArea>
      <c:layout/>
      <c:pieChart>
        <c:varyColors val="1"/>
        <c:ser>
          <c:idx val="0"/>
          <c:order val="0"/>
          <c:tx>
            <c:strRef>
              <c:f>Sheet1!$B$1</c:f>
              <c:strCache>
                <c:ptCount val="1"/>
                <c:pt idx="0">
                  <c:v>一般公共预算财政拨款支出决算结构</c:v>
                </c:pt>
              </c:strCache>
            </c:strRef>
          </c:tx>
          <c:spPr>
            <a:ln w="22225" cmpd="sng">
              <a:solidFill>
                <a:schemeClr val="bg1"/>
              </a:solidFill>
              <a:prstDash val="solid"/>
            </a:ln>
            <a:effectLst>
              <a:outerShdw blurRad="50800" dist="38100" dir="2700000" algn="tl" rotWithShape="0">
                <a:prstClr val="black">
                  <a:alpha val="40000"/>
                </a:prstClr>
              </a:outerShdw>
            </a:effectLst>
            <a:sp3d contourW="22225"/>
          </c:spPr>
          <c:explosion val="0"/>
          <c:dPt>
            <c:idx val="0"/>
            <c:bubble3D val="0"/>
            <c:explosion val="5"/>
            <c:spPr>
              <a:gradFill>
                <a:gsLst>
                  <a:gs pos="0">
                    <a:schemeClr val="accent1">
                      <a:lumMod val="60000"/>
                      <a:lumOff val="40000"/>
                    </a:schemeClr>
                  </a:gs>
                  <a:gs pos="50000">
                    <a:schemeClr val="accent1"/>
                  </a:gs>
                </a:gsLst>
                <a:lin ang="2700000" scaled="0"/>
              </a:gradFill>
              <a:ln w="22225" cmpd="sng">
                <a:solidFill>
                  <a:schemeClr val="bg1"/>
                </a:solidFill>
                <a:prstDash val="solid"/>
              </a:ln>
              <a:effectLst>
                <a:outerShdw blurRad="50800" dist="38100" dir="2700000" algn="tl" rotWithShape="0">
                  <a:prstClr val="black">
                    <a:alpha val="40000"/>
                  </a:prstClr>
                </a:outerShdw>
              </a:effectLst>
              <a:sp3d contourW="22225"/>
            </c:spPr>
          </c:dPt>
          <c:dPt>
            <c:idx val="1"/>
            <c:bubble3D val="0"/>
            <c:explosion val="5"/>
            <c:spPr>
              <a:gradFill>
                <a:gsLst>
                  <a:gs pos="0">
                    <a:schemeClr val="accent2">
                      <a:lumMod val="60000"/>
                      <a:lumOff val="40000"/>
                    </a:schemeClr>
                  </a:gs>
                  <a:gs pos="60000">
                    <a:schemeClr val="accent2"/>
                  </a:gs>
                </a:gsLst>
                <a:lin ang="2700000" scaled="0"/>
              </a:gradFill>
              <a:ln w="22225" cmpd="sng">
                <a:solidFill>
                  <a:schemeClr val="bg1"/>
                </a:solidFill>
                <a:prstDash val="solid"/>
              </a:ln>
              <a:effectLst>
                <a:outerShdw blurRad="50800" dist="38100" dir="2700000" algn="tl" rotWithShape="0">
                  <a:prstClr val="black">
                    <a:alpha val="40000"/>
                  </a:prstClr>
                </a:outerShdw>
              </a:effectLst>
              <a:sp3d contourW="22225"/>
            </c:spPr>
          </c:dPt>
          <c:dPt>
            <c:idx val="2"/>
            <c:bubble3D val="0"/>
            <c:explosion val="5"/>
            <c:spPr>
              <a:gradFill>
                <a:gsLst>
                  <a:gs pos="0">
                    <a:schemeClr val="accent6">
                      <a:lumMod val="60000"/>
                      <a:lumOff val="40000"/>
                    </a:schemeClr>
                  </a:gs>
                  <a:gs pos="60000">
                    <a:schemeClr val="accent6"/>
                  </a:gs>
                </a:gsLst>
                <a:lin ang="2700000" scaled="0"/>
              </a:gradFill>
              <a:ln w="22225" cmpd="sng">
                <a:solidFill>
                  <a:schemeClr val="bg1"/>
                </a:solidFill>
                <a:prstDash val="solid"/>
              </a:ln>
              <a:effectLst>
                <a:outerShdw blurRad="50800" dist="38100" dir="2700000" algn="tl" rotWithShape="0">
                  <a:prstClr val="black">
                    <a:alpha val="40000"/>
                  </a:prstClr>
                </a:outerShdw>
              </a:effectLst>
              <a:sp3d contourW="22225"/>
            </c:spPr>
          </c:dPt>
          <c:dPt>
            <c:idx val="3"/>
            <c:bubble3D val="0"/>
            <c:explosion val="5"/>
            <c:spPr>
              <a:gradFill>
                <a:gsLst>
                  <a:gs pos="0">
                    <a:schemeClr val="accent5">
                      <a:lumMod val="60000"/>
                      <a:lumOff val="40000"/>
                    </a:schemeClr>
                  </a:gs>
                  <a:gs pos="60000">
                    <a:schemeClr val="accent5"/>
                  </a:gs>
                </a:gsLst>
                <a:lin ang="2700000" scaled="0"/>
              </a:gradFill>
              <a:ln w="22225" cmpd="sng">
                <a:solidFill>
                  <a:schemeClr val="bg1"/>
                </a:solidFill>
                <a:prstDash val="solid"/>
              </a:ln>
              <a:effectLst>
                <a:outerShdw blurRad="50800" dist="38100" dir="2700000" algn="tl" rotWithShape="0">
                  <a:prstClr val="black">
                    <a:alpha val="40000"/>
                  </a:prstClr>
                </a:outerShdw>
              </a:effectLst>
              <a:sp3d contourW="22225"/>
            </c:spPr>
          </c:dPt>
          <c:dPt>
            <c:idx val="4"/>
            <c:bubble3D val="0"/>
            <c:spPr>
              <a:solidFill>
                <a:schemeClr val="accent5"/>
              </a:solidFill>
              <a:ln w="22225" cmpd="sng">
                <a:solidFill>
                  <a:schemeClr val="bg1"/>
                </a:solidFill>
                <a:prstDash val="solid"/>
              </a:ln>
              <a:effectLst>
                <a:outerShdw blurRad="50800" dist="38100" dir="2700000" algn="tl" rotWithShape="0">
                  <a:prstClr val="black">
                    <a:alpha val="40000"/>
                  </a:prstClr>
                </a:outerShdw>
              </a:effectLst>
              <a:sp3d contourW="22225"/>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effectLst>
                      <a:outerShdw blurRad="50800" dist="38100" dir="2700000" algn="tl" rotWithShape="0">
                        <a:prstClr val="black">
                          <a:alpha val="40000"/>
                        </a:prstClr>
                      </a:outerShdw>
                    </a:effectLst>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社会保障和就业支出3363.08万元</c:v>
                </c:pt>
                <c:pt idx="1">
                  <c:v>城乡社区支出157.08万元</c:v>
                </c:pt>
                <c:pt idx="2">
                  <c:v>卫生健康支出35.88万元</c:v>
                </c:pt>
                <c:pt idx="3">
                  <c:v>农林水支出支出3220.63万元</c:v>
                </c:pt>
                <c:pt idx="4">
                  <c:v>住房保障支出67.16万元</c:v>
                </c:pt>
              </c:strCache>
            </c:strRef>
          </c:cat>
          <c:val>
            <c:numRef>
              <c:f>Sheet1!$B$2:$B$6</c:f>
              <c:numCache>
                <c:formatCode>General</c:formatCode>
                <c:ptCount val="5"/>
                <c:pt idx="0">
                  <c:v>3363.08</c:v>
                </c:pt>
                <c:pt idx="1">
                  <c:v>157.08</c:v>
                </c:pt>
                <c:pt idx="2">
                  <c:v>35.88</c:v>
                </c:pt>
                <c:pt idx="3">
                  <c:v>3220.63</c:v>
                </c:pt>
                <c:pt idx="4">
                  <c:v>67.16</c:v>
                </c:pt>
              </c:numCache>
            </c:numRef>
          </c:val>
        </c:ser>
        <c:dLbls>
          <c:showLegendKey val="0"/>
          <c:showVal val="1"/>
          <c:showCatName val="0"/>
          <c:showSerName val="0"/>
          <c:showPercent val="0"/>
          <c:showBubbleSize val="0"/>
          <c:showLeaderLines val="1"/>
        </c:dLbls>
        <c:firstSliceAng val="285"/>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bg1">
                  <a:lumMod val="75000"/>
                </a:schemeClr>
              </a:solidFill>
              <a:latin typeface="+mn-lt"/>
              <a:ea typeface="+mn-ea"/>
              <a:cs typeface="+mn-cs"/>
            </a:defRPr>
          </a:pPr>
        </a:p>
      </c:txPr>
    </c:legend>
    <c:plotVisOnly val="1"/>
    <c:dispBlanksAs val="gap"/>
    <c:showDLblsOverMax val="0"/>
    <c:extLst>
      <c:ext uri="{0b15fc19-7d7d-44ad-8c2d-2c3a37ce22c3}">
        <chartProps xmlns="https://web.wps.cn/et/2018/main" chartId="{7de159f3-2542-4dcc-a145-29a37dff87ac}"/>
      </c:ext>
    </c:extLst>
  </c:chart>
  <c:spPr>
    <a:gradFill>
      <a:gsLst>
        <a:gs pos="0">
          <a:schemeClr val="dk1">
            <a:lumMod val="65000"/>
            <a:lumOff val="35000"/>
          </a:schemeClr>
        </a:gs>
        <a:gs pos="100000">
          <a:schemeClr val="dk1">
            <a:lumMod val="85000"/>
            <a:lumOff val="15000"/>
          </a:schemeClr>
        </a:gs>
      </a:gsLst>
      <a:path path="circle">
        <a:fillToRect l="50000" t="50000" r="50000" b="50000"/>
      </a:path>
      <a:tileRect/>
    </a:gradFill>
    <a:ln w="9525" cap="flat" cmpd="sng" algn="ctr">
      <a:solidFill>
        <a:schemeClr val="bg1">
          <a:lumMod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“三公”经费财政拨款支出结构</c:v>
                </c:pt>
              </c:strCache>
            </c:strRef>
          </c:tx>
          <c:spPr/>
          <c:explosion val="0"/>
          <c:dPt>
            <c:idx val="0"/>
            <c:bubble3D val="0"/>
            <c:spPr>
              <a:solidFill>
                <a:schemeClr val="accent2"/>
              </a:solidFill>
              <a:ln>
                <a:noFill/>
              </a:ln>
              <a:effectLst>
                <a:outerShdw blurRad="254000" sx="102000" sy="102000" algn="ctr" rotWithShape="0">
                  <a:prstClr val="black">
                    <a:alpha val="20000"/>
                  </a:prstClr>
                </a:outerShdw>
              </a:effectLst>
            </c:spPr>
          </c:dPt>
          <c:dPt>
            <c:idx val="1"/>
            <c:bubble3D val="0"/>
            <c:spPr>
              <a:solidFill>
                <a:schemeClr val="accent4"/>
              </a:solidFill>
              <a:ln>
                <a:noFill/>
              </a:ln>
              <a:effectLst>
                <a:outerShdw blurRad="254000" sx="102000" sy="102000" algn="ctr" rotWithShape="0">
                  <a:prstClr val="black">
                    <a:alpha val="20000"/>
                  </a:prstClr>
                </a:outerShdw>
              </a:effectLst>
            </c:spPr>
          </c:dPt>
          <c:dPt>
            <c:idx val="2"/>
            <c:bubble3D val="0"/>
            <c:spPr>
              <a:solidFill>
                <a:schemeClr val="accent6"/>
              </a:solidFill>
              <a:ln>
                <a:noFill/>
              </a:ln>
              <a:effectLst>
                <a:outerShdw blurRad="254000" sx="102000" sy="102000" algn="ctr" rotWithShape="0">
                  <a:prstClr val="black">
                    <a:alpha val="20000"/>
                  </a:prstClr>
                </a:outerShdw>
              </a:effectLst>
            </c:spPr>
          </c:dPt>
          <c:dLbls>
            <c:dLbl>
              <c:idx val="2"/>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5.37</a:t>
                    </a:r>
                    <a:r>
                      <a:t>万元, 100%</a:t>
                    </a:r>
                  </a:p>
                </c:rich>
              </c:tx>
              <c:dLblPos val="ctr"/>
              <c:showLegendKey val="0"/>
              <c:showVal val="1"/>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Sheet1!$A$2:$A$4</c:f>
              <c:strCache>
                <c:ptCount val="3"/>
                <c:pt idx="0">
                  <c:v>因公出国（境）费支出0万元</c:v>
                </c:pt>
                <c:pt idx="1">
                  <c:v>公务用车购置及运行维护费支出0万元</c:v>
                </c:pt>
                <c:pt idx="2">
                  <c:v>公务接待费支出5.37万元</c:v>
                </c:pt>
              </c:strCache>
            </c:strRef>
          </c:cat>
          <c:val>
            <c:numRef>
              <c:f>Sheet1!$B$2:$B$4</c:f>
              <c:numCache>
                <c:formatCode>General</c:formatCode>
                <c:ptCount val="3"/>
                <c:pt idx="0">
                  <c:v>0</c:v>
                </c:pt>
                <c:pt idx="1">
                  <c:v>0</c:v>
                </c:pt>
                <c:pt idx="2">
                  <c:v>5.37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extLst>
      <c:ext uri="{0b15fc19-7d7d-44ad-8c2d-2c3a37ce22c3}">
        <chartProps xmlns="https://web.wps.cn/et/2018/main" chartId="{4236725a-ac21-4113-a5e9-33340a9b3fdf}"/>
      </c:ext>
    </c:extLst>
  </c:chart>
  <c:spPr>
    <a:gradFill flip="none" rotWithShape="1">
      <a:gsLst>
        <a:gs pos="72000">
          <a:srgbClr val="DFDFDF">
            <a:alpha val="100000"/>
          </a:srgbClr>
        </a:gs>
        <a:gs pos="19000">
          <a:srgbClr val="FFFFFF">
            <a:alpha val="100000"/>
          </a:srgbClr>
        </a:gs>
        <a:gs pos="0">
          <a:schemeClr val="lt1"/>
        </a:gs>
        <a:gs pos="39000">
          <a:schemeClr val="lt1"/>
        </a:gs>
        <a:gs pos="88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自定义 226">
    <a:dk1>
      <a:srgbClr val="000000"/>
    </a:dk1>
    <a:lt1>
      <a:srgbClr val="FFFFFF"/>
    </a:lt1>
    <a:dk2>
      <a:srgbClr val="0F1423"/>
    </a:dk2>
    <a:lt2>
      <a:srgbClr val="FFFFFF"/>
    </a:lt2>
    <a:accent1>
      <a:srgbClr val="FF731F"/>
    </a:accent1>
    <a:accent2>
      <a:srgbClr val="FF8C05"/>
    </a:accent2>
    <a:accent3>
      <a:srgbClr val="FFB423"/>
    </a:accent3>
    <a:accent4>
      <a:srgbClr val="3DC6FA"/>
    </a:accent4>
    <a:accent5>
      <a:srgbClr val="01AEFF"/>
    </a:accent5>
    <a:accent6>
      <a:srgbClr val="2D77FF"/>
    </a:accent6>
    <a:hlink>
      <a:srgbClr val="0563C1"/>
    </a:hlink>
    <a:folHlink>
      <a:srgbClr val="954D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Pages>78</Pages>
  <Words>7577</Words>
  <Characters>8244</Characters>
  <Lines>0</Lines>
  <Paragraphs>0</Paragraphs>
  <TotalTime>13</TotalTime>
  <ScaleCrop>false</ScaleCrop>
  <LinksUpToDate>false</LinksUpToDate>
  <CharactersWithSpaces>8393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2023-10-13T06:26:00Z</dcterms:created>
  <dc:creator>cx</dc:creator>
  <cp:lastModifiedBy>碧云天</cp:lastModifiedBy>
  <cp:lastPrinted>2023-10-20T03:32:00Z</cp:lastPrinted>
  <dcterms:modified xsi:type="dcterms:W3CDTF">2024-12-09T01:22:23Z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05BE98F2839C4C6CB194CC328ED0BFAD_13</vt:lpwstr>
  </property>
</Properties>
</file>