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tabs>
          <w:tab w:val="left" w:pos="1440"/>
        </w:tabs>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解决河湖管理范围划定实施方案编制经费</w:t>
      </w: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6"/>
        <w:spacing w:line="560" w:lineRule="exact"/>
        <w:ind w:firstLine="640"/>
        <w:jc w:val="center"/>
        <w:rPr>
          <w:rFonts w:ascii="宋体" w:hAnsi="宋体"/>
          <w:color w:val="auto"/>
          <w:kern w:val="2"/>
          <w:sz w:val="32"/>
          <w:szCs w:val="32"/>
        </w:rPr>
      </w:pPr>
      <w:bookmarkStart w:id="0" w:name="_GoBack"/>
      <w:bookmarkEnd w:id="0"/>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2020年7月15日，县人民政府领导批示（〔2020〕106号）批示同意按照峨边彝族自治县河湖管理范围划定实施方案开展相关工作，经费控制在300万以内，以实际中标经费为准。</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60" w:lineRule="exact"/>
        <w:ind w:firstLine="720"/>
        <w:rPr>
          <w:rFonts w:hint="eastAsia" w:ascii="仿宋_GB2312" w:hAnsi="宋体"/>
          <w:lang w:val="zh-CN"/>
        </w:rPr>
      </w:pPr>
      <w:r>
        <w:rPr>
          <w:rFonts w:hint="eastAsia" w:ascii="仿宋_GB2312" w:hAnsi="宋体"/>
          <w:lang w:val="zh-CN"/>
        </w:rPr>
        <w:t>完成茨竹河、杉木沟、母举沟等18条河流管理范围划定。</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（三）项目资金申报相符性。</w:t>
      </w:r>
    </w:p>
    <w:p>
      <w:pPr>
        <w:adjustRightInd w:val="0"/>
        <w:snapToGrid w:val="0"/>
        <w:spacing w:line="560" w:lineRule="exact"/>
        <w:ind w:firstLine="720"/>
        <w:rPr>
          <w:rFonts w:hint="eastAsia" w:ascii="仿宋_GB2312" w:hAnsi="宋体"/>
          <w:lang w:val="zh-CN"/>
        </w:rPr>
      </w:pPr>
      <w:r>
        <w:rPr>
          <w:rFonts w:hint="eastAsia" w:ascii="仿宋_GB2312" w:hAnsi="宋体"/>
          <w:lang w:val="zh-CN"/>
        </w:rPr>
        <w:t>根据《四川省总河长办公室关于印发〈四川省河湖管理范围划定工作方案〉的通知》（川总河长办发〔2018〕3号）、《乐山市总河长办公室关于印发〈乐山市河湖及水利工程管理范围划定工作方案〉的通知》（乐总河长办发〔2018〕8号）等文件要求，需于2020年底前全面完成峨边县河湖管理范围划定工作。项目申报内容与具体实施内容相符。</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color w:val="auto"/>
          <w:lang w:val="zh-CN"/>
        </w:rPr>
      </w:pPr>
      <w:r>
        <w:rPr>
          <w:rFonts w:hint="eastAsia" w:ascii="仿宋_GB2312" w:hAnsi="宋体"/>
          <w:color w:val="auto"/>
          <w:lang w:val="zh-CN"/>
        </w:rPr>
        <w:tab/>
      </w:r>
      <w:r>
        <w:rPr>
          <w:rFonts w:hint="eastAsia" w:ascii="楷体_GB2312" w:hAnsi="宋体" w:eastAsia="楷体_GB2312"/>
          <w:b/>
          <w:color w:val="auto"/>
          <w:lang w:val="zh-CN"/>
        </w:rPr>
        <w:t>（一）资金计划、到位及使用情况。</w:t>
      </w:r>
    </w:p>
    <w:p>
      <w:pPr>
        <w:adjustRightInd w:val="0"/>
        <w:snapToGrid w:val="0"/>
        <w:spacing w:line="560" w:lineRule="exact"/>
        <w:ind w:firstLine="720"/>
        <w:rPr>
          <w:rFonts w:hint="eastAsia" w:ascii="楷体_GB2312" w:hAnsi="宋体" w:eastAsia="楷体_GB2312"/>
          <w:color w:val="auto"/>
          <w:lang w:val="zh-CN"/>
        </w:rPr>
      </w:pPr>
      <w:r>
        <w:rPr>
          <w:rFonts w:hint="eastAsia" w:ascii="楷体_GB2312" w:hAnsi="宋体" w:eastAsia="楷体_GB2312"/>
          <w:color w:val="auto"/>
          <w:lang w:val="zh-CN"/>
        </w:rPr>
        <w:t>1．资金计划及到位。截止</w:t>
      </w:r>
      <w:r>
        <w:rPr>
          <w:rFonts w:hint="eastAsia" w:ascii="楷体_GB2312" w:hAnsi="宋体" w:eastAsia="楷体_GB2312"/>
          <w:color w:val="auto"/>
          <w:lang w:val="en-US" w:eastAsia="zh-CN"/>
        </w:rPr>
        <w:t>2022</w:t>
      </w:r>
      <w:r>
        <w:rPr>
          <w:rFonts w:hint="eastAsia" w:ascii="楷体_GB2312" w:hAnsi="宋体" w:eastAsia="楷体_GB2312"/>
          <w:color w:val="auto"/>
          <w:lang w:val="zh-CN"/>
        </w:rPr>
        <w:t>年</w:t>
      </w:r>
      <w:r>
        <w:rPr>
          <w:rFonts w:hint="eastAsia" w:ascii="楷体_GB2312" w:hAnsi="宋体" w:eastAsia="楷体_GB2312"/>
          <w:color w:val="auto"/>
          <w:lang w:val="en-US" w:eastAsia="zh-CN"/>
        </w:rPr>
        <w:t>12</w:t>
      </w:r>
      <w:r>
        <w:rPr>
          <w:rFonts w:hint="eastAsia" w:ascii="楷体_GB2312" w:hAnsi="宋体" w:eastAsia="楷体_GB2312"/>
          <w:color w:val="auto"/>
          <w:lang w:val="zh-CN"/>
        </w:rPr>
        <w:t>月</w:t>
      </w:r>
      <w:r>
        <w:rPr>
          <w:rFonts w:hint="eastAsia" w:ascii="楷体_GB2312" w:hAnsi="宋体" w:eastAsia="楷体_GB2312"/>
          <w:color w:val="auto"/>
          <w:lang w:val="en-US" w:eastAsia="zh-CN"/>
        </w:rPr>
        <w:t>31</w:t>
      </w:r>
      <w:r>
        <w:rPr>
          <w:rFonts w:hint="eastAsia" w:ascii="楷体_GB2312" w:hAnsi="宋体" w:eastAsia="楷体_GB2312"/>
          <w:color w:val="auto"/>
          <w:lang w:val="zh-CN"/>
        </w:rPr>
        <w:t>日，该项目资金到位</w:t>
      </w:r>
      <w:r>
        <w:rPr>
          <w:rFonts w:hint="eastAsia" w:ascii="楷体_GB2312" w:hAnsi="宋体" w:eastAsia="楷体_GB2312"/>
          <w:color w:val="auto"/>
          <w:lang w:val="en-US" w:eastAsia="zh-CN"/>
        </w:rPr>
        <w:t>100</w:t>
      </w:r>
      <w:r>
        <w:rPr>
          <w:rFonts w:hint="eastAsia" w:ascii="楷体_GB2312" w:hAnsi="宋体" w:eastAsia="楷体_GB2312"/>
          <w:color w:val="auto"/>
          <w:lang w:val="zh-CN"/>
        </w:rPr>
        <w:t>万元，</w:t>
      </w:r>
      <w:r>
        <w:rPr>
          <w:rFonts w:hint="eastAsia" w:ascii="仿宋_GB2312" w:hAnsi="宋体"/>
          <w:color w:val="auto"/>
          <w:lang w:val="zh-CN"/>
        </w:rPr>
        <w:t>资金到位情况与资金计划进行比对，资金到位率100%、到位及时。</w:t>
      </w:r>
    </w:p>
    <w:p>
      <w:pPr>
        <w:adjustRightInd w:val="0"/>
        <w:snapToGrid w:val="0"/>
        <w:spacing w:line="560" w:lineRule="exact"/>
        <w:ind w:firstLine="720"/>
        <w:rPr>
          <w:rFonts w:hint="eastAsia" w:ascii="楷体_GB2312" w:hAnsi="宋体" w:eastAsia="楷体_GB2312"/>
          <w:color w:val="auto"/>
          <w:lang w:val="zh-CN"/>
        </w:rPr>
      </w:pPr>
      <w:r>
        <w:rPr>
          <w:rFonts w:hint="eastAsia" w:ascii="楷体_GB2312" w:hAnsi="宋体" w:eastAsia="楷体_GB2312"/>
          <w:color w:val="auto"/>
          <w:lang w:val="zh-CN"/>
        </w:rPr>
        <w:t>2．资金使用。</w:t>
      </w:r>
    </w:p>
    <w:p>
      <w:pPr>
        <w:adjustRightInd w:val="0"/>
        <w:snapToGrid w:val="0"/>
        <w:spacing w:line="560" w:lineRule="exact"/>
        <w:ind w:firstLine="720"/>
        <w:rPr>
          <w:rFonts w:hint="eastAsia" w:ascii="仿宋_GB2312" w:hAnsi="宋体"/>
          <w:color w:val="FF0000"/>
          <w:lang w:val="zh-CN"/>
        </w:rPr>
      </w:pPr>
      <w:r>
        <w:rPr>
          <w:rFonts w:hint="eastAsia" w:ascii="仿宋_GB2312" w:hAnsi="宋体"/>
          <w:color w:val="auto"/>
          <w:lang w:val="zh-CN"/>
        </w:rPr>
        <w:t>根据财政批复预算，于</w:t>
      </w:r>
      <w:r>
        <w:rPr>
          <w:rFonts w:hint="eastAsia" w:ascii="仿宋_GB2312" w:hAnsi="宋体"/>
          <w:color w:val="auto"/>
          <w:lang w:val="en-US" w:eastAsia="zh-CN"/>
        </w:rPr>
        <w:t>2022</w:t>
      </w:r>
      <w:r>
        <w:rPr>
          <w:rFonts w:hint="eastAsia" w:ascii="仿宋_GB2312" w:hAnsi="宋体"/>
          <w:color w:val="auto"/>
          <w:lang w:val="zh-CN"/>
        </w:rPr>
        <w:t>年</w:t>
      </w:r>
      <w:r>
        <w:rPr>
          <w:rFonts w:hint="eastAsia" w:ascii="仿宋_GB2312" w:hAnsi="宋体"/>
          <w:color w:val="auto"/>
          <w:lang w:val="en-US" w:eastAsia="zh-CN"/>
        </w:rPr>
        <w:t>1</w:t>
      </w:r>
      <w:r>
        <w:rPr>
          <w:rFonts w:hint="eastAsia" w:ascii="仿宋_GB2312" w:hAnsi="宋体"/>
          <w:color w:val="auto"/>
          <w:lang w:val="zh-CN"/>
        </w:rPr>
        <w:t>月</w:t>
      </w:r>
      <w:r>
        <w:rPr>
          <w:rFonts w:hint="eastAsia" w:ascii="仿宋_GB2312" w:hAnsi="宋体"/>
          <w:color w:val="auto"/>
          <w:lang w:val="en-US" w:eastAsia="zh-CN"/>
        </w:rPr>
        <w:t>28</w:t>
      </w:r>
      <w:r>
        <w:rPr>
          <w:rFonts w:hint="eastAsia" w:ascii="仿宋_GB2312" w:hAnsi="宋体"/>
          <w:color w:val="auto"/>
          <w:lang w:val="zh-CN"/>
        </w:rPr>
        <w:t>日支付合同款</w:t>
      </w:r>
      <w:r>
        <w:rPr>
          <w:rFonts w:hint="eastAsia" w:ascii="仿宋_GB2312" w:hAnsi="仿宋" w:cs="仿宋_GB2312"/>
          <w:color w:val="auto"/>
          <w:lang w:val="en-US" w:eastAsia="zh-CN"/>
        </w:rPr>
        <w:t>100</w:t>
      </w:r>
      <w:r>
        <w:rPr>
          <w:rFonts w:hint="eastAsia" w:ascii="仿宋_GB2312" w:hAnsi="仿宋" w:cs="仿宋_GB2312"/>
          <w:color w:val="auto"/>
        </w:rPr>
        <w:t>万元</w:t>
      </w:r>
      <w:r>
        <w:rPr>
          <w:rFonts w:hint="eastAsia" w:ascii="仿宋_GB2312" w:hAnsi="仿宋" w:cs="仿宋_GB2312"/>
          <w:color w:val="auto"/>
          <w:lang w:eastAsia="zh-CN"/>
        </w:rPr>
        <w:t>，</w:t>
      </w:r>
      <w:r>
        <w:rPr>
          <w:rFonts w:hint="eastAsia" w:ascii="仿宋_GB2312" w:hAnsi="仿宋" w:cs="仿宋_GB2312"/>
          <w:color w:val="auto"/>
          <w:lang w:val="en-US" w:eastAsia="zh-CN"/>
        </w:rPr>
        <w:t>资金支付100%</w:t>
      </w:r>
      <w:r>
        <w:rPr>
          <w:rFonts w:hint="eastAsia" w:ascii="仿宋_GB2312" w:hAnsi="宋体"/>
          <w:color w:val="auto"/>
          <w:lang w:val="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600" w:lineRule="exact"/>
        <w:ind w:firstLine="720"/>
        <w:rPr>
          <w:rFonts w:ascii="仿宋_GB2312" w:hAnsi="宋体"/>
          <w:color w:val="000000"/>
          <w:lang w:val="zh-CN"/>
        </w:rPr>
      </w:pPr>
      <w:r>
        <w:rPr>
          <w:rFonts w:hint="eastAsia" w:ascii="仿宋_GB2312" w:hAnsi="宋体"/>
          <w:color w:val="000000"/>
          <w:lang w:val="zh-CN"/>
        </w:rPr>
        <w:t>该项目资金严格按照财经管理制度规定使用，财务处理及时、规范，资料齐全、归档及时，无</w:t>
      </w:r>
      <w:r>
        <w:rPr>
          <w:rFonts w:hint="eastAsia" w:ascii="仿宋_GB2312" w:hAnsi="宋体" w:cs="宋体"/>
          <w:color w:val="000000"/>
          <w:kern w:val="0"/>
          <w:shd w:val="clear" w:color="auto" w:fill="FFFFFF"/>
          <w:lang w:val="zh-CN"/>
        </w:rPr>
        <w:t>截留、挤占、挪用、套取、转移和浪费的现象，无任何违规记录。</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仿宋_GB2312" w:hAnsi="仿宋" w:cs="仿宋_GB2312"/>
          <w:color w:val="000000"/>
        </w:rPr>
      </w:pPr>
      <w:r>
        <w:rPr>
          <w:rFonts w:hint="eastAsia" w:ascii="仿宋_GB2312" w:hAnsi="仿宋" w:cs="仿宋_GB2312"/>
          <w:color w:val="000000"/>
        </w:rPr>
        <w:t>项目采取公开招标的方式确定报告编制单位，通过现场踏勘、资料收集等形式编制河湖管理范围划定报告书，专家评审、公告后完成划定成果数据入库。</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已按照合同约定时间按时完成茨竹河、杉木沟、母举沟等18条河流管理范围划定内容。</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本项目实施后，可进一步强化我县河湖管理范围保护,保障水生态安全，减少经济损失。杜绝规模以上河湖因管理范围边界不清晰而新增的侵占河湖、破坏河湖问题。划定范围后对河湖生态影响显著，可持续维护河湖生态健康平衡，</w:t>
      </w:r>
    </w:p>
    <w:p>
      <w:pPr>
        <w:adjustRightInd w:val="0"/>
        <w:snapToGrid w:val="0"/>
        <w:spacing w:line="560" w:lineRule="exact"/>
        <w:rPr>
          <w:rFonts w:hint="eastAsia" w:ascii="楷体_GB2312" w:hAnsi="宋体" w:eastAsia="楷体_GB2312"/>
          <w:b/>
          <w:lang w:val="zh-CN"/>
        </w:rPr>
      </w:pPr>
      <w:r>
        <w:rPr>
          <w:rFonts w:hint="eastAsia" w:ascii="仿宋_GB2312" w:hAnsi="宋体"/>
          <w:color w:val="000000"/>
        </w:rPr>
        <w:t>社会公众满意度≥95%。</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default" w:ascii="仿宋_GB2312" w:hAnsi="宋体" w:eastAsia="仿宋_GB2312"/>
          <w:lang w:val="en-US" w:eastAsia="zh-CN"/>
        </w:rPr>
      </w:pPr>
      <w:r>
        <w:rPr>
          <w:rFonts w:hint="eastAsia" w:ascii="仿宋_GB2312" w:hAnsi="宋体"/>
          <w:lang w:val="en-US" w:eastAsia="zh-CN"/>
        </w:rPr>
        <w:t>资金到位滞后。</w:t>
      </w:r>
    </w:p>
    <w:p>
      <w:pPr>
        <w:adjustRightInd w:val="0"/>
        <w:snapToGrid w:val="0"/>
        <w:spacing w:line="560" w:lineRule="exact"/>
        <w:ind w:firstLine="720"/>
        <w:rPr>
          <w:rFonts w:hint="default" w:ascii="楷体_GB2312" w:hAnsi="宋体" w:eastAsia="楷体_GB2312"/>
          <w:b/>
          <w:lang w:val="en-US" w:eastAsia="zh-CN"/>
        </w:rPr>
      </w:pPr>
      <w:r>
        <w:rPr>
          <w:rFonts w:hint="eastAsia" w:ascii="楷体_GB2312" w:hAnsi="宋体" w:eastAsia="楷体_GB2312"/>
          <w:b/>
          <w:lang w:val="zh-CN"/>
        </w:rPr>
        <w:t>（二）相关建议。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M0ZTI3ODk2YzU4OGZlY2I5NTU3NTkyNGNlMWYyYTEifQ=="/>
  </w:docVars>
  <w:rsids>
    <w:rsidRoot w:val="291C455A"/>
    <w:rsid w:val="00057886"/>
    <w:rsid w:val="001614C2"/>
    <w:rsid w:val="001F29D6"/>
    <w:rsid w:val="00222B28"/>
    <w:rsid w:val="00336156"/>
    <w:rsid w:val="003608CE"/>
    <w:rsid w:val="003A5E2F"/>
    <w:rsid w:val="003E7CC7"/>
    <w:rsid w:val="004B743A"/>
    <w:rsid w:val="0055642F"/>
    <w:rsid w:val="005E417D"/>
    <w:rsid w:val="006306D0"/>
    <w:rsid w:val="006C337C"/>
    <w:rsid w:val="007372C1"/>
    <w:rsid w:val="007641D4"/>
    <w:rsid w:val="007E3482"/>
    <w:rsid w:val="00832630"/>
    <w:rsid w:val="00900DC0"/>
    <w:rsid w:val="00904F19"/>
    <w:rsid w:val="00985FE3"/>
    <w:rsid w:val="00A415C2"/>
    <w:rsid w:val="00C16C6B"/>
    <w:rsid w:val="00E352DE"/>
    <w:rsid w:val="00FC11D0"/>
    <w:rsid w:val="042625D9"/>
    <w:rsid w:val="0EDB478C"/>
    <w:rsid w:val="291C455A"/>
    <w:rsid w:val="36926D0C"/>
    <w:rsid w:val="4BE600F9"/>
    <w:rsid w:val="4DAF2BCF"/>
    <w:rsid w:val="4DDB6F66"/>
    <w:rsid w:val="5C81503C"/>
    <w:rsid w:val="5D5B68EA"/>
    <w:rsid w:val="62FB4E56"/>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uiPriority w:val="0"/>
    <w:rPr>
      <w:rFonts w:ascii="Times New Roman" w:hAnsi="Times New Roman" w:eastAsia="仿宋_GB2312" w:cs="Times New Roman"/>
      <w:kern w:val="2"/>
      <w:sz w:val="18"/>
      <w:szCs w:val="18"/>
    </w:rPr>
  </w:style>
  <w:style w:type="paragraph" w:styleId="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828</Words>
  <Characters>871</Characters>
  <Lines>6</Lines>
  <Paragraphs>1</Paragraphs>
  <TotalTime>5</TotalTime>
  <ScaleCrop>false</ScaleCrop>
  <LinksUpToDate>false</LinksUpToDate>
  <CharactersWithSpaces>873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天马/ws行空</cp:lastModifiedBy>
  <dcterms:modified xsi:type="dcterms:W3CDTF">2023-11-11T12:00:24Z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BDD9F5E848FC4A80AAF935D912774E0F</vt:lpwstr>
  </property>
</Properties>
</file>